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4843D" w14:textId="505B1353" w:rsidR="00B747D2" w:rsidRDefault="00B747D2" w:rsidP="00B747D2">
      <w:pPr>
        <w:pStyle w:val="Heading1"/>
      </w:pPr>
      <w:r>
        <w:t>NC V Covid</w:t>
      </w:r>
    </w:p>
    <w:p w14:paraId="15E1DC46" w14:textId="77777777" w:rsidR="00B747D2" w:rsidRDefault="00B747D2" w:rsidP="00B747D2">
      <w:pPr>
        <w:pStyle w:val="Heading4"/>
        <w:rPr>
          <w:rFonts w:cs="Calibri"/>
        </w:rPr>
      </w:pPr>
    </w:p>
    <w:p w14:paraId="2929808E" w14:textId="77777777" w:rsidR="00A4755F" w:rsidRDefault="00A4755F" w:rsidP="00A4755F">
      <w:pPr>
        <w:pStyle w:val="Heading2"/>
      </w:pPr>
      <w:r>
        <w:lastRenderedPageBreak/>
        <w:t>Covid CP</w:t>
      </w:r>
    </w:p>
    <w:p w14:paraId="38357D89" w14:textId="77777777" w:rsidR="00A4755F" w:rsidRDefault="00A4755F" w:rsidP="00A4755F">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771DC237" w14:textId="77777777" w:rsidR="00A4755F" w:rsidRPr="0066493E" w:rsidRDefault="00A4755F" w:rsidP="00A4755F">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4BB0A2D4" w14:textId="77777777" w:rsidR="00A4755F" w:rsidRDefault="00A4755F" w:rsidP="00A4755F">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w:t>
      </w:r>
      <w:proofErr w:type="gramStart"/>
      <w:r w:rsidRPr="0066493E">
        <w:rPr>
          <w:sz w:val="12"/>
        </w:rPr>
        <w:t>and also</w:t>
      </w:r>
      <w:proofErr w:type="gramEnd"/>
      <w:r w:rsidRPr="0066493E">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526379C1" w14:textId="77777777" w:rsidR="00A4755F" w:rsidRDefault="00A4755F" w:rsidP="00A4755F">
      <w:pPr>
        <w:ind w:left="720"/>
        <w:rPr>
          <w:sz w:val="12"/>
        </w:rPr>
      </w:pPr>
    </w:p>
    <w:p w14:paraId="61703C68" w14:textId="77777777" w:rsidR="00B747D2" w:rsidRDefault="00B747D2" w:rsidP="00B747D2">
      <w:pPr>
        <w:pStyle w:val="Heading4"/>
        <w:rPr>
          <w:rFonts w:cs="Calibri"/>
        </w:rPr>
      </w:pPr>
    </w:p>
    <w:p w14:paraId="29CA503A" w14:textId="258C56A3" w:rsidR="00B747D2" w:rsidRDefault="00004261" w:rsidP="00004261">
      <w:pPr>
        <w:pStyle w:val="Heading3"/>
      </w:pPr>
      <w:r>
        <w:lastRenderedPageBreak/>
        <w:t>Innovation</w:t>
      </w:r>
    </w:p>
    <w:p w14:paraId="517490DE" w14:textId="77777777" w:rsidR="00B747D2" w:rsidRPr="00405D88" w:rsidRDefault="00B747D2" w:rsidP="00B747D2">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7FE67FA4" w14:textId="77777777" w:rsidR="00B747D2" w:rsidRPr="00405D88" w:rsidRDefault="00B747D2" w:rsidP="00B747D2">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48BBC577" w14:textId="77777777" w:rsidR="00B747D2" w:rsidRPr="00405D88" w:rsidRDefault="00B747D2" w:rsidP="00B747D2">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E2744C">
        <w:rPr>
          <w:rStyle w:val="StyleUnderline"/>
          <w:u w:val="none"/>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w:t>
      </w:r>
      <w:r w:rsidRPr="00405D88">
        <w:rPr>
          <w:sz w:val="12"/>
        </w:rPr>
        <w:lastRenderedPageBreak/>
        <w:t xml:space="preserve">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 xml:space="preserve">The global struggle against counterfeit and non-regulated products, which has </w:t>
      </w:r>
      <w:r w:rsidRPr="00405D88">
        <w:rPr>
          <w:rStyle w:val="StyleUnderline"/>
        </w:rPr>
        <w:lastRenderedPageBreak/>
        <w:t>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w:t>
      </w:r>
      <w:r w:rsidRPr="00405D88">
        <w:rPr>
          <w:rStyle w:val="StyleUnderline"/>
        </w:rPr>
        <w:lastRenderedPageBreak/>
        <w:t xml:space="preserve">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6934F0E" w14:textId="77777777" w:rsidR="00B747D2" w:rsidRPr="009026E1" w:rsidRDefault="00B747D2" w:rsidP="00B747D2">
      <w:pPr>
        <w:pStyle w:val="Heading4"/>
      </w:pPr>
      <w:r>
        <w:t>This sets a precedent that spills over to all future diseases – Hopkins 21:</w:t>
      </w:r>
    </w:p>
    <w:p w14:paraId="3C4CAA59" w14:textId="77777777" w:rsidR="00B747D2" w:rsidRPr="00405D88" w:rsidRDefault="00B747D2" w:rsidP="00B747D2">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642FDF23" w14:textId="77777777" w:rsidR="00B747D2" w:rsidRPr="00856058" w:rsidRDefault="00B747D2" w:rsidP="00B747D2">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1B903482" w14:textId="77777777" w:rsidR="00B747D2" w:rsidRPr="00405D88" w:rsidRDefault="00B747D2" w:rsidP="00B747D2">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063B1D32" w14:textId="77777777" w:rsidR="00B747D2" w:rsidRPr="00405D88" w:rsidRDefault="00B747D2" w:rsidP="00B747D2">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4DBC2F5" w14:textId="77777777" w:rsidR="00B747D2" w:rsidRPr="00E2744C" w:rsidRDefault="00B747D2" w:rsidP="00B747D2">
      <w:pPr>
        <w:ind w:left="720"/>
        <w:rPr>
          <w:rStyle w:val="StyleUnderline"/>
          <w:u w:val="none"/>
        </w:rPr>
      </w:pPr>
      <w:r w:rsidRPr="009E7424">
        <w:rPr>
          <w:rStyle w:val="StyleUnderline"/>
          <w:highlight w:val="yellow"/>
        </w:rPr>
        <w:lastRenderedPageBreak/>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w:t>
      </w:r>
      <w:r w:rsidRPr="00E2744C">
        <w:rPr>
          <w:sz w:val="10"/>
        </w:rPr>
        <w:t xml:space="preserve">at </w:t>
      </w:r>
      <w:r w:rsidRPr="00E2744C">
        <w:rPr>
          <w:rStyle w:val="Emphasis"/>
          <w:u w:val="none"/>
        </w:rPr>
        <w:t>bio-</w:t>
      </w:r>
      <w:proofErr w:type="spellStart"/>
      <w:r w:rsidRPr="00E2744C">
        <w:rPr>
          <w:rStyle w:val="Emphasis"/>
          <w:u w:val="none"/>
        </w:rPr>
        <w:t>defence</w:t>
      </w:r>
      <w:proofErr w:type="spellEnd"/>
      <w:r w:rsidRPr="00E2744C">
        <w:rPr>
          <w:rStyle w:val="Emphasis"/>
          <w:u w:val="none"/>
        </w:rPr>
        <w:t xml:space="preserve"> is worth increasing</w:t>
      </w:r>
      <w:r w:rsidRPr="00E2744C">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E2744C">
        <w:rPr>
          <w:rStyle w:val="Emphasis"/>
          <w:u w:val="none"/>
        </w:rPr>
        <w:t>biotechnology can prevent epidemics spreading out of control</w:t>
      </w:r>
      <w:r w:rsidRPr="00E2744C">
        <w:rPr>
          <w:rStyle w:val="StyleUnderline"/>
          <w:u w:val="none"/>
        </w:rPr>
        <w:t xml:space="preserve">. </w:t>
      </w:r>
      <w:proofErr w:type="spellStart"/>
      <w:r w:rsidRPr="00E2744C">
        <w:rPr>
          <w:sz w:val="10"/>
        </w:rPr>
        <w:t>Mr</w:t>
      </w:r>
      <w:proofErr w:type="spellEnd"/>
      <w:r w:rsidRPr="00E2744C">
        <w:rPr>
          <w:sz w:val="10"/>
        </w:rPr>
        <w:t xml:space="preserve"> Gates will say in his speech that most of the things needed to protect against a naturally occurring pandemic are the same things needed to prepare for an intentional biological attack. </w:t>
      </w:r>
      <w:r w:rsidRPr="00E2744C">
        <w:rPr>
          <w:rStyle w:val="StyleUnderline"/>
          <w:u w:val="none"/>
        </w:rPr>
        <w:t>Nations must amass an arsenal of new weapons to fight such a disease outbreak, including vaccines, drugs and diagnostic techniques</w:t>
      </w:r>
      <w:r w:rsidRPr="00E2744C">
        <w:rPr>
          <w:sz w:val="10"/>
        </w:rPr>
        <w:t xml:space="preserve">. </w:t>
      </w:r>
      <w:r w:rsidRPr="00E2744C">
        <w:rPr>
          <w:rStyle w:val="StyleUnderline"/>
          <w:u w:val="none"/>
        </w:rPr>
        <w:t xml:space="preserve">Being able to develop a vaccine </w:t>
      </w:r>
      <w:r w:rsidRPr="00E2744C">
        <w:rPr>
          <w:rStyle w:val="Emphasis"/>
          <w:u w:val="none"/>
        </w:rPr>
        <w:t>a</w:t>
      </w:r>
      <w:r w:rsidRPr="00E2744C">
        <w:rPr>
          <w:sz w:val="10"/>
        </w:rPr>
        <w:t xml:space="preserve">s </w:t>
      </w:r>
      <w:r w:rsidRPr="00E2744C">
        <w:rPr>
          <w:rStyle w:val="Emphasis"/>
          <w:u w:val="none"/>
        </w:rPr>
        <w:t>s</w:t>
      </w:r>
      <w:r w:rsidRPr="00E2744C">
        <w:rPr>
          <w:sz w:val="10"/>
        </w:rPr>
        <w:t xml:space="preserve">oon </w:t>
      </w:r>
      <w:r w:rsidRPr="00E2744C">
        <w:rPr>
          <w:rStyle w:val="Emphasis"/>
          <w:u w:val="none"/>
        </w:rPr>
        <w:t>a</w:t>
      </w:r>
      <w:r w:rsidRPr="00E2744C">
        <w:rPr>
          <w:sz w:val="10"/>
        </w:rPr>
        <w:t xml:space="preserve">s </w:t>
      </w:r>
      <w:r w:rsidRPr="00E2744C">
        <w:rPr>
          <w:rStyle w:val="Emphasis"/>
          <w:u w:val="none"/>
        </w:rPr>
        <w:t>p</w:t>
      </w:r>
      <w:r w:rsidRPr="00E2744C">
        <w:rPr>
          <w:sz w:val="10"/>
        </w:rPr>
        <w:t>ossible</w:t>
      </w:r>
      <w:r w:rsidRPr="00E2744C">
        <w:rPr>
          <w:rStyle w:val="StyleUnderline"/>
          <w:u w:val="none"/>
        </w:rPr>
        <w:t xml:space="preserve"> against a new outbreak is particularly important and could save huge numbers of lives, scientists working at his foundation believe.</w:t>
      </w:r>
    </w:p>
    <w:p w14:paraId="1DD308E6" w14:textId="77777777" w:rsidR="00B747D2" w:rsidRPr="00962E4D" w:rsidRDefault="00B747D2" w:rsidP="00B747D2"/>
    <w:p w14:paraId="385C56FF" w14:textId="132954B2" w:rsidR="00004261" w:rsidRDefault="00004261" w:rsidP="00004261">
      <w:pPr>
        <w:pStyle w:val="Heading3"/>
      </w:pPr>
      <w:r>
        <w:lastRenderedPageBreak/>
        <w:t>Case</w:t>
      </w:r>
    </w:p>
    <w:p w14:paraId="0D8F6E4D" w14:textId="77777777" w:rsidR="00B737EB" w:rsidRDefault="00B737EB" w:rsidP="00B737EB">
      <w:pPr>
        <w:pStyle w:val="Heading4"/>
        <w:numPr>
          <w:ilvl w:val="0"/>
          <w:numId w:val="14"/>
        </w:numPr>
        <w:tabs>
          <w:tab w:val="num" w:pos="720"/>
        </w:tabs>
      </w:pPr>
      <w:r>
        <w:t>The Innovation contention that I read proves that the affirmative makes it more difficult to solve the pandemic. By reducing intellectual property protections, the affirmative takes away the incentive for companies to create new medicines, including better vaccines to combat emerging variants.</w:t>
      </w:r>
    </w:p>
    <w:p w14:paraId="52874116" w14:textId="77777777" w:rsidR="00B737EB" w:rsidRDefault="00B737EB" w:rsidP="00B737EB">
      <w:pPr>
        <w:pStyle w:val="Heading4"/>
      </w:pPr>
      <w:r>
        <w:t xml:space="preserve">The affirmative can’t solve for the pandemic. </w:t>
      </w:r>
    </w:p>
    <w:p w14:paraId="29D8BCEA" w14:textId="77777777" w:rsidR="00B737EB" w:rsidRDefault="00B737EB" w:rsidP="00B737EB">
      <w:pPr>
        <w:pStyle w:val="Heading4"/>
        <w:numPr>
          <w:ilvl w:val="0"/>
          <w:numId w:val="13"/>
        </w:numPr>
        <w:tabs>
          <w:tab w:val="num" w:pos="360"/>
        </w:tabs>
        <w:ind w:left="360"/>
      </w:pPr>
      <w:r>
        <w:t xml:space="preserve">Intellectual property does not serve as a barrier to vaccines in most countries. The fact that they are not manufacturing vaccines shows that they </w:t>
      </w:r>
      <w:r>
        <w:rPr>
          <w:iCs/>
        </w:rPr>
        <w:t>can’t manufacture one without transfer of technology, which the affirmative cannot do</w:t>
      </w:r>
      <w:r>
        <w:t>.</w:t>
      </w:r>
    </w:p>
    <w:p w14:paraId="370D19C0" w14:textId="77777777" w:rsidR="00B737EB" w:rsidRPr="006D60E4" w:rsidRDefault="00B737EB" w:rsidP="00B737EB">
      <w:pPr>
        <w:rPr>
          <w:rFonts w:eastAsia="Calibri"/>
        </w:rPr>
      </w:pPr>
      <w:proofErr w:type="spellStart"/>
      <w:r>
        <w:rPr>
          <w:rStyle w:val="Style13ptBold"/>
        </w:rPr>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6D60E4">
        <w:rPr>
          <w:rFonts w:eastAsia="Calibri"/>
        </w:rPr>
        <w:t>Ssrn</w:t>
      </w:r>
      <w:proofErr w:type="spellEnd"/>
      <w:r w:rsidRPr="006D60E4">
        <w:rPr>
          <w:rFonts w:eastAsia="Calibri"/>
        </w:rPr>
        <w:t xml:space="preserve">: Https://Ssrn.Com/Abstract=3789820 Or Http://Dx.Doi.Org/10.2139/Ssrn.3789820"; https://papers.ssrn.com/sol3/papers.cfm?abstract_id=3789820, accessed 7-21-2021; </w:t>
      </w:r>
      <w:proofErr w:type="spellStart"/>
      <w:r w:rsidRPr="006D60E4">
        <w:rPr>
          <w:rFonts w:eastAsia="Calibri"/>
        </w:rPr>
        <w:t>JPark</w:t>
      </w:r>
      <w:proofErr w:type="spellEnd"/>
    </w:p>
    <w:p w14:paraId="0CA1B1E5" w14:textId="77777777" w:rsidR="00B737EB" w:rsidRDefault="00B737EB" w:rsidP="00B737EB">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E2744C">
        <w:rPr>
          <w:rStyle w:val="StyleUnderline"/>
          <w:u w:val="none"/>
        </w:rPr>
        <w:t>Regardless of whether an IP waiver is granted, the remaining countries will be left without enhanced vaccine access and still reliant on imported supplies.</w:t>
      </w:r>
      <w:r w:rsidRPr="00E2744C">
        <w:rPr>
          <w:rFonts w:eastAsia="Calibri"/>
          <w:sz w:val="12"/>
        </w:rPr>
        <w:t xml:space="preserve"> </w:t>
      </w:r>
      <w:r w:rsidRPr="00E2744C">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w:t>
      </w:r>
      <w:proofErr w:type="gramStart"/>
      <w:r w:rsidRPr="006D60E4">
        <w:rPr>
          <w:rFonts w:eastAsia="Calibri"/>
          <w:sz w:val="12"/>
        </w:rPr>
        <w:t>are located in</w:t>
      </w:r>
      <w:proofErr w:type="gramEnd"/>
      <w:r w:rsidRPr="006D60E4">
        <w:rPr>
          <w:rFonts w:eastAsia="Calibri"/>
          <w:sz w:val="12"/>
        </w:rPr>
        <w:t xml:space="preserve">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21E0556F" w14:textId="4F71AFD0" w:rsidR="00B737EB" w:rsidRDefault="00B737EB" w:rsidP="00B737EB">
      <w:pPr>
        <w:pStyle w:val="Heading4"/>
        <w:numPr>
          <w:ilvl w:val="0"/>
          <w:numId w:val="13"/>
        </w:numPr>
        <w:tabs>
          <w:tab w:val="num" w:pos="360"/>
        </w:tabs>
        <w:ind w:left="360"/>
      </w:pPr>
      <w:r>
        <w:t>Existing licensing proves that the reason countries cannot create the vaccine is the supply of raw materials, not intellectual property. This means that the affirmative can’t eliminate all barriers to production.</w:t>
      </w:r>
    </w:p>
    <w:p w14:paraId="363A4590" w14:textId="77777777" w:rsidR="00B737EB" w:rsidRPr="00410344" w:rsidRDefault="00B737EB" w:rsidP="00B737EB">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748B6EAA" w14:textId="7B3A663A" w:rsidR="00B737EB" w:rsidRDefault="00B737EB" w:rsidP="00B737EB">
      <w:pPr>
        <w:ind w:left="720"/>
        <w:rPr>
          <w:rFonts w:eastAsia="Calibri"/>
          <w:sz w:val="12"/>
        </w:rPr>
      </w:pPr>
      <w:r w:rsidRPr="00410344">
        <w:rPr>
          <w:rFonts w:eastAsia="Calibri"/>
          <w:sz w:val="12"/>
        </w:rPr>
        <w:t xml:space="preserve">For the last year and a </w:t>
      </w:r>
      <w:proofErr w:type="gramStart"/>
      <w:r w:rsidRPr="00410344">
        <w:rPr>
          <w:rFonts w:eastAsia="Calibri"/>
          <w:sz w:val="12"/>
        </w:rPr>
        <w:t>half</w:t>
      </w:r>
      <w:proofErr w:type="gramEnd"/>
      <w:r w:rsidRPr="00410344">
        <w:rPr>
          <w:rFonts w:eastAsia="Calibri"/>
          <w:sz w:val="12"/>
        </w:rPr>
        <w:t xml:space="preserve">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w:t>
      </w:r>
      <w:proofErr w:type="gramStart"/>
      <w:r w:rsidRPr="00410344">
        <w:rPr>
          <w:rFonts w:eastAsia="Calibri"/>
          <w:sz w:val="12"/>
        </w:rPr>
        <w:t>All of</w:t>
      </w:r>
      <w:proofErr w:type="gramEnd"/>
      <w:r w:rsidRPr="00410344">
        <w:rPr>
          <w:rFonts w:eastAsia="Calibri"/>
          <w:sz w:val="12"/>
        </w:rPr>
        <w:t xml:space="preserve"> the vaccine manufacturers are trying to increase supply as quickly as possible. Billions of doses are being produced–more than ever before in the history of the world. </w:t>
      </w:r>
      <w:r w:rsidRPr="00410344">
        <w:rPr>
          <w:rStyle w:val="StyleUnderline"/>
          <w:highlight w:val="yellow"/>
        </w:rPr>
        <w:t xml:space="preserve">Licenses are </w:t>
      </w:r>
      <w:r w:rsidRPr="00410344">
        <w:rPr>
          <w:rStyle w:val="StyleUnderline"/>
          <w:highlight w:val="yellow"/>
        </w:rPr>
        <w:lastRenderedPageBreak/>
        <w:t>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E2744C">
        <w:rPr>
          <w:rStyle w:val="StyleUnderline"/>
          <w:u w:val="none"/>
        </w:rPr>
        <w:t>Spain, South Africa and France.</w:t>
      </w:r>
      <w:r w:rsidRPr="00E2744C">
        <w:rPr>
          <w:rFonts w:eastAsia="Calibri"/>
          <w:sz w:val="12"/>
        </w:rPr>
        <w:t xml:space="preserve"> </w:t>
      </w:r>
      <w:r w:rsidRPr="00E2744C">
        <w:rPr>
          <w:rStyle w:val="StyleUnderline"/>
          <w:u w:val="none"/>
        </w:rPr>
        <w:t>Sputnik has been licensed</w:t>
      </w:r>
      <w:r w:rsidRPr="00E2744C">
        <w:rPr>
          <w:rFonts w:eastAsia="Calibri"/>
          <w:sz w:val="12"/>
        </w:rPr>
        <w:t xml:space="preserve"> for production by firms </w:t>
      </w:r>
      <w:r w:rsidRPr="00E2744C">
        <w:rPr>
          <w:rStyle w:val="StyleUnderline"/>
          <w:u w:val="none"/>
        </w:rPr>
        <w:t>in India, China, South Korea, Brazil</w:t>
      </w:r>
      <w:r w:rsidRPr="00E2744C">
        <w:rPr>
          <w:rFonts w:eastAsia="Calibri"/>
          <w:sz w:val="12"/>
        </w:rPr>
        <w:t xml:space="preserve"> and pending EMA approval with firms in </w:t>
      </w:r>
      <w:r w:rsidRPr="00E2744C">
        <w:rPr>
          <w:rStyle w:val="StyleUnderline"/>
          <w:u w:val="none"/>
        </w:rPr>
        <w:t>Germany and France.</w:t>
      </w:r>
      <w:r w:rsidRPr="00E2744C">
        <w:rPr>
          <w:rFonts w:eastAsia="Calibri"/>
          <w:sz w:val="12"/>
        </w:rPr>
        <w:t xml:space="preserve"> </w:t>
      </w:r>
      <w:proofErr w:type="spellStart"/>
      <w:r w:rsidRPr="00E2744C">
        <w:rPr>
          <w:rStyle w:val="StyleUnderline"/>
          <w:u w:val="none"/>
        </w:rPr>
        <w:t>Sinopharm</w:t>
      </w:r>
      <w:proofErr w:type="spellEnd"/>
      <w:r w:rsidRPr="00E2744C">
        <w:rPr>
          <w:rStyle w:val="StyleUnderline"/>
          <w:u w:val="none"/>
        </w:rPr>
        <w:t xml:space="preserve"> has been licensed in the UAE, Egypt and Bangladesh</w:t>
      </w:r>
      <w:r w:rsidRPr="00E2744C">
        <w:rPr>
          <w:rStyle w:val="StyleUnderline"/>
          <w:highlight w:val="yellow"/>
        </w:rPr>
        <w:t xml:space="preserve">. </w:t>
      </w:r>
      <w:proofErr w:type="spellStart"/>
      <w:r w:rsidRPr="00E2744C">
        <w:rPr>
          <w:rStyle w:val="StyleUnderline"/>
          <w:highlight w:val="yellow"/>
        </w:rPr>
        <w:t>Novavax</w:t>
      </w:r>
      <w:proofErr w:type="spellEnd"/>
      <w:r w:rsidRPr="00E2744C">
        <w:rPr>
          <w:rStyle w:val="StyleUnderline"/>
          <w:highlight w:val="yellow"/>
        </w:rPr>
        <w:t xml:space="preserve"> has licensed</w:t>
      </w:r>
      <w:r w:rsidRPr="00E2744C">
        <w:rPr>
          <w:rFonts w:eastAsia="Calibri"/>
          <w:sz w:val="12"/>
          <w:highlight w:val="yellow"/>
          <w:u w:val="single"/>
        </w:rPr>
        <w:t xml:space="preserve"> </w:t>
      </w:r>
      <w:r w:rsidRPr="00E2744C">
        <w:rPr>
          <w:rFonts w:eastAsia="Calibri"/>
          <w:sz w:val="12"/>
          <w:u w:val="single"/>
        </w:rPr>
        <w:t xml:space="preserve">its vaccine for production </w:t>
      </w:r>
      <w:r w:rsidRPr="00E2744C">
        <w:rPr>
          <w:rStyle w:val="StyleUnderline"/>
          <w:highlight w:val="yellow"/>
        </w:rPr>
        <w:t>in South Korea, India, and Japan and it is desperate to find other licensees</w:t>
      </w:r>
      <w:r w:rsidRPr="00E2744C">
        <w:rPr>
          <w:rFonts w:eastAsia="Calibri"/>
          <w:sz w:val="12"/>
        </w:rPr>
        <w:t xml:space="preserve"> but technology transfer isn’t e</w:t>
      </w:r>
      <w:r w:rsidRPr="00410344">
        <w:rPr>
          <w:rFonts w:eastAsia="Calibri"/>
          <w:sz w:val="12"/>
        </w:rPr>
        <w:t xml:space="preserv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CureVac,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E2744C">
        <w:rPr>
          <w:rStyle w:val="StyleUnderline"/>
          <w:u w:val="none"/>
        </w:rPr>
        <w:t xml:space="preserve">The mRNA technology is new and has </w:t>
      </w:r>
      <w:proofErr w:type="gramStart"/>
      <w:r w:rsidRPr="00E2744C">
        <w:rPr>
          <w:rStyle w:val="StyleUnderline"/>
          <w:u w:val="none"/>
        </w:rPr>
        <w:t>never before</w:t>
      </w:r>
      <w:proofErr w:type="gramEnd"/>
      <w:r w:rsidRPr="00E2744C">
        <w:rPr>
          <w:rStyle w:val="StyleUnderline"/>
          <w:u w:val="none"/>
        </w:rPr>
        <w:t xml:space="preserve"> been used</w:t>
      </w:r>
      <w:r w:rsidRPr="00E2744C">
        <w:rPr>
          <w:rFonts w:eastAsia="Calibri"/>
          <w:sz w:val="12"/>
        </w:rPr>
        <w:t xml:space="preserve"> to produce at scale. </w:t>
      </w:r>
      <w:r w:rsidRPr="00E2744C">
        <w:rPr>
          <w:rStyle w:val="StyleUnderline"/>
          <w:u w:val="none"/>
        </w:rPr>
        <w:t xml:space="preserve">Pfizer and </w:t>
      </w:r>
      <w:proofErr w:type="spellStart"/>
      <w:r w:rsidRPr="00E2744C">
        <w:rPr>
          <w:rStyle w:val="StyleUnderline"/>
          <w:u w:val="none"/>
        </w:rPr>
        <w:t>Moderna</w:t>
      </w:r>
      <w:proofErr w:type="spellEnd"/>
      <w:r w:rsidRPr="00E2744C">
        <w:rPr>
          <w:rStyle w:val="StyleUnderline"/>
          <w:u w:val="none"/>
        </w:rPr>
        <w:t xml:space="preserve"> had to build factories and distribution systems from scratch. There are no mRNA factories idling on the sidelines. If there were, </w:t>
      </w:r>
      <w:proofErr w:type="spellStart"/>
      <w:r w:rsidRPr="00E2744C">
        <w:rPr>
          <w:rStyle w:val="StyleUnderline"/>
          <w:u w:val="none"/>
        </w:rPr>
        <w:t>Moderna</w:t>
      </w:r>
      <w:proofErr w:type="spellEnd"/>
      <w:r w:rsidRPr="00E2744C">
        <w:rPr>
          <w:rStyle w:val="StyleUnderline"/>
          <w:u w:val="none"/>
        </w:rPr>
        <w:t xml:space="preserve"> or Pfizer would be happy to license since they are producing in their own factories 24</w:t>
      </w:r>
      <w:r w:rsidRPr="00E2744C">
        <w:rPr>
          <w:rFonts w:eastAsia="Calibri"/>
          <w:sz w:val="12"/>
        </w:rPr>
        <w:t xml:space="preserve"> hours a day, </w:t>
      </w:r>
      <w:r w:rsidRPr="00E2744C">
        <w:rPr>
          <w:rStyle w:val="StyleUnderline"/>
          <w:u w:val="none"/>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0A70AAE5" w14:textId="1F58D55B" w:rsidR="00011538" w:rsidRDefault="00011538" w:rsidP="00B737EB">
      <w:pPr>
        <w:ind w:left="720"/>
        <w:rPr>
          <w:rFonts w:eastAsia="Calibri"/>
          <w:sz w:val="12"/>
        </w:rPr>
      </w:pPr>
    </w:p>
    <w:p w14:paraId="7BB2DAB4" w14:textId="6BA7B885" w:rsidR="00011538" w:rsidRDefault="00011538" w:rsidP="00011538">
      <w:pPr>
        <w:pStyle w:val="Heading4"/>
        <w:numPr>
          <w:ilvl w:val="0"/>
          <w:numId w:val="13"/>
        </w:numPr>
      </w:pPr>
      <w:r>
        <w:t>Covid CP Solves-</w:t>
      </w:r>
      <w:r w:rsidRPr="00DD1A1F">
        <w:t xml:space="preserve">The counterplan forces high income governments, backed by the US, to spend all the necessary amount of money to purchase the covid vaccines developed by drug companies at any reasonable cost and give them to other countries worldwide which want the vaccines. This solves the </w:t>
      </w:r>
      <w:proofErr w:type="spellStart"/>
      <w:r w:rsidRPr="00DD1A1F">
        <w:t>aff</w:t>
      </w:r>
      <w:proofErr w:type="spellEnd"/>
      <w:r w:rsidRPr="00DD1A1F">
        <w:t xml:space="preserve"> through massively increasing support for tech transfer, capacity expansion, and supply line coordination which will substantially increase the number of vaccines available to other countries.</w:t>
      </w:r>
      <w:r>
        <w:t xml:space="preserve"> </w:t>
      </w:r>
    </w:p>
    <w:p w14:paraId="1C5EACAC" w14:textId="7712FAC1" w:rsidR="00611E9A" w:rsidRDefault="00611E9A" w:rsidP="00611E9A"/>
    <w:p w14:paraId="63D3027E" w14:textId="24DEF309" w:rsidR="00B737EB" w:rsidRPr="005755A3" w:rsidRDefault="00B737EB" w:rsidP="00611E9A">
      <w:pPr>
        <w:pStyle w:val="Heading4"/>
        <w:numPr>
          <w:ilvl w:val="0"/>
          <w:numId w:val="13"/>
        </w:numPr>
      </w:pPr>
      <w:r>
        <w:t xml:space="preserve">There are too many legal barriers for the affirmative’s plan to work, but the status quo solves through cooperation and competition. </w:t>
      </w:r>
      <w:proofErr w:type="spellStart"/>
      <w:r>
        <w:t>Mercurio</w:t>
      </w:r>
      <w:proofErr w:type="spellEnd"/>
      <w:r>
        <w:t xml:space="preserve"> 6/24</w:t>
      </w:r>
    </w:p>
    <w:p w14:paraId="31138D24" w14:textId="77777777" w:rsidR="00B737EB" w:rsidRPr="00480E20" w:rsidRDefault="00B737EB" w:rsidP="00B737EB">
      <w:pPr>
        <w:shd w:val="clear" w:color="auto" w:fill="FFFFFF"/>
        <w:spacing w:before="100" w:beforeAutospacing="1" w:after="120" w:line="240" w:lineRule="auto"/>
        <w:rPr>
          <w:rFonts w:ascii="Georgia" w:eastAsia="Times New Roman" w:hAnsi="Georgia" w:cs="Times New Roman"/>
          <w:color w:val="333333"/>
          <w:sz w:val="24"/>
        </w:rPr>
      </w:pPr>
      <w:r>
        <w:t xml:space="preserve">Bryan </w:t>
      </w:r>
      <w:proofErr w:type="spellStart"/>
      <w:r>
        <w:t>Mercurio</w:t>
      </w:r>
      <w:proofErr w:type="spellEnd"/>
      <w:r>
        <w:t xml:space="preserve"> [</w:t>
      </w:r>
      <w:r w:rsidRPr="00480E20">
        <w:t xml:space="preserve">Simon F.S. Li Professor of Law, The Chinese University of Hong Kong, Shatin, Hong Kong], 6-24-2021, "The IP Waiver for COVID-19: Bad Policy, Bad Precedent," IIC - International Review of Intellectual Property and Competition Law, </w:t>
      </w:r>
      <w:hyperlink r:id="rId14" w:history="1">
        <w:r w:rsidRPr="004F63C2">
          <w:rPr>
            <w:rStyle w:val="Hyperlink"/>
          </w:rPr>
          <w:t>https://link.springer.com/article/10.1007/s40319-021-01083-5 accessed 8/12/2021</w:t>
        </w:r>
      </w:hyperlink>
      <w:r>
        <w:t xml:space="preserve"> //JH</w:t>
      </w:r>
    </w:p>
    <w:p w14:paraId="561A7119" w14:textId="77777777" w:rsidR="00B737EB" w:rsidRPr="00E2744C" w:rsidRDefault="00B737EB" w:rsidP="00B737EB">
      <w:pPr>
        <w:ind w:left="720"/>
        <w:rPr>
          <w:rStyle w:val="StyleUnderline"/>
          <w:u w:val="none"/>
        </w:rPr>
      </w:pPr>
      <w:r w:rsidRPr="005755A3">
        <w:rPr>
          <w:sz w:val="12"/>
        </w:rPr>
        <w:lastRenderedPageBreak/>
        <w:t xml:space="preserve">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1F4506">
        <w:rPr>
          <w:rStyle w:val="StyleUnderline"/>
          <w:highlight w:val="yellow"/>
        </w:rPr>
        <w:t>IPRs played a large role in the</w:t>
      </w:r>
      <w:r w:rsidRPr="00480E20">
        <w:rPr>
          <w:rStyle w:val="StyleUnderline"/>
        </w:rPr>
        <w:t xml:space="preserve"> rapid (and unprecedented) </w:t>
      </w:r>
      <w:r w:rsidRPr="001F4506">
        <w:rPr>
          <w:rStyle w:val="StyleUnderline"/>
          <w:highlight w:val="yellow"/>
        </w:rPr>
        <w:t>development and availability of</w:t>
      </w:r>
      <w:r w:rsidRPr="00480E20">
        <w:rPr>
          <w:rStyle w:val="StyleUnderline"/>
        </w:rPr>
        <w:t xml:space="preserve"> multiple </w:t>
      </w:r>
      <w:r w:rsidRPr="001F4506">
        <w:rPr>
          <w:rStyle w:val="StyleUnderline"/>
          <w:highlight w:val="yellow"/>
        </w:rPr>
        <w:t>vaccines</w:t>
      </w:r>
      <w:r w:rsidRPr="005755A3">
        <w:rPr>
          <w:sz w:val="12"/>
        </w:rPr>
        <w:t>.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5" w:anchor="Fn1" w:history="1">
        <w:r w:rsidRPr="005755A3">
          <w:rPr>
            <w:rStyle w:val="Hyperlink"/>
            <w:sz w:val="12"/>
          </w:rPr>
          <w:t>Footnote1</w:t>
        </w:r>
      </w:hyperlink>
      <w:r w:rsidRPr="005755A3">
        <w:rPr>
          <w:sz w:val="12"/>
        </w:rPr>
        <w:t xml:space="preserve"> ¶The proposal, tabled at a meeting of the TRIPS Council in October 2020, calls on Members to waive IPRs relating to and having an impact on the “prevention, containment or treatment of COVID-19”.</w:t>
      </w:r>
      <w:hyperlink r:id="rId16" w:anchor="Fn2" w:history="1">
        <w:r w:rsidRPr="005755A3">
          <w:rPr>
            <w:rStyle w:val="Hyperlink"/>
            <w:sz w:val="12"/>
          </w:rPr>
          <w:t>Footnote2</w:t>
        </w:r>
      </w:hyperlink>
      <w:r w:rsidRPr="005755A3">
        <w:rPr>
          <w:sz w:val="12"/>
        </w:rPr>
        <w:t> The proposal attracted support from the majority of developing country Members,</w:t>
      </w:r>
      <w:hyperlink r:id="rId17" w:anchor="Fn3" w:history="1">
        <w:r w:rsidRPr="005755A3">
          <w:rPr>
            <w:rStyle w:val="Hyperlink"/>
            <w:sz w:val="12"/>
          </w:rPr>
          <w:t>Footnote3</w:t>
        </w:r>
      </w:hyperlink>
      <w:r w:rsidRPr="005755A3">
        <w:rPr>
          <w:sz w:val="12"/>
        </w:rPr>
        <w:t> but was opposed by a handful of Members including the United States (US).</w:t>
      </w:r>
      <w:hyperlink r:id="rId18" w:anchor="Fn4" w:history="1">
        <w:r w:rsidRPr="005755A3">
          <w:rPr>
            <w:rStyle w:val="Hyperlink"/>
            <w:sz w:val="12"/>
          </w:rPr>
          <w:t>Footnote4</w:t>
        </w:r>
      </w:hyperlink>
      <w:r w:rsidRPr="005755A3">
        <w:rPr>
          <w:sz w:val="12"/>
        </w:rPr>
        <w:t> Given that consensus could not be reached within the deadline of 90 days as set out in Art. IX:3 of the Agreement Establishing the WTO, Members agreed to keep the waiver proposal on the agenda of the TRIPS Council in 2021.</w:t>
      </w:r>
      <w:hyperlink r:id="rId19" w:anchor="Fn5" w:history="1">
        <w:r w:rsidRPr="005755A3">
          <w:rPr>
            <w:rStyle w:val="Hyperlink"/>
            <w:sz w:val="12"/>
          </w:rPr>
          <w:t>Footnote5</w:t>
        </w:r>
      </w:hyperlink>
      <w:r w:rsidRPr="005755A3">
        <w:rPr>
          <w:sz w:val="12"/>
        </w:rPr>
        <w:t xml:space="preserve"> ¶On 5 May 2021, the US reversed its position and announced that it would support a waiver for COVID-19 vaccines.</w:t>
      </w:r>
      <w:hyperlink r:id="rId20" w:anchor="Fn6" w:history="1">
        <w:r w:rsidRPr="005755A3">
          <w:rPr>
            <w:rStyle w:val="Hyperlink"/>
            <w:sz w:val="12"/>
          </w:rPr>
          <w:t>Footnote6</w:t>
        </w:r>
      </w:hyperlink>
      <w:r w:rsidRPr="005755A3">
        <w:rPr>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21" w:anchor="Fn7" w:history="1">
        <w:r w:rsidRPr="005755A3">
          <w:rPr>
            <w:rStyle w:val="Hyperlink"/>
            <w:sz w:val="12"/>
          </w:rPr>
          <w:t>Footnote7</w:t>
        </w:r>
      </w:hyperlink>
      <w:r w:rsidRPr="005755A3">
        <w:rPr>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2" w:anchor="Fn8" w:history="1">
        <w:r w:rsidRPr="005755A3">
          <w:rPr>
            <w:rStyle w:val="Hyperlink"/>
            <w:sz w:val="12"/>
          </w:rPr>
          <w:t>Footnote8</w:t>
        </w:r>
      </w:hyperlink>
      <w:r w:rsidRPr="005755A3">
        <w:rPr>
          <w:sz w:val="12"/>
        </w:rPr>
        <w:t xml:space="preserve"> For its part, the EU continues to </w:t>
      </w:r>
      <w:proofErr w:type="spellStart"/>
      <w:r w:rsidRPr="005755A3">
        <w:rPr>
          <w:sz w:val="12"/>
        </w:rPr>
        <w:t>favour</w:t>
      </w:r>
      <w:proofErr w:type="spellEnd"/>
      <w:r w:rsidRPr="005755A3">
        <w:rPr>
          <w:sz w:val="12"/>
        </w:rPr>
        <w:t xml:space="preserve"> an approach which makes better use of existing flexibilities available in the TRIPS Agreement.</w:t>
      </w:r>
      <w:hyperlink r:id="rId23" w:anchor="Fn9" w:history="1">
        <w:r w:rsidRPr="005755A3">
          <w:rPr>
            <w:rStyle w:val="Hyperlink"/>
            <w:sz w:val="12"/>
          </w:rPr>
          <w:t>Footnote9</w:t>
        </w:r>
      </w:hyperlink>
      <w:r w:rsidRPr="005755A3">
        <w:rPr>
          <w:sz w:val="12"/>
        </w:rPr>
        <w:t xml:space="preserve"> ¶Thus, </w:t>
      </w:r>
      <w:r w:rsidRPr="005755A3">
        <w:rPr>
          <w:rStyle w:val="StyleUnderline"/>
        </w:rPr>
        <w:t>those expecting quick agreement on the waiver will be disappointed</w:t>
      </w:r>
      <w:r w:rsidRPr="005755A3">
        <w:rPr>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24" w:anchor="Fn10" w:history="1">
        <w:r w:rsidRPr="005755A3">
          <w:rPr>
            <w:rStyle w:val="Hyperlink"/>
            <w:sz w:val="12"/>
          </w:rPr>
          <w:t>Footnote10</w:t>
        </w:r>
      </w:hyperlink>
      <w:r w:rsidRPr="005755A3">
        <w:rPr>
          <w:sz w:val="12"/>
        </w:rPr>
        <w:t> Issues of negotiation will include the scope of the waiver. Whereas the original proposal and its amended form extend the waiver beyond patents and vaccines to include nearly all forms of IP (i.e. copyright,</w:t>
      </w:r>
      <w:hyperlink r:id="rId25" w:anchor="Fn11" w:history="1">
        <w:r w:rsidRPr="005755A3">
          <w:rPr>
            <w:rStyle w:val="Hyperlink"/>
            <w:sz w:val="12"/>
          </w:rPr>
          <w:t>Footnote11</w:t>
        </w:r>
      </w:hyperlink>
      <w:r w:rsidRPr="005755A3">
        <w:rPr>
          <w:sz w:val="12"/>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6" w:anchor="Fn12" w:history="1">
        <w:r w:rsidRPr="005755A3">
          <w:rPr>
            <w:rStyle w:val="Hyperlink"/>
            <w:sz w:val="12"/>
          </w:rPr>
          <w:t>Footnote12</w:t>
        </w:r>
      </w:hyperlink>
      <w:r w:rsidRPr="005755A3">
        <w:rPr>
          <w:sz w:val="12"/>
        </w:rPr>
        <w:t> (with no requirement on how or the extent to which they are related to or useful in combatting COVID-19), the US and others seem to support a waiver limited to patents and vaccines.</w:t>
      </w:r>
      <w:hyperlink r:id="rId27" w:anchor="Fn13" w:history="1">
        <w:r w:rsidRPr="005755A3">
          <w:rPr>
            <w:rStyle w:val="Hyperlink"/>
            <w:sz w:val="12"/>
          </w:rPr>
          <w:t>Footnote13</w:t>
        </w:r>
      </w:hyperlink>
      <w:r w:rsidRPr="005755A3">
        <w:rPr>
          <w:sz w:val="12"/>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8" w:anchor="Fn14" w:history="1">
        <w:r w:rsidRPr="005755A3">
          <w:rPr>
            <w:rStyle w:val="Hyperlink"/>
            <w:sz w:val="12"/>
          </w:rPr>
          <w:t>Footnote14</w:t>
        </w:r>
      </w:hyperlink>
      <w:r w:rsidRPr="005755A3">
        <w:rPr>
          <w:sz w:val="12"/>
        </w:rPr>
        <w:t> – as will the request that any action claimed to be taken under the waiver is outside the scope of the WTO’s dispute settlement mechanism.</w:t>
      </w:r>
      <w:hyperlink r:id="rId29" w:anchor="Fn15" w:history="1">
        <w:r w:rsidRPr="005755A3">
          <w:rPr>
            <w:rStyle w:val="Hyperlink"/>
            <w:sz w:val="12"/>
          </w:rPr>
          <w:t>Footnote15</w:t>
        </w:r>
      </w:hyperlink>
      <w:r w:rsidRPr="005755A3">
        <w:rPr>
          <w:sz w:val="12"/>
        </w:rPr>
        <w:t xml:space="preserve"> These provisions will almost certainly be opposed by other Members, who would perhaps agree to a time-limited waiver which could be extended rather than an unchallengeable indefinite waiver which will be difficult to reverse. </w:t>
      </w:r>
      <w:r w:rsidRPr="001F4506">
        <w:rPr>
          <w:rStyle w:val="StyleUnderline"/>
          <w:highlight w:val="yellow"/>
        </w:rPr>
        <w:t>The proposal</w:t>
      </w:r>
      <w:r w:rsidRPr="005755A3">
        <w:rPr>
          <w:rStyle w:val="StyleUnderline"/>
        </w:rPr>
        <w:t xml:space="preserve"> also </w:t>
      </w:r>
      <w:r w:rsidRPr="001F4506">
        <w:rPr>
          <w:rStyle w:val="StyleUnderline"/>
          <w:highlight w:val="yellow"/>
        </w:rPr>
        <w:t>fails to mention anything in relation to transparency and notification requirements</w:t>
      </w:r>
      <w:r w:rsidRPr="005755A3">
        <w:rPr>
          <w:rStyle w:val="StyleUnderline"/>
        </w:rPr>
        <w:t xml:space="preserve"> </w:t>
      </w:r>
      <w:r w:rsidRPr="001F4506">
        <w:rPr>
          <w:rStyle w:val="StyleUnderline"/>
          <w:highlight w:val="yellow"/>
        </w:rPr>
        <w:t>and lacks safeguards against abuse or diversion</w:t>
      </w:r>
      <w:r w:rsidRPr="005755A3">
        <w:rPr>
          <w:sz w:val="12"/>
        </w:rPr>
        <w:t xml:space="preserve">. These points will likely also prove contentious in the negotiations. ¶With so many initial divergences and </w:t>
      </w:r>
      <w:proofErr w:type="gramStart"/>
      <w:r w:rsidRPr="005755A3">
        <w:rPr>
          <w:sz w:val="12"/>
        </w:rPr>
        <w:t>as yet</w:t>
      </w:r>
      <w:proofErr w:type="gramEnd"/>
      <w:r w:rsidRPr="005755A3">
        <w:rPr>
          <w:sz w:val="12"/>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30" w:anchor="Fn16" w:history="1">
        <w:r w:rsidRPr="005755A3">
          <w:rPr>
            <w:rStyle w:val="Hyperlink"/>
            <w:sz w:val="12"/>
          </w:rPr>
          <w:t>Footnote16</w:t>
        </w:r>
      </w:hyperlink>
      <w:r w:rsidRPr="005755A3">
        <w:rPr>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1F4506">
        <w:rPr>
          <w:rStyle w:val="StyleUnderline"/>
          <w:highlight w:val="yellow"/>
        </w:rPr>
        <w:t>the proposal contains no</w:t>
      </w:r>
      <w:r w:rsidRPr="005755A3">
        <w:rPr>
          <w:rStyle w:val="StyleUnderline"/>
        </w:rPr>
        <w:t xml:space="preserve"> limit as to product coverage, scope, notification requirements or </w:t>
      </w:r>
      <w:r w:rsidRPr="001F4506">
        <w:rPr>
          <w:rStyle w:val="StyleUnderline"/>
          <w:highlight w:val="yellow"/>
        </w:rPr>
        <w:t>safeguards and proposes that the waiver will remain in effect for what could be an indefinite period</w:t>
      </w:r>
      <w:r w:rsidRPr="005755A3">
        <w:rPr>
          <w:rStyle w:val="StyleUnderline"/>
        </w:rPr>
        <w:t>. This was not a proposal designed to engender quick negotiations and a solution.</w:t>
      </w:r>
      <w:r w:rsidRPr="005755A3">
        <w:rPr>
          <w:sz w:val="12"/>
        </w:rPr>
        <w:t xml:space="preserve"> Instead, the proposal perhaps reveals India’s and South Africa’s true intent to use the COVID-19 pandemic as an excuse to roll-back IPRs rather than a good-faith effort to rapidly increase access to lifesaving vaccines and treatments around the world. ¶It is not only the length of time which is an issue but also the ultimate impact of the waiver</w:t>
      </w:r>
      <w:r w:rsidRPr="005755A3">
        <w:rPr>
          <w:rStyle w:val="StyleUnderline"/>
        </w:rPr>
        <w:t xml:space="preserve">. </w:t>
      </w:r>
      <w:r w:rsidRPr="001F4506">
        <w:rPr>
          <w:rStyle w:val="StyleUnderline"/>
          <w:highlight w:val="yellow"/>
        </w:rPr>
        <w:t>A waiver simply means that a WTO Member would not be in violation of its WTO obligations if it does not protect and enforce the COVID-19-related IPRs for the duration of the waiver</w:t>
      </w:r>
      <w:r w:rsidRPr="005755A3">
        <w:rPr>
          <w:rStyle w:val="StyleUnderline"/>
        </w:rPr>
        <w:t xml:space="preserve">. The waiver would thus allow Members to deviate from their international obligations but not obligate Members to suspend protection and enforcement of the IPRs. </w:t>
      </w:r>
      <w:r w:rsidRPr="001F4506">
        <w:rPr>
          <w:rStyle w:val="Emphasis"/>
          <w:highlight w:val="yellow"/>
        </w:rPr>
        <w:t>Members</w:t>
      </w:r>
      <w:r w:rsidRPr="001F4506">
        <w:rPr>
          <w:rStyle w:val="Emphasis"/>
        </w:rPr>
        <w:t xml:space="preserve"> like the US who support the waiver </w:t>
      </w:r>
      <w:r w:rsidRPr="001F4506">
        <w:rPr>
          <w:rStyle w:val="Emphasis"/>
          <w:highlight w:val="yellow"/>
        </w:rPr>
        <w:t>may not implement the necessary domestic legislation to waive IPRs within the jurisdiction</w:t>
      </w:r>
      <w:r w:rsidRPr="005755A3">
        <w:rPr>
          <w:sz w:val="12"/>
        </w:rPr>
        <w:t>. It is questionable whether the US could even legally implement the waiver given that IPRs are a matter of constitutional law.</w:t>
      </w:r>
      <w:hyperlink r:id="rId31" w:anchor="Fn17" w:history="1">
        <w:r w:rsidRPr="005755A3">
          <w:rPr>
            <w:rStyle w:val="Hyperlink"/>
            <w:sz w:val="12"/>
          </w:rPr>
          <w:t>Footnote17</w:t>
        </w:r>
      </w:hyperlink>
      <w:r w:rsidRPr="005755A3">
        <w:rPr>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32" w:anchor="Fn18" w:history="1">
        <w:r w:rsidRPr="005755A3">
          <w:rPr>
            <w:rStyle w:val="Hyperlink"/>
            <w:sz w:val="12"/>
          </w:rPr>
          <w:t>Footnote18</w:t>
        </w:r>
      </w:hyperlink>
      <w:r w:rsidRPr="005755A3">
        <w:rPr>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3" w:anchor="Fn19" w:history="1">
        <w:r w:rsidRPr="005755A3">
          <w:rPr>
            <w:rStyle w:val="Hyperlink"/>
            <w:sz w:val="12"/>
          </w:rPr>
          <w:t>Footnote19</w:t>
        </w:r>
      </w:hyperlink>
      <w:r w:rsidRPr="005755A3">
        <w:rPr>
          <w:sz w:val="12"/>
        </w:rPr>
        <w:t xml:space="preserve"> India’s negotiator to the TRIPS Agreement and longtime WTO staffer, Jayashree </w:t>
      </w:r>
      <w:proofErr w:type="spellStart"/>
      <w:r w:rsidRPr="005755A3">
        <w:rPr>
          <w:sz w:val="12"/>
        </w:rPr>
        <w:t>Watal</w:t>
      </w:r>
      <w:proofErr w:type="spellEnd"/>
      <w:r w:rsidRPr="005755A3">
        <w:rPr>
          <w:sz w:val="12"/>
        </w:rPr>
        <w:t>, agrees, stating the proposal is an “indirect attempt to put pressure on the original manufacturers to cooperate [and license production to companies in their countries]”.</w:t>
      </w:r>
      <w:hyperlink r:id="rId34" w:anchor="Fn20" w:history="1">
        <w:r w:rsidRPr="005755A3">
          <w:rPr>
            <w:rStyle w:val="Hyperlink"/>
            <w:sz w:val="12"/>
          </w:rPr>
          <w:t>Footnote20</w:t>
        </w:r>
      </w:hyperlink>
      <w:r w:rsidRPr="005755A3">
        <w:rPr>
          <w:sz w:val="12"/>
        </w:rPr>
        <w:t xml:space="preserve"> This view makes sense, as the </w:t>
      </w:r>
      <w:r w:rsidRPr="001F4506">
        <w:rPr>
          <w:rStyle w:val="StyleUnderline"/>
          <w:highlight w:val="yellow"/>
        </w:rPr>
        <w:t>proponents</w:t>
      </w:r>
      <w:r w:rsidRPr="005755A3">
        <w:rPr>
          <w:rStyle w:val="StyleUnderline"/>
        </w:rPr>
        <w:t xml:space="preserve"> (and their supporters) </w:t>
      </w:r>
      <w:r w:rsidRPr="001F4506">
        <w:rPr>
          <w:rStyle w:val="StyleUnderline"/>
          <w:highlight w:val="yellow"/>
        </w:rPr>
        <w:t>have not</w:t>
      </w:r>
      <w:r w:rsidRPr="005755A3">
        <w:rPr>
          <w:rStyle w:val="StyleUnderline"/>
        </w:rPr>
        <w:t xml:space="preserve"> even </w:t>
      </w:r>
      <w:r w:rsidRPr="001F4506">
        <w:rPr>
          <w:rStyle w:val="StyleUnderline"/>
          <w:highlight w:val="yellow"/>
        </w:rPr>
        <w:t>pointed to one credible instance where IPRs have blocked the production of a COVID-19 vaccine</w:t>
      </w:r>
      <w:r w:rsidRPr="005755A3">
        <w:rPr>
          <w:rStyle w:val="StyleUnderline"/>
        </w:rPr>
        <w:t xml:space="preserve">. </w:t>
      </w:r>
      <w:r w:rsidRPr="005755A3">
        <w:rPr>
          <w:sz w:val="12"/>
        </w:rPr>
        <w:t xml:space="preserve">Moreover, </w:t>
      </w:r>
      <w:r w:rsidRPr="005755A3">
        <w:rPr>
          <w:rStyle w:val="StyleUnderline"/>
        </w:rPr>
        <w:t xml:space="preserve">it is well known that </w:t>
      </w:r>
      <w:r w:rsidRPr="001F4506">
        <w:rPr>
          <w:rStyle w:val="Emphasis"/>
          <w:highlight w:val="yellow"/>
        </w:rPr>
        <w:t>the leading vaccines u</w:t>
      </w:r>
      <w:r w:rsidRPr="001F4506">
        <w:rPr>
          <w:rStyle w:val="Emphasis"/>
        </w:rPr>
        <w:t xml:space="preserve">sing mRNA </w:t>
      </w:r>
      <w:r w:rsidRPr="001F4506">
        <w:rPr>
          <w:rStyle w:val="Emphasis"/>
          <w:highlight w:val="yellow"/>
        </w:rPr>
        <w:t>are difficult to reproduce and having the “blueprints” does not guarantee safe and effective production</w:t>
      </w:r>
      <w:r w:rsidRPr="005755A3">
        <w:rPr>
          <w:rStyle w:val="StyleUnderline"/>
        </w:rPr>
        <w:t>.</w:t>
      </w:r>
      <w:r w:rsidRPr="005755A3">
        <w:rPr>
          <w:sz w:val="12"/>
        </w:rPr>
        <w:t xml:space="preserve"> Simply stated, if a pastry chef provides instructions on how to bake a cake, the cake they bake is still going to be better than cakes baked by novices using the exact same recipe. </w:t>
      </w:r>
      <w:r w:rsidRPr="001F4506">
        <w:rPr>
          <w:rStyle w:val="StyleUnderline"/>
          <w:highlight w:val="yellow"/>
        </w:rPr>
        <w:t>The know-</w:t>
      </w:r>
      <w:r w:rsidRPr="001F4506">
        <w:rPr>
          <w:rStyle w:val="StyleUnderline"/>
          <w:highlight w:val="yellow"/>
        </w:rPr>
        <w:lastRenderedPageBreak/>
        <w:t>how and trade secrets are the key</w:t>
      </w:r>
      <w:r w:rsidRPr="005755A3">
        <w:rPr>
          <w:rStyle w:val="StyleUnderline"/>
        </w:rPr>
        <w:t xml:space="preserve"> ingredient to the manufacture of quality, safe and effective pharmaceuticals or vaccines, and not only is it not transferred through compulsory </w:t>
      </w:r>
      <w:proofErr w:type="gramStart"/>
      <w:r w:rsidRPr="005755A3">
        <w:rPr>
          <w:rStyle w:val="StyleUnderline"/>
        </w:rPr>
        <w:t>licenses</w:t>
      </w:r>
      <w:proofErr w:type="gramEnd"/>
      <w:r w:rsidRPr="005755A3">
        <w:rPr>
          <w:rStyle w:val="StyleUnderline"/>
        </w:rPr>
        <w:t xml:space="preserve"> </w:t>
      </w:r>
      <w:r w:rsidRPr="001F4506">
        <w:rPr>
          <w:rStyle w:val="StyleUnderline"/>
          <w:highlight w:val="yellow"/>
        </w:rPr>
        <w:t>but it is hard to imagine how any government would force the transfer of such information even under a waiver</w:t>
      </w:r>
      <w:r w:rsidRPr="005755A3">
        <w:rPr>
          <w:sz w:val="12"/>
        </w:rPr>
        <w:t xml:space="preserve">. </w:t>
      </w:r>
      <w:r w:rsidRPr="005755A3">
        <w:rPr>
          <w:rStyle w:val="StyleUnderline"/>
        </w:rPr>
        <w:t>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sidRPr="005755A3">
        <w:rPr>
          <w:sz w:val="12"/>
        </w:rPr>
        <w:t xml:space="preserve"> ¶When asked if a waiver would improve vaccine availability and equity, </w:t>
      </w:r>
      <w:proofErr w:type="spellStart"/>
      <w:r w:rsidRPr="005755A3">
        <w:rPr>
          <w:sz w:val="12"/>
        </w:rPr>
        <w:t>Watal</w:t>
      </w:r>
      <w:proofErr w:type="spellEnd"/>
      <w:r w:rsidRPr="005755A3">
        <w:rPr>
          <w:sz w:val="12"/>
        </w:rPr>
        <w:t xml:space="preserve"> responded: “No. It won’t. That’s clear.”</w:t>
      </w:r>
      <w:hyperlink r:id="rId35" w:anchor="Fn21" w:history="1">
        <w:r w:rsidRPr="005755A3">
          <w:rPr>
            <w:rStyle w:val="Hyperlink"/>
            <w:sz w:val="12"/>
          </w:rPr>
          <w:t>Footnote21</w:t>
        </w:r>
      </w:hyperlink>
      <w:r w:rsidRPr="005755A3">
        <w:rPr>
          <w:sz w:val="12"/>
        </w:rPr>
        <w:t xml:space="preserve"> I share </w:t>
      </w:r>
      <w:proofErr w:type="spellStart"/>
      <w:r w:rsidRPr="005755A3">
        <w:rPr>
          <w:sz w:val="12"/>
        </w:rPr>
        <w:t>Watal’s</w:t>
      </w:r>
      <w:proofErr w:type="spellEnd"/>
      <w:r w:rsidRPr="005755A3">
        <w:rPr>
          <w:sz w:val="12"/>
        </w:rPr>
        <w:t xml:space="preserve"> view and do not support a TRIPS waiver for IPRs or even a limited waiver for patents. With evidence mounting that “what the proposal … will definitely not achieve is speeding up the Covid-19 vaccination rate in India or other parts of the Global South”</w:t>
      </w:r>
      <w:hyperlink r:id="rId36" w:anchor="Fn22" w:history="1">
        <w:r w:rsidRPr="005755A3">
          <w:rPr>
            <w:rStyle w:val="Hyperlink"/>
            <w:sz w:val="12"/>
          </w:rPr>
          <w:t>Footnote22</w:t>
        </w:r>
      </w:hyperlink>
      <w:r w:rsidRPr="005755A3">
        <w:rPr>
          <w:sz w:val="12"/>
        </w:rPr>
        <w:t> I refuse to sacrifice academic integrity by supporting a proposal simply because it is gaining traction in some circles.</w:t>
      </w:r>
      <w:hyperlink r:id="rId37" w:anchor="Fn23" w:history="1">
        <w:r w:rsidRPr="005755A3">
          <w:rPr>
            <w:rStyle w:val="Hyperlink"/>
            <w:sz w:val="12"/>
          </w:rPr>
          <w:t>Footnote23</w:t>
        </w:r>
      </w:hyperlink>
      <w:r w:rsidRPr="005755A3">
        <w:rPr>
          <w:sz w:val="12"/>
        </w:rPr>
        <w:t> </w:t>
      </w:r>
      <w:r w:rsidRPr="001F4506">
        <w:rPr>
          <w:rStyle w:val="StyleUnderline"/>
          <w:highlight w:val="yellow"/>
        </w:rPr>
        <w:t>IPRs played a key role in delivering vaccines within a year</w:t>
      </w:r>
      <w:r w:rsidRPr="005755A3">
        <w:rPr>
          <w:rStyle w:val="StyleUnderline"/>
        </w:rPr>
        <w:t xml:space="preserve"> of the discovery of a new pathogen; it seems inexplicable that the world would abandon the system without any evidence that IPRs are limiting during the current crisis</w:t>
      </w:r>
      <w:r w:rsidRPr="005755A3">
        <w:rPr>
          <w:sz w:val="12"/>
        </w:rPr>
        <w:t>.</w:t>
      </w:r>
      <w:hyperlink r:id="rId38" w:anchor="Fn24" w:history="1">
        <w:r w:rsidRPr="005755A3">
          <w:rPr>
            <w:rStyle w:val="Hyperlink"/>
            <w:sz w:val="12"/>
          </w:rPr>
          <w:t>Footnote24</w:t>
        </w:r>
      </w:hyperlink>
      <w:r w:rsidRPr="005755A3">
        <w:rPr>
          <w:sz w:val="12"/>
        </w:rPr>
        <w:t> Moreover</w:t>
      </w:r>
      <w:r w:rsidRPr="005755A3">
        <w:rPr>
          <w:rStyle w:val="StyleUnderline"/>
        </w:rPr>
        <w:t xml:space="preserve">, </w:t>
      </w:r>
      <w:r w:rsidRPr="001F4506">
        <w:rPr>
          <w:rStyle w:val="StyleUnderline"/>
          <w:highlight w:val="yellow"/>
        </w:rPr>
        <w:t>innovators have been generous in licensing technology transfer and production and one would be hard-pressed to find credible reports of qualified generic producers being refused a license</w:t>
      </w:r>
      <w:r w:rsidRPr="005755A3">
        <w:rPr>
          <w:sz w:val="12"/>
        </w:rPr>
        <w:t xml:space="preserve">. This is not surprising, </w:t>
      </w:r>
      <w:r w:rsidRPr="001F4506">
        <w:rPr>
          <w:rStyle w:val="StyleUnderline"/>
          <w:highlight w:val="yellow"/>
        </w:rPr>
        <w:t xml:space="preserve">since multiple competing vaccines are on the market it </w:t>
      </w:r>
      <w:r w:rsidRPr="001F4506">
        <w:rPr>
          <w:rStyle w:val="StyleUnderline"/>
        </w:rPr>
        <w:t xml:space="preserve">simply </w:t>
      </w:r>
      <w:r w:rsidRPr="001F4506">
        <w:rPr>
          <w:rStyle w:val="StyleUnderline"/>
          <w:highlight w:val="yellow"/>
        </w:rPr>
        <w:t>does not make economic sense for innovators to refuse a license – the generic manufacturer would simply obtain a license (and market share) and pay royalties to a competitor.</w:t>
      </w:r>
      <w:r w:rsidRPr="001F4506">
        <w:rPr>
          <w:sz w:val="12"/>
          <w:highlight w:val="yellow"/>
        </w:rPr>
        <w:t xml:space="preserve"> </w:t>
      </w:r>
      <w:r w:rsidRPr="001F4506">
        <w:rPr>
          <w:rStyle w:val="StyleUnderline"/>
          <w:highlight w:val="yellow"/>
        </w:rPr>
        <w:t>¶</w:t>
      </w:r>
      <w:r w:rsidRPr="001F4506">
        <w:rPr>
          <w:rStyle w:val="StyleUnderline"/>
        </w:rPr>
        <w:t>Instead, I support efforts to enable prompt and effective use of existing flexibilities in the TRIPS Agreement and concerted and coordinated efforts involving governments and the private sector to ensure all qualified generic producers willing and capable</w:t>
      </w:r>
      <w:r w:rsidRPr="005755A3">
        <w:rPr>
          <w:rStyle w:val="StyleUnderline"/>
        </w:rPr>
        <w:t xml:space="preserve"> of manufacturing vaccines are doing so and to create supply by working to bring more facilities up to standard. </w:t>
      </w:r>
      <w:r w:rsidRPr="001F4506">
        <w:rPr>
          <w:rStyle w:val="StyleUnderline"/>
          <w:highlight w:val="yellow"/>
        </w:rPr>
        <w:t xml:space="preserve">Cooperation will not only lead us out of this pandemic but also put us in a better position to deal with the next one. </w:t>
      </w:r>
      <w:r w:rsidRPr="00E2744C">
        <w:rPr>
          <w:rStyle w:val="StyleUnderline"/>
          <w:u w:val="none"/>
        </w:rPr>
        <w:t>Killing the goose that laid the golden egg may seem appealing to some in the short term but will only ensure that no eggs are delivered in the next pandemic.</w:t>
      </w:r>
    </w:p>
    <w:p w14:paraId="33A2F4A0" w14:textId="77777777" w:rsidR="00B737EB" w:rsidRPr="00B737EB" w:rsidRDefault="00B737EB" w:rsidP="00B737EB"/>
    <w:p w14:paraId="795A6F10" w14:textId="70C1D53C" w:rsidR="00E42E4C" w:rsidRPr="00F601E6" w:rsidRDefault="000B6A6A" w:rsidP="000B6A6A">
      <w:pPr>
        <w:pStyle w:val="Heading4"/>
        <w:numPr>
          <w:ilvl w:val="0"/>
          <w:numId w:val="13"/>
        </w:numPr>
      </w:pPr>
      <w:r>
        <w:t xml:space="preserve">Bioterror holds the internal link to nuclear war. If terrorists from other countries are attacking other countries, this creates tension. This tension can create a nuclear war.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B72F85"/>
    <w:multiLevelType w:val="hybridMultilevel"/>
    <w:tmpl w:val="6A76C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C6A6E"/>
    <w:multiLevelType w:val="hybridMultilevel"/>
    <w:tmpl w:val="FD72AC24"/>
    <w:lvl w:ilvl="0" w:tplc="C0089D24">
      <w:numFmt w:val="bullet"/>
      <w:lvlText w:val="-"/>
      <w:lvlJc w:val="left"/>
      <w:pPr>
        <w:ind w:left="1440" w:hanging="360"/>
      </w:pPr>
      <w:rPr>
        <w:rFonts w:ascii="Calibri" w:eastAsiaTheme="majorEastAsia"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5357833"/>
    <w:multiLevelType w:val="hybridMultilevel"/>
    <w:tmpl w:val="1E4A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F513A3"/>
    <w:multiLevelType w:val="hybridMultilevel"/>
    <w:tmpl w:val="1E4A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47D2"/>
    <w:rsid w:val="000029E3"/>
    <w:rsid w:val="000029E8"/>
    <w:rsid w:val="00004225"/>
    <w:rsid w:val="00004261"/>
    <w:rsid w:val="000066CA"/>
    <w:rsid w:val="00007264"/>
    <w:rsid w:val="000076A9"/>
    <w:rsid w:val="0001153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A6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E9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785"/>
    <w:rsid w:val="00674A78"/>
    <w:rsid w:val="00696A16"/>
    <w:rsid w:val="006A4840"/>
    <w:rsid w:val="006A52A0"/>
    <w:rsid w:val="006A7E1D"/>
    <w:rsid w:val="006B0322"/>
    <w:rsid w:val="006C3A56"/>
    <w:rsid w:val="006D13F4"/>
    <w:rsid w:val="006D6AED"/>
    <w:rsid w:val="006E063F"/>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3C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993"/>
    <w:rsid w:val="009F1CBB"/>
    <w:rsid w:val="009F3305"/>
    <w:rsid w:val="009F6FB2"/>
    <w:rsid w:val="00A071C0"/>
    <w:rsid w:val="00A22670"/>
    <w:rsid w:val="00A24B35"/>
    <w:rsid w:val="00A271BA"/>
    <w:rsid w:val="00A27F86"/>
    <w:rsid w:val="00A431C6"/>
    <w:rsid w:val="00A4755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E7F"/>
    <w:rsid w:val="00B24662"/>
    <w:rsid w:val="00B3569C"/>
    <w:rsid w:val="00B43676"/>
    <w:rsid w:val="00B5602D"/>
    <w:rsid w:val="00B60125"/>
    <w:rsid w:val="00B6656B"/>
    <w:rsid w:val="00B71625"/>
    <w:rsid w:val="00B737EB"/>
    <w:rsid w:val="00B747D2"/>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89E"/>
    <w:rsid w:val="00E01DAD"/>
    <w:rsid w:val="00E021DC"/>
    <w:rsid w:val="00E03F91"/>
    <w:rsid w:val="00E064EF"/>
    <w:rsid w:val="00E064F2"/>
    <w:rsid w:val="00E0717B"/>
    <w:rsid w:val="00E15598"/>
    <w:rsid w:val="00E20D65"/>
    <w:rsid w:val="00E2744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3DC53"/>
  <w14:defaultImageDpi w14:val="300"/>
  <w15:docId w15:val="{E0549F46-BD30-4948-B18F-3BEE4BC34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6E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6E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6E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6E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B16E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6E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6E7F"/>
  </w:style>
  <w:style w:type="character" w:customStyle="1" w:styleId="Heading1Char">
    <w:name w:val="Heading 1 Char"/>
    <w:aliases w:val="Pocket Char"/>
    <w:basedOn w:val="DefaultParagraphFont"/>
    <w:link w:val="Heading1"/>
    <w:uiPriority w:val="9"/>
    <w:rsid w:val="00B16E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6E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6E7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B16E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16E7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B16E7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B16E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6E7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B16E7F"/>
    <w:rPr>
      <w:color w:val="auto"/>
      <w:u w:val="none"/>
    </w:rPr>
  </w:style>
  <w:style w:type="paragraph" w:styleId="DocumentMap">
    <w:name w:val="Document Map"/>
    <w:basedOn w:val="Normal"/>
    <w:link w:val="DocumentMapChar"/>
    <w:uiPriority w:val="99"/>
    <w:semiHidden/>
    <w:unhideWhenUsed/>
    <w:rsid w:val="00B16E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6E7F"/>
    <w:rPr>
      <w:rFonts w:ascii="Lucida Grande" w:hAnsi="Lucida Grande" w:cs="Lucida Grande"/>
    </w:rPr>
  </w:style>
  <w:style w:type="paragraph" w:customStyle="1" w:styleId="textbold">
    <w:name w:val="text bold"/>
    <w:basedOn w:val="Normal"/>
    <w:link w:val="Emphasis"/>
    <w:uiPriority w:val="20"/>
    <w:qFormat/>
    <w:rsid w:val="00B747D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B747D2"/>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B747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0042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link.springer.com/article/10.1007/s40319-021-01083-5" TargetMode="External"/><Relationship Id="rId26" Type="http://schemas.openxmlformats.org/officeDocument/2006/relationships/hyperlink" Target="https://link.springer.com/article/10.1007/s40319-021-01083-5" TargetMode="External"/><Relationship Id="rId39" Type="http://schemas.openxmlformats.org/officeDocument/2006/relationships/fontTable" Target="fontTable.xml"/><Relationship Id="rId21" Type="http://schemas.openxmlformats.org/officeDocument/2006/relationships/hyperlink" Target="https://link.springer.com/article/10.1007/s40319-021-01083-5" TargetMode="External"/><Relationship Id="rId34" Type="http://schemas.openxmlformats.org/officeDocument/2006/relationships/hyperlink" Target="https://link.springer.com/article/10.1007/s40319-021-01083-5"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link.springer.com/article/10.1007/s40319-021-01083-5" TargetMode="External"/><Relationship Id="rId25" Type="http://schemas.openxmlformats.org/officeDocument/2006/relationships/hyperlink" Target="https://link.springer.com/article/10.1007/s40319-021-01083-5" TargetMode="External"/><Relationship Id="rId33" Type="http://schemas.openxmlformats.org/officeDocument/2006/relationships/hyperlink" Target="https://link.springer.com/article/10.1007/s40319-021-01083-5" TargetMode="External"/><Relationship Id="rId38" Type="http://schemas.openxmlformats.org/officeDocument/2006/relationships/hyperlink" Target="https://link.springer.com/article/10.1007/s40319-021-01083-5" TargetMode="External"/><Relationship Id="rId2" Type="http://schemas.openxmlformats.org/officeDocument/2006/relationships/customXml" Target="../customXml/item2.xml"/><Relationship Id="rId16" Type="http://schemas.openxmlformats.org/officeDocument/2006/relationships/hyperlink" Target="https://link.springer.com/article/10.1007/s40319-021-01083-5" TargetMode="External"/><Relationship Id="rId20" Type="http://schemas.openxmlformats.org/officeDocument/2006/relationships/hyperlink" Target="https://link.springer.com/article/10.1007/s40319-021-01083-5" TargetMode="External"/><Relationship Id="rId29" Type="http://schemas.openxmlformats.org/officeDocument/2006/relationships/hyperlink" Target="https://link.springer.com/article/10.1007/s40319-021-0108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hyperlink" Target="https://link.springer.com/article/10.1007/s40319-021-01083-5" TargetMode="External"/><Relationship Id="rId32" Type="http://schemas.openxmlformats.org/officeDocument/2006/relationships/hyperlink" Target="https://link.springer.com/article/10.1007/s40319-021-01083-5" TargetMode="External"/><Relationship Id="rId37" Type="http://schemas.openxmlformats.org/officeDocument/2006/relationships/hyperlink" Target="https://link.springer.com/article/10.1007/s40319-021-01083-5"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link.springer.com/article/10.1007/s40319-021-01083-5" TargetMode="External"/><Relationship Id="rId23" Type="http://schemas.openxmlformats.org/officeDocument/2006/relationships/hyperlink" Target="https://link.springer.com/article/10.1007/s40319-021-01083-5" TargetMode="External"/><Relationship Id="rId28" Type="http://schemas.openxmlformats.org/officeDocument/2006/relationships/hyperlink" Target="https://link.springer.com/article/10.1007/s40319-021-01083-5" TargetMode="External"/><Relationship Id="rId36" Type="http://schemas.openxmlformats.org/officeDocument/2006/relationships/hyperlink" Target="https://link.springer.com/article/10.1007/s40319-021-01083-5" TargetMode="External"/><Relationship Id="rId10" Type="http://schemas.openxmlformats.org/officeDocument/2006/relationships/hyperlink" Target="https://www.wsj.com/market-data/quotes/MRNA" TargetMode="External"/><Relationship Id="rId19" Type="http://schemas.openxmlformats.org/officeDocument/2006/relationships/hyperlink" Target="https://link.springer.com/article/10.1007/s40319-021-01083-5" TargetMode="External"/><Relationship Id="rId31"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link.springer.com/article/10.1007/s40319-021-01083-5%20accessed%208/12/2021" TargetMode="External"/><Relationship Id="rId22" Type="http://schemas.openxmlformats.org/officeDocument/2006/relationships/hyperlink" Target="https://link.springer.com/article/10.1007/s40319-021-01083-5" TargetMode="External"/><Relationship Id="rId27" Type="http://schemas.openxmlformats.org/officeDocument/2006/relationships/hyperlink" Target="https://link.springer.com/article/10.1007/s40319-021-01083-5" TargetMode="External"/><Relationship Id="rId30" Type="http://schemas.openxmlformats.org/officeDocument/2006/relationships/hyperlink" Target="https://link.springer.com/article/10.1007/s40319-021-01083-5" TargetMode="External"/><Relationship Id="rId35" Type="http://schemas.openxmlformats.org/officeDocument/2006/relationships/hyperlink" Target="https://link.springer.com/article/10.1007/s40319-021-01083-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65</TotalTime>
  <Pages>12</Pages>
  <Words>8691</Words>
  <Characters>49540</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15</cp:revision>
  <dcterms:created xsi:type="dcterms:W3CDTF">2021-10-23T03:15:00Z</dcterms:created>
  <dcterms:modified xsi:type="dcterms:W3CDTF">2021-10-23T19:28:00Z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