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B314" w14:textId="77777777" w:rsidR="00EE0C6A" w:rsidRDefault="00EE0C6A" w:rsidP="00EE0C6A">
      <w:pPr>
        <w:pStyle w:val="Heading1"/>
      </w:pPr>
      <w:r>
        <w:t xml:space="preserve">Aff </w:t>
      </w:r>
    </w:p>
    <w:p w14:paraId="64CBCA13" w14:textId="77777777" w:rsidR="00EE0C6A" w:rsidRDefault="00EE0C6A" w:rsidP="00EE0C6A">
      <w:pPr>
        <w:pStyle w:val="Heading2"/>
      </w:pPr>
      <w:r>
        <w:lastRenderedPageBreak/>
        <w:t>AC</w:t>
      </w:r>
    </w:p>
    <w:p w14:paraId="79142380" w14:textId="77777777" w:rsidR="00EE0C6A" w:rsidRPr="0079304C" w:rsidRDefault="00EE0C6A" w:rsidP="00EE0C6A">
      <w:pPr>
        <w:pStyle w:val="Heading4"/>
        <w:rPr>
          <w:rFonts w:cs="Calibri"/>
        </w:rPr>
      </w:pPr>
      <w:r w:rsidRPr="0079304C">
        <w:rPr>
          <w:rFonts w:cs="Calibri"/>
        </w:rPr>
        <w:t xml:space="preserve">Incarcerated workers do not </w:t>
      </w:r>
      <w:r>
        <w:rPr>
          <w:rFonts w:cs="Calibri"/>
        </w:rPr>
        <w:t xml:space="preserve">currently </w:t>
      </w:r>
      <w:r w:rsidRPr="0079304C">
        <w:rPr>
          <w:rFonts w:cs="Calibri"/>
        </w:rPr>
        <w:t>have a right to strike in the US</w:t>
      </w:r>
      <w:r>
        <w:rPr>
          <w:rFonts w:cs="Calibri"/>
        </w:rPr>
        <w:t>.</w:t>
      </w:r>
    </w:p>
    <w:p w14:paraId="14A2D539" w14:textId="77777777" w:rsidR="00EE0C6A" w:rsidRPr="0079304C" w:rsidRDefault="00EE0C6A" w:rsidP="00EE0C6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45DA9897" w14:textId="77777777" w:rsidR="00EE0C6A" w:rsidRDefault="00EE0C6A" w:rsidP="00EE0C6A">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w:t>
      </w:r>
      <w:r w:rsidRPr="3E7272B5">
        <w:rPr>
          <w:sz w:val="12"/>
          <w:szCs w:val="12"/>
        </w:rPr>
        <w:lastRenderedPageBreak/>
        <w:t xml:space="preserve">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E1CAB20" w14:textId="77777777" w:rsidR="00EE0C6A" w:rsidRPr="00DF073A" w:rsidRDefault="00EE0C6A" w:rsidP="00EE0C6A">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CDDD565" w14:textId="77777777" w:rsidR="00EE0C6A" w:rsidRPr="00DF073A" w:rsidRDefault="00EE0C6A" w:rsidP="00EE0C6A">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45507DC0" w14:textId="77777777" w:rsidR="00EE0C6A" w:rsidRPr="00ED06A4" w:rsidRDefault="00EE0C6A" w:rsidP="00EE0C6A">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lastRenderedPageBreak/>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3BF50478" w14:textId="77777777" w:rsidR="00EE0C6A" w:rsidRDefault="00EE0C6A" w:rsidP="00EE0C6A">
      <w:pPr>
        <w:pStyle w:val="Heading4"/>
        <w:rPr>
          <w:rFonts w:cs="Calibri"/>
        </w:rPr>
      </w:pPr>
      <w:r>
        <w:rPr>
          <w:rFonts w:cs="Calibri"/>
        </w:rPr>
        <w:t>Prison working conditions are terrible—incarcerated people work in unsafe environments and accrue thousands of dollars in debt. Eisen 20</w:t>
      </w:r>
    </w:p>
    <w:p w14:paraId="41B941A4" w14:textId="77777777" w:rsidR="00EE0C6A" w:rsidRPr="00DF5337" w:rsidRDefault="00EE0C6A" w:rsidP="00EE0C6A">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7B180671" w14:textId="77777777" w:rsidR="00EE0C6A" w:rsidRPr="00A43A7F" w:rsidRDefault="00EE0C6A" w:rsidP="00EE0C6A">
      <w:pPr>
        <w:ind w:left="720"/>
        <w:rPr>
          <w:sz w:val="14"/>
        </w:rPr>
      </w:pPr>
      <w:r w:rsidRPr="00A43A7F">
        <w:rPr>
          <w:sz w:val="14"/>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A43A7F">
        <w:rPr>
          <w:sz w:val="14"/>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A43A7F">
        <w:rPr>
          <w:sz w:val="14"/>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A43A7F">
          <w:rPr>
            <w:rStyle w:val="Hyperlink"/>
            <w:sz w:val="14"/>
          </w:rPr>
          <w:t>held</w:t>
        </w:r>
      </w:hyperlink>
      <w:r w:rsidRPr="00A43A7F">
        <w:rPr>
          <w:sz w:val="14"/>
        </w:rPr>
        <w:t xml:space="preserve"> that it is up to Congress, not the courts, to decide whether the FLSA applies to incarcerated workers.¶ Courts have also </w:t>
      </w:r>
      <w:hyperlink r:id="rId17" w:tgtFrame="_blank" w:history="1">
        <w:r w:rsidRPr="00A43A7F">
          <w:rPr>
            <w:rStyle w:val="Hyperlink"/>
            <w:sz w:val="14"/>
          </w:rPr>
          <w:t>ruled</w:t>
        </w:r>
      </w:hyperlink>
      <w:r w:rsidRPr="00A43A7F">
        <w:rPr>
          <w:sz w:val="14"/>
        </w:rPr>
        <w:t xml:space="preserve"> that the National Labor Relations Act, which guarantees the right of private sector employees to collective bargaining, does not apply in prisoners.¶ Even worse</w:t>
      </w:r>
      <w:r w:rsidRPr="00A43A7F">
        <w:rPr>
          <w:sz w:val="14"/>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w:t>
        </w:r>
        <w:r w:rsidRPr="00652222">
          <w:rPr>
            <w:rStyle w:val="StyleUnderline"/>
          </w:rPr>
          <w:t xml:space="preserve"> physical</w:t>
        </w:r>
        <w:r w:rsidRPr="00DF5337">
          <w:rPr>
            <w:rStyle w:val="StyleUnderline"/>
            <w:highlight w:val="yellow"/>
          </w:rPr>
          <w:t xml:space="preserve">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A43A7F">
        <w:rPr>
          <w:sz w:val="14"/>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A43A7F">
          <w:rPr>
            <w:rStyle w:val="Hyperlink"/>
            <w:sz w:val="14"/>
          </w:rPr>
          <w:t>poorly</w:t>
        </w:r>
      </w:hyperlink>
      <w:r w:rsidRPr="00A43A7F">
        <w:rPr>
          <w:sz w:val="14"/>
        </w:rPr>
        <w:t xml:space="preserve"> as they had been as slaves. Records </w:t>
      </w:r>
      <w:hyperlink r:id="rId21" w:anchor="v=onepage&amp;q=Robert%20Zieger%2C%20%E2%80%9CFor%20Jobs%20and%20Freedom%3A%20Race%20and%20Labor%20in%20America%20Since%201965.%E2%80%9D&amp;f=false" w:tgtFrame="_blank" w:history="1">
        <w:r w:rsidRPr="00A43A7F">
          <w:rPr>
            <w:rStyle w:val="Hyperlink"/>
            <w:sz w:val="14"/>
          </w:rPr>
          <w:t>approximate</w:t>
        </w:r>
      </w:hyperlink>
      <w:r w:rsidRPr="00A43A7F">
        <w:rPr>
          <w:sz w:val="14"/>
        </w:rPr>
        <w:t xml:space="preserve"> that on an average day between 1885 and 1920, 10,000 to 20,000 prisoners — the overwhelming </w:t>
      </w:r>
      <w:r w:rsidRPr="00A43A7F">
        <w:rPr>
          <w:sz w:val="14"/>
        </w:rPr>
        <w:lastRenderedPageBreak/>
        <w:t xml:space="preserve">majority of them Black Americans — continued to toil under these insufferable circumstances.¶ In the 1930s, a </w:t>
      </w:r>
      <w:hyperlink r:id="rId22" w:tgtFrame="_blank" w:history="1">
        <w:r w:rsidRPr="00A43A7F">
          <w:rPr>
            <w:rStyle w:val="Hyperlink"/>
            <w:sz w:val="14"/>
          </w:rPr>
          <w:t>series of laws</w:t>
        </w:r>
      </w:hyperlink>
      <w:r w:rsidRPr="00A43A7F">
        <w:rPr>
          <w:sz w:val="14"/>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A43A7F">
          <w:rPr>
            <w:rStyle w:val="Hyperlink"/>
            <w:sz w:val="14"/>
          </w:rPr>
          <w:t>legislation</w:t>
        </w:r>
      </w:hyperlink>
      <w:r w:rsidRPr="00A43A7F">
        <w:rPr>
          <w:sz w:val="14"/>
        </w:rPr>
        <w:t xml:space="preserve"> allowing state corrections officials to collaborate with private industries to produce prison-made goods, birthing the modern era of prison labor. ¶ Today, </w:t>
      </w:r>
      <w:hyperlink r:id="rId24" w:tgtFrame="_blank" w:history="1">
        <w:r w:rsidRPr="00A43A7F">
          <w:rPr>
            <w:rStyle w:val="Hyperlink"/>
            <w:sz w:val="14"/>
          </w:rPr>
          <w:t>approximately 55 percent</w:t>
        </w:r>
      </w:hyperlink>
      <w:r w:rsidRPr="00A43A7F">
        <w:rPr>
          <w:sz w:val="14"/>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A43A7F">
        <w:rPr>
          <w:sz w:val="14"/>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551F22">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A43A7F">
        <w:rPr>
          <w:sz w:val="14"/>
        </w:rPr>
        <w:t xml:space="preserve">In 2018, prisoners in dozens of facilities across the country went on strike and issued a </w:t>
      </w:r>
      <w:hyperlink r:id="rId25" w:tgtFrame="_blank" w:history="1">
        <w:r w:rsidRPr="00A43A7F">
          <w:rPr>
            <w:rStyle w:val="Hyperlink"/>
            <w:sz w:val="14"/>
          </w:rPr>
          <w:t>list of demands</w:t>
        </w:r>
      </w:hyperlink>
      <w:r w:rsidRPr="00A43A7F">
        <w:rPr>
          <w:sz w:val="14"/>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A43A7F">
        <w:rPr>
          <w:sz w:val="14"/>
        </w:rPr>
        <w:t>. To fail to do so is not far off from the devaluation and brutalization of slave labor that was ostensibly abandoned a century and a half ago.</w:t>
      </w:r>
    </w:p>
    <w:p w14:paraId="63BC2365" w14:textId="77777777" w:rsidR="00EE0C6A" w:rsidRPr="0079304C" w:rsidRDefault="00EE0C6A" w:rsidP="00EE0C6A">
      <w:pPr>
        <w:pStyle w:val="Heading4"/>
        <w:rPr>
          <w:rFonts w:cs="Calibri"/>
        </w:rPr>
      </w:pPr>
      <w:r>
        <w:rPr>
          <w:rFonts w:cs="Calibri"/>
        </w:rPr>
        <w:t>Incarcerated workers</w:t>
      </w:r>
      <w:r w:rsidRPr="0079304C">
        <w:rPr>
          <w:rFonts w:cs="Calibri"/>
        </w:rPr>
        <w:t xml:space="preserve"> </w:t>
      </w:r>
      <w:r>
        <w:rPr>
          <w:rFonts w:cs="Calibri"/>
        </w:rPr>
        <w:t xml:space="preserve">get virtually zero pay for their labor. </w:t>
      </w:r>
      <w:r w:rsidRPr="0079304C">
        <w:rPr>
          <w:rFonts w:cs="Calibri"/>
        </w:rPr>
        <w:t>Fulcher 15</w:t>
      </w:r>
    </w:p>
    <w:p w14:paraId="43A6CDC1" w14:textId="77777777" w:rsidR="00EE0C6A" w:rsidRPr="003051E8" w:rsidRDefault="00EE0C6A" w:rsidP="00EE0C6A">
      <w:r w:rsidRPr="003051E8">
        <w:t>Patrice A. Fulcher [Associate Professor at The John Marshall Law School], 15 - ("Emancipate the FLSA: Transform the Harsh Economic Reality of Working Inmates," Journal of Civil Rights and Economic Development, Winter 2015, accessed 10-28-2021, https://scholarship.law.stjohns.edu/cgi/viewcontent.cgi?article=1759&amp;context=jcred)//ML</w:t>
      </w:r>
    </w:p>
    <w:p w14:paraId="71304CD0" w14:textId="77777777" w:rsidR="00EE0C6A" w:rsidRDefault="00EE0C6A" w:rsidP="00EE0C6A">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w:t>
      </w:r>
      <w:r w:rsidRPr="008B08AC">
        <w:rPr>
          <w:rStyle w:val="StyleUnderline"/>
        </w:rPr>
        <w:lastRenderedPageBreak/>
        <w:t xml:space="preserve">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w:t>
      </w:r>
      <w:r w:rsidRPr="000D3D12">
        <w:rPr>
          <w:sz w:val="12"/>
        </w:rPr>
        <w:lastRenderedPageBreak/>
        <w:t xml:space="preserve">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 xml:space="preserve">private prisons </w:t>
      </w:r>
      <w:r w:rsidRPr="005F1051">
        <w:rPr>
          <w:rStyle w:val="Emphasis"/>
        </w:rPr>
        <w:t xml:space="preserve">on average </w:t>
      </w:r>
      <w:r w:rsidRPr="00952FE1">
        <w:rPr>
          <w:rStyle w:val="Emphasis"/>
          <w:highlight w:val="yellow"/>
        </w:rPr>
        <w:t>pay</w:t>
      </w:r>
      <w:r w:rsidRPr="005F1051">
        <w:rPr>
          <w:rStyle w:val="Emphasis"/>
        </w:rPr>
        <w:t xml:space="preserve"> </w:t>
      </w:r>
      <w:r w:rsidRPr="008B08AC">
        <w:rPr>
          <w:rStyle w:val="Emphasis"/>
          <w:highlight w:val="yellow"/>
        </w:rPr>
        <w:t>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4FFB063" w14:textId="77777777" w:rsidR="00EE0C6A" w:rsidRDefault="00EE0C6A" w:rsidP="00EE0C6A">
      <w:pPr>
        <w:pStyle w:val="Heading4"/>
      </w:pPr>
      <w:r>
        <w:t>Low wages for incarcerated workers create cycles of recidivism. Fulcher 15</w:t>
      </w:r>
    </w:p>
    <w:p w14:paraId="401EA44D" w14:textId="77777777" w:rsidR="00EE0C6A" w:rsidRPr="003051E8" w:rsidRDefault="00EE0C6A" w:rsidP="00EE0C6A">
      <w:r w:rsidRPr="003051E8">
        <w:t xml:space="preserve">Patrice A. Fulcher [Associate Professor at The John Marshall Law School], 15 - ("Emancipate the FLSA: Transform the Harsh Economic Reality of Working Inmates," Journal of Civil Rights and Economic Development, Winter 2015, accessed 10-28-2021, </w:t>
      </w:r>
      <w:hyperlink r:id="rId27" w:history="1">
        <w:r w:rsidRPr="003051E8">
          <w:rPr>
            <w:rStyle w:val="Hyperlink"/>
          </w:rPr>
          <w:t>https://scholarship.law.stjohns.edu/cgi/viewcontent.cgi?article=1759&amp;context=jcred)//ML</w:t>
        </w:r>
      </w:hyperlink>
    </w:p>
    <w:p w14:paraId="7291EBBF" w14:textId="77777777" w:rsidR="00EE0C6A" w:rsidRPr="00BC66A8" w:rsidRDefault="00EE0C6A" w:rsidP="00EE0C6A">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30DED0E" w14:textId="77777777" w:rsidR="00EE0C6A" w:rsidRDefault="00EE0C6A" w:rsidP="00EE0C6A">
      <w:pPr>
        <w:pStyle w:val="Heading2"/>
      </w:pPr>
      <w:r>
        <w:lastRenderedPageBreak/>
        <w:t xml:space="preserve">Plan </w:t>
      </w:r>
    </w:p>
    <w:p w14:paraId="284C16DE" w14:textId="77777777" w:rsidR="00EE0C6A" w:rsidRPr="00822A17" w:rsidRDefault="00EE0C6A" w:rsidP="00EE0C6A">
      <w:pPr>
        <w:pStyle w:val="Heading4"/>
      </w:pPr>
      <w:r>
        <w:t xml:space="preserve">Plan: The United States ought to recognize the unconditional right of incarcerated workers to strike. </w:t>
      </w:r>
    </w:p>
    <w:p w14:paraId="0A1601E4" w14:textId="77777777" w:rsidR="00EE0C6A" w:rsidRPr="0044595D" w:rsidRDefault="00EE0C6A" w:rsidP="00EE0C6A">
      <w:pPr>
        <w:pStyle w:val="Heading2"/>
      </w:pPr>
      <w:r>
        <w:lastRenderedPageBreak/>
        <w:t xml:space="preserve">Solvency </w:t>
      </w:r>
    </w:p>
    <w:p w14:paraId="095346FF" w14:textId="77777777" w:rsidR="00EE0C6A" w:rsidRPr="0079304C" w:rsidRDefault="00EE0C6A" w:rsidP="00EE0C6A">
      <w:pPr>
        <w:pStyle w:val="Heading4"/>
        <w:rPr>
          <w:rFonts w:cs="Calibri"/>
        </w:rPr>
      </w:pPr>
      <w:r>
        <w:rPr>
          <w:rFonts w:cs="Calibri"/>
        </w:rPr>
        <w:t xml:space="preserve">The right to strike is key for incarcerated workers hoping to reform the criminal justice system, allows prison laborers to publicize their conditions and assert their right to dignity  </w:t>
      </w:r>
    </w:p>
    <w:p w14:paraId="5AD75CD5" w14:textId="77777777" w:rsidR="00EE0C6A" w:rsidRPr="0079304C" w:rsidRDefault="00EE0C6A" w:rsidP="00EE0C6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3113A10" w14:textId="77777777" w:rsidR="00EE0C6A" w:rsidRPr="00C37B5A" w:rsidRDefault="00EE0C6A" w:rsidP="00EE0C6A">
      <w:pPr>
        <w:rPr>
          <w:sz w:val="12"/>
          <w:szCs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C37B5A">
        <w:rPr>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16ED33C2" w14:textId="77777777" w:rsidR="00EE0C6A" w:rsidRPr="000D3D12" w:rsidRDefault="00EE0C6A" w:rsidP="00EE0C6A">
      <w:pPr>
        <w:rPr>
          <w:sz w:val="12"/>
        </w:rPr>
      </w:pPr>
    </w:p>
    <w:p w14:paraId="24E758F1" w14:textId="77777777" w:rsidR="00EE0C6A" w:rsidRPr="00D75425" w:rsidRDefault="00EE0C6A" w:rsidP="00EE0C6A">
      <w:pPr>
        <w:pStyle w:val="Heading4"/>
      </w:pPr>
      <w:r>
        <w:lastRenderedPageBreak/>
        <w:t>Incarcerated workers are uniquely vulnerable to exploitation -- the right to strike is a key weapon in fighting for better conditions</w:t>
      </w:r>
    </w:p>
    <w:p w14:paraId="5A4BE99E" w14:textId="77777777" w:rsidR="00EE0C6A" w:rsidRDefault="00EE0C6A" w:rsidP="00EE0C6A">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2D4E4AF6" w14:textId="77777777" w:rsidR="00EE0C6A" w:rsidRPr="002A7C57" w:rsidRDefault="00EE0C6A" w:rsidP="00EE0C6A">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 xml:space="preserve">walk off </w:t>
      </w:r>
      <w:r w:rsidRPr="033DC131">
        <w:rPr>
          <w:rStyle w:val="StyleUnderline"/>
          <w:highlight w:val="yellow"/>
        </w:rPr>
        <w:lastRenderedPageBreak/>
        <w:t>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F9E7CCF" w14:textId="77777777" w:rsidR="00EE0C6A" w:rsidRDefault="00EE0C6A" w:rsidP="00EE0C6A">
      <w:pPr>
        <w:pStyle w:val="Heading4"/>
        <w:rPr>
          <w:lang w:val="en-HK"/>
        </w:rPr>
      </w:pPr>
      <w:r>
        <w:rPr>
          <w:rStyle w:val="Style13ptBold"/>
          <w:b/>
          <w:bCs w:val="0"/>
        </w:rPr>
        <w:t>Incarcerated workers</w:t>
      </w:r>
      <w:r w:rsidRPr="002B3BD3">
        <w:rPr>
          <w:rStyle w:val="Style13ptBold"/>
          <w:b/>
          <w:bCs w:val="0"/>
        </w:rPr>
        <w:t xml:space="preserve">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6E26E8F0" w14:textId="77777777" w:rsidR="00EE0C6A" w:rsidRPr="00822A17" w:rsidRDefault="00EE0C6A" w:rsidP="00EE0C6A">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 xml:space="preserve">The moral case to let prisoners unionize and have the protections given to civilian workers is straightforward: forcing people to work is inhumane, as are the ridiculously </w:t>
      </w:r>
      <w:r w:rsidRPr="008D502B">
        <w:rPr>
          <w:rStyle w:val="StyleUnderline"/>
          <w:lang w:val="en-HK"/>
        </w:rPr>
        <w:lastRenderedPageBreak/>
        <w:t>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65C333EC" w14:textId="77777777" w:rsidR="00EE0C6A" w:rsidRDefault="00EE0C6A" w:rsidP="00EE0C6A">
      <w:pPr>
        <w:pStyle w:val="Heading2"/>
      </w:pPr>
      <w:r>
        <w:lastRenderedPageBreak/>
        <w:t xml:space="preserve">Framework </w:t>
      </w:r>
    </w:p>
    <w:p w14:paraId="0CABE4F1" w14:textId="77777777" w:rsidR="00EE0C6A" w:rsidRPr="00E27770" w:rsidRDefault="00EE0C6A" w:rsidP="00EE0C6A">
      <w:pPr>
        <w:pStyle w:val="Heading4"/>
        <w:rPr>
          <w:rFonts w:cs="Calibri"/>
        </w:rPr>
      </w:pPr>
      <w:bookmarkStart w:id="0" w:name="_Hlk54560893"/>
      <w:r>
        <w:rPr>
          <w:rFonts w:cs="Calibri"/>
        </w:rPr>
        <w:t>The impact of structural violence cumulatively outweighs – challenging the structures that facilitate inequality is necessary</w:t>
      </w:r>
    </w:p>
    <w:p w14:paraId="397A9CDC" w14:textId="77777777" w:rsidR="00EE0C6A" w:rsidRPr="00E27770" w:rsidRDefault="00EE0C6A" w:rsidP="00EE0C6A">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2FE07D50" w14:textId="77777777" w:rsidR="00EE0C6A" w:rsidRPr="00324812" w:rsidRDefault="00EE0C6A" w:rsidP="00EE0C6A">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52343449" w14:textId="77777777" w:rsidR="00EE0C6A" w:rsidRPr="0051515F" w:rsidRDefault="00EE0C6A" w:rsidP="00EE0C6A">
      <w:pPr>
        <w:pStyle w:val="Heading3"/>
      </w:pPr>
      <w:r w:rsidRPr="0051515F">
        <w:rPr>
          <w:rFonts w:eastAsia="Calibri" w:cs="Calibri"/>
          <w:sz w:val="44"/>
          <w:szCs w:val="44"/>
        </w:rPr>
        <w:lastRenderedPageBreak/>
        <w:t xml:space="preserve">Underview 1 </w:t>
      </w:r>
    </w:p>
    <w:p w14:paraId="37C6C6A3" w14:textId="77777777" w:rsidR="00EE0C6A" w:rsidRDefault="00EE0C6A" w:rsidP="00EE0C6A">
      <w:pPr>
        <w:pStyle w:val="Heading4"/>
      </w:pPr>
      <w:r w:rsidRPr="4A4EEA91">
        <w:rPr>
          <w:rFonts w:eastAsia="Calibri" w:cs="Calibri"/>
        </w:rPr>
        <w:t xml:space="preserve">Scholarly discourse and engagement with politics is key to effective structural reform - critique is insufficient. </w:t>
      </w:r>
    </w:p>
    <w:p w14:paraId="5FBF2731" w14:textId="77777777" w:rsidR="00EE0C6A" w:rsidRDefault="00EE0C6A" w:rsidP="00EE0C6A">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434F63AF" w14:textId="77777777" w:rsidR="00EE0C6A" w:rsidRDefault="00EE0C6A" w:rsidP="00EE0C6A">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57B00518" w14:textId="77777777" w:rsidR="00EE0C6A" w:rsidRDefault="00EE0C6A" w:rsidP="00EE0C6A">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16C03F5D" w14:textId="77777777" w:rsidR="00EE0C6A" w:rsidRDefault="00EE0C6A" w:rsidP="00EE0C6A">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84B9DDC" w14:textId="77777777" w:rsidR="00EE0C6A" w:rsidRDefault="00EE0C6A" w:rsidP="00EE0C6A">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37F40146" w14:textId="77777777" w:rsidR="00EE0C6A" w:rsidRDefault="00EE0C6A" w:rsidP="00EE0C6A">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imperialistic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w:t>
      </w:r>
      <w:r w:rsidRPr="4A4EEA91">
        <w:rPr>
          <w:rFonts w:eastAsia="Calibri"/>
          <w:b/>
          <w:bCs/>
          <w:szCs w:val="22"/>
          <w:highlight w:val="yellow"/>
          <w:u w:val="single"/>
        </w:rPr>
        <w:lastRenderedPageBreak/>
        <w:t>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26E1BA0A" w14:textId="77777777" w:rsidR="00EE0C6A" w:rsidRDefault="00EE0C6A" w:rsidP="00EE0C6A">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3CAAE2C8" w14:textId="77777777" w:rsidR="00EE0C6A" w:rsidRDefault="00EE0C6A" w:rsidP="00EE0C6A">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02CAE1A2" w14:textId="77777777" w:rsidR="00EE0C6A" w:rsidRDefault="00EE0C6A" w:rsidP="00EE0C6A">
      <w:r w:rsidRPr="4A4EEA91">
        <w:rPr>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3C3EC890" w14:textId="77777777" w:rsidR="00EE0C6A" w:rsidRPr="0071706D" w:rsidRDefault="00EE0C6A" w:rsidP="00EE0C6A">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FA10572" w14:textId="77777777" w:rsidR="00EE0C6A" w:rsidRDefault="00EE0C6A" w:rsidP="00EE0C6A">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F5ABBAE" w14:textId="77777777" w:rsidR="00EE0C6A" w:rsidRDefault="00EE0C6A" w:rsidP="00EE0C6A">
      <w:r w:rsidRPr="4A4EEA91">
        <w:rPr>
          <w:b/>
          <w:bCs/>
          <w:sz w:val="26"/>
          <w:szCs w:val="26"/>
        </w:rPr>
        <w:t>Zannoti ’13</w:t>
      </w:r>
      <w:r w:rsidRPr="4A4EEA91">
        <w:rPr>
          <w:rFonts w:eastAsia="Calibri"/>
          <w:b/>
          <w:bCs/>
        </w:rPr>
        <w:t xml:space="preserve"> - </w:t>
      </w:r>
      <w:r w:rsidRPr="4A4EEA91">
        <w:rPr>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6DEF72E" w14:textId="77777777" w:rsidR="00EE0C6A" w:rsidRDefault="00EE0C6A" w:rsidP="00EE0C6A">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w:t>
      </w:r>
      <w:r w:rsidRPr="4A4EEA91">
        <w:rPr>
          <w:rFonts w:eastAsia="Calibri"/>
          <w:b/>
          <w:bCs/>
          <w:szCs w:val="22"/>
          <w:highlight w:val="yellow"/>
          <w:u w:val="single"/>
        </w:rPr>
        <w:lastRenderedPageBreak/>
        <w:t xml:space="preserve">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sz w:val="12"/>
          <w:szCs w:val="12"/>
        </w:rPr>
        <w:t>demonizations</w:t>
      </w:r>
      <w:r w:rsidRPr="4A4EEA91">
        <w:rPr>
          <w:rFonts w:eastAsia="Calibri"/>
          <w:sz w:val="12"/>
          <w:szCs w:val="12"/>
        </w:rPr>
        <w:t xml:space="preserve"> of ‘‘power,’’ </w:t>
      </w:r>
      <w:r w:rsidRPr="4A4EEA91">
        <w:rPr>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sz w:val="12"/>
          <w:szCs w:val="12"/>
        </w:rPr>
        <w:t>So</w:t>
      </w:r>
      <w:r w:rsidRPr="4A4EEA91">
        <w:rPr>
          <w:rFonts w:eastAsia="Calibri"/>
          <w:sz w:val="12"/>
          <w:szCs w:val="12"/>
        </w:rPr>
        <w:t xml:space="preserve"> my position leads not to apathy but to hyper- and pessimistic activism. </w:t>
      </w:r>
    </w:p>
    <w:p w14:paraId="32BD41A8" w14:textId="77777777" w:rsidR="00EE0C6A" w:rsidRDefault="00EE0C6A" w:rsidP="00EE0C6A">
      <w:r w:rsidRPr="4A4EEA91">
        <w:rPr>
          <w:rFonts w:eastAsia="Calibri"/>
        </w:rPr>
        <w:t xml:space="preserve"> </w:t>
      </w:r>
    </w:p>
    <w:p w14:paraId="218C8860" w14:textId="77777777" w:rsidR="00EE0C6A" w:rsidRDefault="00EE0C6A" w:rsidP="00EE0C6A">
      <w:pPr>
        <w:pStyle w:val="Heading3"/>
      </w:pPr>
      <w:r w:rsidRPr="4A4EEA91">
        <w:rPr>
          <w:rFonts w:eastAsia="Calibri" w:cs="Calibri"/>
          <w:sz w:val="44"/>
          <w:szCs w:val="44"/>
        </w:rPr>
        <w:lastRenderedPageBreak/>
        <w:t xml:space="preserve">Underview 2 </w:t>
      </w:r>
    </w:p>
    <w:p w14:paraId="27588326" w14:textId="77777777" w:rsidR="00EE0C6A" w:rsidRDefault="00EE0C6A" w:rsidP="00EE0C6A">
      <w:pPr>
        <w:pStyle w:val="Heading4"/>
      </w:pPr>
      <w:r w:rsidRPr="4A4EEA91">
        <w:rPr>
          <w:rFonts w:eastAsia="Calibri" w:cs="Calibri"/>
        </w:rPr>
        <w:t xml:space="preserve">Their disads will surely be ridiculous. </w:t>
      </w:r>
    </w:p>
    <w:p w14:paraId="09AC0C18" w14:textId="77777777" w:rsidR="00EE0C6A" w:rsidRDefault="00EE0C6A" w:rsidP="00EE0C6A">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2858AC8B" w14:textId="77777777" w:rsidR="00EE0C6A" w:rsidRDefault="00EE0C6A" w:rsidP="00EE0C6A">
      <w:pPr>
        <w:pStyle w:val="Heading4"/>
      </w:pPr>
      <w:r w:rsidRPr="4A4EEA91">
        <w:rPr>
          <w:rFonts w:eastAsia="Calibri" w:cs="Calibri"/>
        </w:rPr>
        <w:t xml:space="preserve">(B) Compound Probability - Multiplied probabilities of long link chains have negligible net probabilities. This is the slippery slope fallacy. </w:t>
      </w:r>
    </w:p>
    <w:p w14:paraId="6CE01055" w14:textId="77777777" w:rsidR="00EE0C6A" w:rsidRDefault="00EE0C6A" w:rsidP="00EE0C6A">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6ADF83CA" w14:textId="77777777" w:rsidR="00EE0C6A" w:rsidRDefault="00EE0C6A" w:rsidP="00EE0C6A">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1BCFC06A" w14:textId="77777777" w:rsidR="00EE0C6A" w:rsidRDefault="00EE0C6A" w:rsidP="00EE0C6A">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0C1568DE" w14:textId="77777777" w:rsidR="00EE0C6A" w:rsidRPr="00416991" w:rsidRDefault="00EE0C6A" w:rsidP="00EE0C6A"/>
    <w:p w14:paraId="6D302083" w14:textId="772BE66B" w:rsidR="00E42E4C" w:rsidRDefault="00EE0C6A" w:rsidP="00EE0C6A">
      <w:pPr>
        <w:pStyle w:val="Heading1"/>
      </w:pPr>
      <w:r>
        <w:lastRenderedPageBreak/>
        <w:t>1ar</w:t>
      </w:r>
    </w:p>
    <w:p w14:paraId="6A337BB9" w14:textId="0597C49A" w:rsidR="00EE0C6A" w:rsidRDefault="00EE0C6A" w:rsidP="00EE0C6A">
      <w:pPr>
        <w:pStyle w:val="Heading2"/>
      </w:pPr>
      <w:r>
        <w:lastRenderedPageBreak/>
        <w:t>Nebel</w:t>
      </w:r>
    </w:p>
    <w:p w14:paraId="2A5DFE0C" w14:textId="77777777" w:rsidR="00EE0C6A" w:rsidRPr="00FD4BB7" w:rsidRDefault="00EE0C6A" w:rsidP="00EE0C6A">
      <w:pPr>
        <w:pStyle w:val="Heading4"/>
        <w:rPr>
          <w:rFonts w:cs="Calibri"/>
        </w:rPr>
      </w:pPr>
      <w:r w:rsidRPr="00FD4BB7">
        <w:rPr>
          <w:rFonts w:cs="Calibri"/>
        </w:rPr>
        <w:t>Unconditional means absolute, not for everyone</w:t>
      </w:r>
    </w:p>
    <w:p w14:paraId="72E7CB61" w14:textId="77777777" w:rsidR="00EE0C6A" w:rsidRPr="00FD4BB7" w:rsidRDefault="00EE0C6A" w:rsidP="00EE0C6A">
      <w:r w:rsidRPr="00FD4BB7">
        <w:rPr>
          <w:rStyle w:val="Style13ptBold"/>
        </w:rPr>
        <w:t>Merriam-Webster</w:t>
      </w:r>
      <w:r w:rsidRPr="00FD4BB7">
        <w:t xml:space="preserve"> - ("Definition of UNQUALIFIED," No Publication, xx-xx-xxxx, https://www.merriam-webster.com/dictionary/unqualified)//va</w:t>
      </w:r>
    </w:p>
    <w:p w14:paraId="41722AD8" w14:textId="77777777" w:rsidR="00EE0C6A" w:rsidRPr="00FD4BB7" w:rsidRDefault="00EE0C6A" w:rsidP="00EE0C6A">
      <w:pPr>
        <w:rPr>
          <w:rStyle w:val="Emphasis"/>
          <w:highlight w:val="yellow"/>
        </w:rPr>
      </w:pPr>
      <w:r w:rsidRPr="00FD4BB7">
        <w:rPr>
          <w:rStyle w:val="Emphasis"/>
          <w:highlight w:val="yellow"/>
        </w:rPr>
        <w:t>Definition of unconditional</w:t>
      </w:r>
    </w:p>
    <w:p w14:paraId="53E27BCE" w14:textId="77777777" w:rsidR="00EE0C6A" w:rsidRPr="00FD4BB7" w:rsidRDefault="00EE0C6A" w:rsidP="00EE0C6A">
      <w:r w:rsidRPr="00FD4BB7">
        <w:rPr>
          <w:highlight w:val="yellow"/>
        </w:rPr>
        <w:t>1: </w:t>
      </w:r>
      <w:r w:rsidRPr="00FD4BB7">
        <w:rPr>
          <w:rStyle w:val="Emphasis"/>
          <w:highlight w:val="yellow"/>
        </w:rPr>
        <w:t>not conditional or limited : </w:t>
      </w:r>
      <w:hyperlink r:id="rId70" w:history="1">
        <w:r w:rsidRPr="00FD4BB7">
          <w:rPr>
            <w:rStyle w:val="Emphasis"/>
            <w:highlight w:val="yellow"/>
          </w:rPr>
          <w:t>ABSOLUTE</w:t>
        </w:r>
      </w:hyperlink>
      <w:r w:rsidRPr="00FD4BB7">
        <w:rPr>
          <w:highlight w:val="yellow"/>
        </w:rPr>
        <w:t>, </w:t>
      </w:r>
      <w:hyperlink r:id="rId71" w:history="1">
        <w:r w:rsidRPr="00FD4BB7">
          <w:rPr>
            <w:rStyle w:val="Emphasis"/>
            <w:highlight w:val="yellow"/>
          </w:rPr>
          <w:t>UNQUALIFIED</w:t>
        </w:r>
      </w:hyperlink>
      <w:r w:rsidRPr="00FD4BB7">
        <w:rPr>
          <w:rStyle w:val="Emphasis"/>
        </w:rPr>
        <w:t xml:space="preserve"> </w:t>
      </w:r>
    </w:p>
    <w:p w14:paraId="1960C594" w14:textId="77777777" w:rsidR="00EE0C6A" w:rsidRDefault="00EE0C6A" w:rsidP="00EE0C6A">
      <w:pPr>
        <w:pStyle w:val="Heading2"/>
      </w:pPr>
      <w:r>
        <w:lastRenderedPageBreak/>
        <w:t>Strike spec</w:t>
      </w:r>
    </w:p>
    <w:p w14:paraId="30886E45" w14:textId="77777777" w:rsidR="00EE0C6A" w:rsidRPr="003322BE" w:rsidRDefault="00EE0C6A" w:rsidP="00EE0C6A">
      <w:pPr>
        <w:pStyle w:val="Heading3"/>
      </w:pPr>
      <w:r>
        <w:lastRenderedPageBreak/>
        <w:t>AT must define strike</w:t>
      </w:r>
    </w:p>
    <w:p w14:paraId="7CFB2D0C" w14:textId="77777777" w:rsidR="00EE0C6A" w:rsidRDefault="00EE0C6A" w:rsidP="00EE0C6A">
      <w:pPr>
        <w:pStyle w:val="Heading4"/>
        <w:rPr>
          <w:rStyle w:val="Emphasis"/>
        </w:rPr>
      </w:pPr>
      <w:r>
        <w:t xml:space="preserve">We meet – HLR ’19 defines strikes: </w:t>
      </w:r>
      <w:r w:rsidRPr="00FD4BB7">
        <w:rPr>
          <w:rStyle w:val="Emphasis"/>
          <w:highlight w:val="yellow"/>
        </w:rPr>
        <w:t>peaceful, collective prison strikes avoid these harmful consequences by allowing for “open” and “formal” negotiations</w:t>
      </w:r>
    </w:p>
    <w:p w14:paraId="58DD4A2E" w14:textId="77777777" w:rsidR="00EE0C6A" w:rsidRDefault="00EE0C6A" w:rsidP="00EE0C6A">
      <w:pPr>
        <w:pStyle w:val="Heading2"/>
      </w:pPr>
      <w:r>
        <w:lastRenderedPageBreak/>
        <w:t>BBB DA</w:t>
      </w:r>
    </w:p>
    <w:p w14:paraId="3C73A74B" w14:textId="77777777" w:rsidR="00EE0C6A" w:rsidRDefault="00EE0C6A" w:rsidP="00EE0C6A">
      <w:pPr>
        <w:pStyle w:val="Heading3"/>
        <w:rPr>
          <w:rFonts w:cs="Calibri"/>
        </w:rPr>
      </w:pPr>
      <w:r>
        <w:rPr>
          <w:rFonts w:cs="Calibri"/>
        </w:rPr>
        <w:lastRenderedPageBreak/>
        <w:t>Reconciliation</w:t>
      </w:r>
    </w:p>
    <w:p w14:paraId="3BE5C741" w14:textId="77777777" w:rsidR="00EE0C6A" w:rsidRDefault="00EE0C6A" w:rsidP="00EE0C6A">
      <w:pPr>
        <w:pStyle w:val="Heading4"/>
        <w:numPr>
          <w:ilvl w:val="0"/>
          <w:numId w:val="12"/>
        </w:numPr>
        <w:tabs>
          <w:tab w:val="num" w:pos="0"/>
          <w:tab w:val="num" w:pos="360"/>
        </w:tabs>
        <w:ind w:left="0" w:firstLine="0"/>
      </w:pPr>
      <w:r>
        <w:t>No link—their card is about minimum wage increases, and says nothing about labor protections</w:t>
      </w:r>
    </w:p>
    <w:p w14:paraId="7919EEBD" w14:textId="77777777" w:rsidR="00EE0C6A" w:rsidRDefault="00EE0C6A" w:rsidP="00EE0C6A">
      <w:pPr>
        <w:pStyle w:val="Heading4"/>
        <w:numPr>
          <w:ilvl w:val="0"/>
          <w:numId w:val="12"/>
        </w:numPr>
        <w:tabs>
          <w:tab w:val="num" w:pos="0"/>
          <w:tab w:val="num" w:pos="360"/>
        </w:tabs>
        <w:ind w:left="0" w:firstLine="0"/>
      </w:pPr>
      <w:r>
        <w:t>Manchin supports labor protections</w:t>
      </w:r>
    </w:p>
    <w:p w14:paraId="72E8B89A" w14:textId="77777777" w:rsidR="00EE0C6A" w:rsidRPr="00734E50" w:rsidRDefault="00EE0C6A" w:rsidP="00EE0C6A">
      <w:r w:rsidRPr="00734E50">
        <w:t>Timothy Gardner</w:t>
      </w:r>
      <w:r>
        <w:t xml:space="preserve"> [reuters journalist]</w:t>
      </w:r>
      <w:r w:rsidRPr="00734E50">
        <w:t>, 21 - ("Senator Manchin throws support behind U.S. labor reform bill," Reuters, 4-19-2021, accessed 11-6-2021, https://www.reuters.com/business/legal/senator-manchin-throws-support-behind-us-labor-reform-bill-2021-04-19/)//ML</w:t>
      </w:r>
    </w:p>
    <w:p w14:paraId="6CAC8791" w14:textId="31D9B159" w:rsidR="00EE0C6A" w:rsidRPr="00EE0C6A" w:rsidRDefault="00EE0C6A" w:rsidP="00EE0C6A">
      <w:pPr>
        <w:rPr>
          <w:sz w:val="12"/>
        </w:rPr>
      </w:pPr>
      <w:r w:rsidRPr="00EE0C6A">
        <w:rPr>
          <w:sz w:val="12"/>
        </w:rPr>
        <w:t xml:space="preserve">WASHINGTON, April 19 (Reuters) - </w:t>
      </w:r>
      <w:r w:rsidRPr="00EE0C6A">
        <w:rPr>
          <w:rStyle w:val="StyleUnderline"/>
          <w:highlight w:val="yellow"/>
        </w:rPr>
        <w:t>U.S. Senator Joe Manchin said on Monday he supports a sweeping labor reform bill,</w:t>
      </w:r>
      <w:r w:rsidRPr="00EE0C6A">
        <w:rPr>
          <w:sz w:val="12"/>
        </w:rPr>
        <w:t xml:space="preserve"> giving the legislation some momentum after it passed in the House last month.¶ </w:t>
      </w:r>
      <w:r w:rsidRPr="00EE0C6A">
        <w:rPr>
          <w:rStyle w:val="StyleUnderline"/>
          <w:highlight w:val="yellow"/>
        </w:rPr>
        <w:t>The West Virginia Democrat said the</w:t>
      </w:r>
      <w:r w:rsidRPr="00EE0C6A">
        <w:rPr>
          <w:sz w:val="12"/>
        </w:rPr>
        <w:t xml:space="preserve"> Protecting the Right to Organize Act, or </w:t>
      </w:r>
      <w:r w:rsidRPr="00EE0C6A">
        <w:rPr>
          <w:rStyle w:val="StyleUnderline"/>
          <w:highlight w:val="yellow"/>
        </w:rPr>
        <w:t>PRO Act, would level the playing field for unions</w:t>
      </w:r>
      <w:r w:rsidRPr="00EE0C6A">
        <w:rPr>
          <w:sz w:val="12"/>
        </w:rPr>
        <w:t xml:space="preserve"> and he was looking forward to working with a bipartisan group of legislators to pass it. He made the announcement at a virtual National Press Club event with Cecil Roberts, the president of the United Mine Workers of America (UMWA) union.¶ The bill, introduced in February by Democratic Senator Patty Murray and supported by President Joe Biden, would bolster collective bargaining rights, allow unions to collect dues from non-members covered by their contracts, and establish penalties for corporations that violate workers' rights, among other measures.</w:t>
      </w:r>
    </w:p>
    <w:p w14:paraId="1E4A7ED1" w14:textId="77777777" w:rsidR="00EE0C6A" w:rsidRDefault="00EE0C6A" w:rsidP="00EE0C6A">
      <w:pPr>
        <w:pStyle w:val="Heading4"/>
        <w:numPr>
          <w:ilvl w:val="0"/>
          <w:numId w:val="13"/>
        </w:numPr>
        <w:tabs>
          <w:tab w:val="num" w:pos="360"/>
        </w:tabs>
        <w:ind w:left="0" w:firstLine="0"/>
      </w:pPr>
      <w:r>
        <w:t xml:space="preserve">Build Back Better’s climate proposal is good, but isn’t enough to solve climate change </w:t>
      </w:r>
    </w:p>
    <w:p w14:paraId="2AEFD059" w14:textId="77777777" w:rsidR="00EE0C6A" w:rsidRPr="007D56D2" w:rsidRDefault="00EE0C6A" w:rsidP="00EE0C6A">
      <w:r w:rsidRPr="007D56D2">
        <w:rPr>
          <w:rStyle w:val="Emphasis"/>
          <w:rFonts w:eastAsiaTheme="majorEastAsia" w:cstheme="majorBidi"/>
          <w:bCs/>
          <w:iCs w:val="0"/>
          <w:sz w:val="26"/>
          <w:szCs w:val="26"/>
          <w:u w:val="none"/>
        </w:rPr>
        <w:t>Denise Chow, 21</w:t>
      </w:r>
      <w:r w:rsidRPr="007D56D2">
        <w:t xml:space="preserve"> - ("A 'historic investment': Climate activists applaud Biden's $555B proposal for clean energy," No Publication, 10-29-2021, https://news.yahoo.com/biden-scaled-down-spending-bill-224347934.html)/AK</w:t>
      </w:r>
    </w:p>
    <w:p w14:paraId="4D18B78E" w14:textId="77777777" w:rsidR="00EE0C6A" w:rsidRPr="007D56D2" w:rsidRDefault="00EE0C6A" w:rsidP="00EE0C6A">
      <w:pPr>
        <w:rPr>
          <w:sz w:val="10"/>
        </w:rPr>
      </w:pPr>
      <w:r w:rsidRPr="007D56D2">
        <w:rPr>
          <w:sz w:val="10"/>
        </w:rPr>
        <w:t>Many climate activists are applauding the $1.75 trillion spending bill unveiled Thursday by President Joe Biden, a move that experts say will be crucial to staving off the worst effects of global warming and building a more livable future</w:t>
      </w:r>
      <w:r w:rsidRPr="007D56D2">
        <w:rPr>
          <w:rStyle w:val="Emphasis"/>
          <w:highlight w:val="yellow"/>
        </w:rPr>
        <w:t>. Biden’s proposed framework includes $555 billion in clean energy investments, incentives and tax credits that would help the country meet its goal of reducing greenhouse gas emissions by at least 50 percent by 2030.</w:t>
      </w:r>
      <w:r w:rsidRPr="007D56D2">
        <w:rPr>
          <w:sz w:val="10"/>
        </w:rPr>
        <w:t xml:space="preserve"> If passed, environmental experts said it’s the type of legislation that could create much-needed momentum to slash pollution levels and address the climate crisis in the United States and on the global stage. The proposal also backs up promises that Biden campaigned on, making climate change a sizable focus of his administration’s biggest spending bill. “This would be an absolutely historic investment in clean energy and environmental justice — both of which are essential for climate progress,” said Abigail Dillen, president of Earthjustice, a nonprofit environmental law group based in San Francisco. “A package that makes all those investments at a scale that will be transformative over the next eight years is incredible.” The new framework comes after prolonged negotiations between the White House and two moderate Democratic senators, Joe Manchin of West Virginia and Krysten Sinema of Arizona, who opposed key parts of Biden’s original “Build Back Better” plan. Some environmental advocates had hoped for an even larger climate package</w:t>
      </w:r>
      <w:r w:rsidRPr="007D56D2">
        <w:rPr>
          <w:rStyle w:val="Emphasis"/>
          <w:highlight w:val="yellow"/>
        </w:rPr>
        <w:t>. “The Build Back Better Framework announced by the White House today doesn’t go far enough to address the economic and climate crises facing our generation</w:t>
      </w:r>
      <w:r w:rsidRPr="007D56D2">
        <w:rPr>
          <w:sz w:val="10"/>
        </w:rPr>
        <w:t xml:space="preserve">,”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 Biden on Thursday urged Congress to pass the proposal, saying that the investments will “truly transform this nation.” Earlier this year, the Senate passed a nearly $1 trillion infrastructure bill with robust bipartisan support, but the House has yet to vote on that measure, citing the need for parallel action on the social safety net portion of Biden’s agenda. The bill’s timing is crucial as Biden is set to meet with other world leaders in Scotland next week for the United Nations Climate Change Conference, where countries are expected to negotiate and set forth targets to reduce emissions in line with the goals of the Paris Agreement. Stalled negotiations had generated concern among environmentalists around the world that Biden could show up to the conference empty-handed, leaving little incentive for other countries to offer their own aggressive plans to cut carbon emissions. Sam Ricketts, co-founder and co-director of the climate advocacy group Evergreen Action, said lawmakers should feel increased urgency to pass the revamped Build Back Better act, but added that the proposal itself should benefit Biden by demonstrating to other nations that the U.S. is actively working to achieve its emissions targets. “This will show the global community that America really is an ally and can be a leader in driving forward global climate efforts,” Ricketts said. “It shows that after four years of President Trump’s outright climate denial, the U.S. government is moving with leadership against this global crisis.” The proposed climate bill will also give the U.S. stronger footing in Scotland during negotiations with other top emitters, including China. “The Biden administration will have more leverage to push other countries to make strong commitments,” said Danielle Arostegui, a senior climate analyst at the Environmental Defense Fund. “We can show that we’re putting our money where our mouth is.” The bill would significantly boost investments in renewable energy, including for solar and wind power, and would provide clean energy tax credits and an electric vehicle tax credit that would lower the cost of an electric vehicle by up to $12,500 per middle-class family, according to the White House. The framework also prioritizes environmental justice by earmarking 40 percent of the overall benefits of investment for disadvantaged communities. The plan would fund the electrification of ports, in addition to electrifying bus and truck fleets, and would provide grants to communities that are disproportionately affected by climate change and economic injustice. “This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 Dan Lashof, U.S. director of the World Resources Institute, a Washington-based research nonprofit group, said the legislation could bring the country significantly closer to meeting its emissions goals, but added that there is still ground to make up. </w:t>
      </w:r>
      <w:r w:rsidRPr="007D56D2">
        <w:rPr>
          <w:rStyle w:val="Emphasis"/>
          <w:highlight w:val="yellow"/>
        </w:rPr>
        <w:t>The White House said the bill will reduce greenhouse gas emissions by 1 billion tons by 2030, but Lashof said a total of 2 billion tons of emissions need to be cut to reach Biden’s target by the end of the decade.</w:t>
      </w:r>
      <w:r w:rsidRPr="007D56D2">
        <w:rPr>
          <w:rStyle w:val="Emphasis"/>
        </w:rPr>
        <w:t xml:space="preserve"> </w:t>
      </w:r>
      <w:r w:rsidRPr="007D56D2">
        <w:rPr>
          <w:sz w:val="10"/>
        </w:rPr>
        <w:t>Still, he said these types of investments could spur other developments in the private sector, or at the state and local level, which could make up the difference. “It’s important to recognize that this is a huge amount of progress,” Lashof said. “This bill together with the infrastructure bill really does lay the foundation for meeting the 2030 target. It’s all moving in the right direction.” The legislation would create a 300,000-member environmental workforce, known as the Civilian Climate Corps. The program is designed to provide opportunities for people to learn skills and trades as the country transitions to a “greener” economy. The proposal also includes grants and loans for rural communities to deploy renewable energy technologies and will bolster state and local efforts to electrify buildings, migrate to clean transportation and electric buses and help communities build protections against extreme weather and other climate-fueled disasters. “When folks hear tax credits, they tend to think of only utilities and wind and solar power, which of course are hugely important,” Dillen said. “But this is a holistic package that accelerates clean energy across every sector of the economy.”</w:t>
      </w:r>
    </w:p>
    <w:p w14:paraId="48469887" w14:textId="77777777" w:rsidR="00EE0C6A" w:rsidRPr="00706349" w:rsidRDefault="00EE0C6A" w:rsidP="00EE0C6A">
      <w:pPr>
        <w:rPr>
          <w:sz w:val="12"/>
        </w:rPr>
      </w:pPr>
    </w:p>
    <w:p w14:paraId="7926EF42" w14:textId="71C499BB" w:rsidR="00EE0C6A" w:rsidRPr="00EE0C6A" w:rsidRDefault="00EE0C6A" w:rsidP="00EE0C6A">
      <w:pPr>
        <w:pStyle w:val="Heading4"/>
        <w:numPr>
          <w:ilvl w:val="0"/>
          <w:numId w:val="13"/>
        </w:numPr>
        <w:tabs>
          <w:tab w:val="num" w:pos="360"/>
        </w:tabs>
        <w:ind w:left="0" w:firstLine="0"/>
        <w:rPr>
          <w:iCs/>
          <w:u w:val="single"/>
        </w:rPr>
      </w:pPr>
    </w:p>
    <w:sectPr w:rsidR="00EE0C6A" w:rsidRPr="00EE0C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8230A1"/>
    <w:multiLevelType w:val="hybridMultilevel"/>
    <w:tmpl w:val="CB168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0D7B23"/>
    <w:multiLevelType w:val="hybridMultilevel"/>
    <w:tmpl w:val="975C0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0C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C6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9760A"/>
  <w14:defaultImageDpi w14:val="300"/>
  <w15:docId w15:val="{66D6DC74-2743-494D-A7F2-313DA41C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0C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0C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0C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E0C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E0C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0C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0C6A"/>
  </w:style>
  <w:style w:type="character" w:customStyle="1" w:styleId="Heading1Char">
    <w:name w:val="Heading 1 Char"/>
    <w:aliases w:val="Pocket Char"/>
    <w:basedOn w:val="DefaultParagraphFont"/>
    <w:link w:val="Heading1"/>
    <w:uiPriority w:val="9"/>
    <w:rsid w:val="00EE0C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0C6A"/>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E0C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E0C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0C6A"/>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E0C6A"/>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EE0C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E0C6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E0C6A"/>
    <w:rPr>
      <w:color w:val="auto"/>
      <w:u w:val="none"/>
    </w:rPr>
  </w:style>
  <w:style w:type="paragraph" w:styleId="DocumentMap">
    <w:name w:val="Document Map"/>
    <w:basedOn w:val="Normal"/>
    <w:link w:val="DocumentMapChar"/>
    <w:uiPriority w:val="99"/>
    <w:semiHidden/>
    <w:unhideWhenUsed/>
    <w:rsid w:val="00EE0C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0C6A"/>
    <w:rPr>
      <w:rFonts w:ascii="Lucida Grande" w:hAnsi="Lucida Grande" w:cs="Lucida Grande"/>
    </w:rPr>
  </w:style>
  <w:style w:type="paragraph" w:customStyle="1" w:styleId="textbold">
    <w:name w:val="text bold"/>
    <w:basedOn w:val="Normal"/>
    <w:link w:val="Emphasis"/>
    <w:uiPriority w:val="20"/>
    <w:qFormat/>
    <w:rsid w:val="00EE0C6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EE0C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www.merriam-webster.com/dictionary/absolut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 Type="http://schemas.openxmlformats.org/officeDocument/2006/relationships/settings" Target="settings.xml"/><Relationship Id="rId71" Type="http://schemas.openxmlformats.org/officeDocument/2006/relationships/hyperlink" Target="https://www.merriam-webster.com/dictionary/unqualifi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15068</Words>
  <Characters>85889</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2021-12-12T17:07:00Z</dcterms:created>
  <dcterms:modified xsi:type="dcterms:W3CDTF">2021-12-12T17:10:00Z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