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63960" w14:textId="77777777" w:rsidR="008F1F9A" w:rsidRDefault="008F1F9A" w:rsidP="008F1F9A">
      <w:pPr>
        <w:pStyle w:val="Heading1"/>
      </w:pPr>
      <w:r>
        <w:t xml:space="preserve">Aff </w:t>
      </w:r>
    </w:p>
    <w:p w14:paraId="5533CF3F" w14:textId="77777777" w:rsidR="008F1F9A" w:rsidRDefault="008F1F9A" w:rsidP="008F1F9A">
      <w:pPr>
        <w:pStyle w:val="Heading2"/>
      </w:pPr>
      <w:r>
        <w:lastRenderedPageBreak/>
        <w:t>AC</w:t>
      </w:r>
    </w:p>
    <w:p w14:paraId="3FA286A5" w14:textId="77777777" w:rsidR="008F1F9A" w:rsidRPr="0079304C" w:rsidRDefault="008F1F9A" w:rsidP="008F1F9A">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591441DB" w14:textId="77777777" w:rsidR="008F1F9A" w:rsidRPr="0079304C" w:rsidRDefault="008F1F9A" w:rsidP="008F1F9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792F4732" w14:textId="77777777" w:rsidR="008F1F9A" w:rsidRDefault="008F1F9A" w:rsidP="008F1F9A">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5CB44CC" w14:textId="77777777" w:rsidR="008F1F9A" w:rsidRPr="00DF073A" w:rsidRDefault="008F1F9A" w:rsidP="008F1F9A">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021B14DD" w14:textId="77777777" w:rsidR="008F1F9A" w:rsidRPr="00DF073A" w:rsidRDefault="008F1F9A" w:rsidP="008F1F9A">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3FC1216" w14:textId="77777777" w:rsidR="008F1F9A" w:rsidRPr="00ED06A4" w:rsidRDefault="008F1F9A" w:rsidP="008F1F9A">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584ED1DA" w14:textId="77777777" w:rsidR="008F1F9A" w:rsidRDefault="008F1F9A" w:rsidP="008F1F9A">
      <w:pPr>
        <w:pStyle w:val="Heading4"/>
        <w:rPr>
          <w:rFonts w:cs="Calibri"/>
        </w:rPr>
      </w:pPr>
      <w:r>
        <w:rPr>
          <w:rFonts w:cs="Calibri"/>
        </w:rPr>
        <w:t>Prison working conditions are terrible—incarcerated people work in unsafe environments and accrue thousands of dollars in debt. Eisen 20</w:t>
      </w:r>
    </w:p>
    <w:p w14:paraId="62D56C57" w14:textId="77777777" w:rsidR="008F1F9A" w:rsidRPr="00DF5337" w:rsidRDefault="008F1F9A" w:rsidP="008F1F9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30AA1EC5" w14:textId="77777777" w:rsidR="008F1F9A" w:rsidRPr="00A43A7F" w:rsidRDefault="008F1F9A" w:rsidP="008F1F9A">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w:t>
      </w:r>
      <w:r w:rsidRPr="00A43A7F">
        <w:rPr>
          <w:sz w:val="14"/>
        </w:rPr>
        <w:lastRenderedPageBreak/>
        <w:t xml:space="preserve">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096B4B41" w14:textId="77777777" w:rsidR="008F1F9A" w:rsidRPr="0079304C" w:rsidRDefault="008F1F9A" w:rsidP="008F1F9A">
      <w:pPr>
        <w:pStyle w:val="Heading4"/>
        <w:rPr>
          <w:rFonts w:cs="Calibri"/>
        </w:rPr>
      </w:pPr>
      <w:r>
        <w:rPr>
          <w:rFonts w:cs="Calibri"/>
        </w:rPr>
        <w:t>Incarcerated workers</w:t>
      </w:r>
      <w:r w:rsidRPr="0079304C">
        <w:rPr>
          <w:rFonts w:cs="Calibri"/>
        </w:rPr>
        <w:t xml:space="preserve"> </w:t>
      </w:r>
      <w:r>
        <w:rPr>
          <w:rFonts w:cs="Calibri"/>
        </w:rPr>
        <w:t xml:space="preserve">get virtually zero pay for their labor. </w:t>
      </w:r>
      <w:r w:rsidRPr="0079304C">
        <w:rPr>
          <w:rFonts w:cs="Calibri"/>
        </w:rPr>
        <w:t>Fulcher 15</w:t>
      </w:r>
    </w:p>
    <w:p w14:paraId="7432AE5D" w14:textId="77777777" w:rsidR="008F1F9A" w:rsidRPr="00557219" w:rsidRDefault="008F1F9A" w:rsidP="008F1F9A">
      <w:r w:rsidRPr="000F0E69">
        <w:t>Patrice A. Fulcher [Associate Professor at The John Marshall Law School], 15 - ("," Journal of Civil Rights and Economic Development, Winter 2015, accessed 10-28-2021, https://scholarship.law.stjohns.edu/cgi/viewcontent.cgi?article=1759&amp;context=jcred)//ML</w:t>
      </w:r>
    </w:p>
    <w:p w14:paraId="57581700" w14:textId="77777777" w:rsidR="008F1F9A" w:rsidRDefault="008F1F9A" w:rsidP="008F1F9A">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 xml:space="preserve">restrictions on the interstate sale and </w:t>
      </w:r>
      <w:r w:rsidRPr="00501A4A">
        <w:rPr>
          <w:rStyle w:val="StyleUnderline"/>
          <w:highlight w:val="yellow"/>
        </w:rPr>
        <w:lastRenderedPageBreak/>
        <w:t>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w:t>
      </w:r>
      <w:r w:rsidRPr="000D3D12">
        <w:rPr>
          <w:sz w:val="12"/>
        </w:rPr>
        <w:lastRenderedPageBreak/>
        <w:t xml:space="preserve">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9774685" w14:textId="77777777" w:rsidR="008F1F9A" w:rsidRDefault="008F1F9A" w:rsidP="008F1F9A">
      <w:pPr>
        <w:pStyle w:val="Heading4"/>
      </w:pPr>
      <w:r>
        <w:t>Low wages for incarcerated workers create cycles of recidivism. Fulcher 15</w:t>
      </w:r>
    </w:p>
    <w:p w14:paraId="1FD94F42" w14:textId="77777777" w:rsidR="008F1F9A" w:rsidRPr="000F0E69" w:rsidRDefault="008F1F9A" w:rsidP="008F1F9A">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6EC262E0" w14:textId="77777777" w:rsidR="008F1F9A" w:rsidRPr="00BC66A8" w:rsidRDefault="008F1F9A" w:rsidP="008F1F9A">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2582BA7" w14:textId="77777777" w:rsidR="008F1F9A" w:rsidRDefault="008F1F9A" w:rsidP="008F1F9A">
      <w:pPr>
        <w:pStyle w:val="Heading2"/>
      </w:pPr>
      <w:r>
        <w:lastRenderedPageBreak/>
        <w:t xml:space="preserve">Plan </w:t>
      </w:r>
    </w:p>
    <w:p w14:paraId="7B8F7E4E" w14:textId="77777777" w:rsidR="008F1F9A" w:rsidRPr="00822A17" w:rsidRDefault="008F1F9A" w:rsidP="008F1F9A">
      <w:pPr>
        <w:pStyle w:val="Heading4"/>
      </w:pPr>
      <w:r>
        <w:t xml:space="preserve">Plan: The United States ought to recognize the unconditional right of incarcerated workers to strike. </w:t>
      </w:r>
    </w:p>
    <w:p w14:paraId="4AED71F8" w14:textId="77777777" w:rsidR="008F1F9A" w:rsidRPr="0044595D" w:rsidRDefault="008F1F9A" w:rsidP="008F1F9A">
      <w:pPr>
        <w:pStyle w:val="Heading2"/>
      </w:pPr>
      <w:r>
        <w:lastRenderedPageBreak/>
        <w:t xml:space="preserve">Solvency </w:t>
      </w:r>
    </w:p>
    <w:p w14:paraId="123A05D9" w14:textId="77777777" w:rsidR="008F1F9A" w:rsidRPr="0079304C" w:rsidRDefault="008F1F9A" w:rsidP="008F1F9A">
      <w:pPr>
        <w:pStyle w:val="Heading4"/>
        <w:rPr>
          <w:rFonts w:cs="Calibri"/>
        </w:rPr>
      </w:pPr>
      <w:r>
        <w:rPr>
          <w:rFonts w:cs="Calibri"/>
        </w:rPr>
        <w:t xml:space="preserve">The right to strike is key for incarcerated workers hoping to reform the criminal justice system, allows prison laborers to publicize their conditions and assert their right to dignity  </w:t>
      </w:r>
    </w:p>
    <w:p w14:paraId="56FF05A3" w14:textId="77777777" w:rsidR="008F1F9A" w:rsidRPr="0079304C" w:rsidRDefault="008F1F9A" w:rsidP="008F1F9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08813B6" w14:textId="77777777" w:rsidR="008F1F9A" w:rsidRPr="00C37B5A" w:rsidRDefault="008F1F9A" w:rsidP="008F1F9A">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4F68EA42" w14:textId="77777777" w:rsidR="008F1F9A" w:rsidRPr="000D3D12" w:rsidRDefault="008F1F9A" w:rsidP="008F1F9A">
      <w:pPr>
        <w:rPr>
          <w:sz w:val="12"/>
        </w:rPr>
      </w:pPr>
    </w:p>
    <w:p w14:paraId="06EFC836" w14:textId="77777777" w:rsidR="008F1F9A" w:rsidRPr="00D75425" w:rsidRDefault="008F1F9A" w:rsidP="008F1F9A">
      <w:pPr>
        <w:pStyle w:val="Heading4"/>
      </w:pPr>
      <w:r>
        <w:lastRenderedPageBreak/>
        <w:t>Incarcerated workers are uniquely vulnerable to exploitation -- the right to strike is a key weapon in fighting for better conditions</w:t>
      </w:r>
    </w:p>
    <w:p w14:paraId="37E0781D" w14:textId="77777777" w:rsidR="008F1F9A" w:rsidRDefault="008F1F9A" w:rsidP="008F1F9A">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396CC8BA" w14:textId="77777777" w:rsidR="008F1F9A" w:rsidRPr="002A7C57" w:rsidRDefault="008F1F9A" w:rsidP="008F1F9A">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 xml:space="preserve">walk off </w:t>
      </w:r>
      <w:r w:rsidRPr="033DC131">
        <w:rPr>
          <w:rStyle w:val="StyleUnderline"/>
          <w:highlight w:val="yellow"/>
        </w:rPr>
        <w:lastRenderedPageBreak/>
        <w:t>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D5D5965" w14:textId="77777777" w:rsidR="008F1F9A" w:rsidRDefault="008F1F9A" w:rsidP="008F1F9A">
      <w:pPr>
        <w:pStyle w:val="Heading4"/>
        <w:rPr>
          <w:lang w:val="en-HK"/>
        </w:rPr>
      </w:pPr>
      <w:r>
        <w:rPr>
          <w:rStyle w:val="Style13ptBold"/>
          <w:b/>
          <w:bCs w:val="0"/>
        </w:rPr>
        <w:t>Incarcerated workers</w:t>
      </w:r>
      <w:r w:rsidRPr="002B3BD3">
        <w:rPr>
          <w:rStyle w:val="Style13ptBold"/>
          <w:b/>
          <w:bCs w:val="0"/>
        </w:rPr>
        <w:t xml:space="preserve">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13B38A8" w14:textId="77777777" w:rsidR="008F1F9A" w:rsidRPr="00822A17" w:rsidRDefault="008F1F9A" w:rsidP="008F1F9A">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w:t>
      </w:r>
      <w:r w:rsidRPr="008D502B">
        <w:rPr>
          <w:rStyle w:val="StyleUnderline"/>
          <w:lang w:val="en-HK"/>
        </w:rPr>
        <w:lastRenderedPageBreak/>
        <w:t>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7F94B03" w14:textId="77777777" w:rsidR="008F1F9A" w:rsidRDefault="008F1F9A" w:rsidP="008F1F9A">
      <w:pPr>
        <w:pStyle w:val="Heading2"/>
      </w:pPr>
      <w:r>
        <w:lastRenderedPageBreak/>
        <w:t xml:space="preserve">Framework </w:t>
      </w:r>
    </w:p>
    <w:p w14:paraId="31BFA4F5" w14:textId="77777777" w:rsidR="008F1F9A" w:rsidRPr="00E27770" w:rsidRDefault="008F1F9A" w:rsidP="008F1F9A">
      <w:pPr>
        <w:pStyle w:val="Heading4"/>
        <w:rPr>
          <w:rFonts w:cs="Calibri"/>
        </w:rPr>
      </w:pPr>
      <w:bookmarkStart w:id="0" w:name="_Hlk54560893"/>
      <w:r>
        <w:rPr>
          <w:rFonts w:cs="Calibri"/>
        </w:rPr>
        <w:t>The impact of structural violence cumulatively outweighs – challenging the structures that facilitate inequality is necessary</w:t>
      </w:r>
    </w:p>
    <w:p w14:paraId="20281004" w14:textId="77777777" w:rsidR="008F1F9A" w:rsidRPr="00E27770" w:rsidRDefault="008F1F9A" w:rsidP="008F1F9A">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3BFB2818" w14:textId="77777777" w:rsidR="008F1F9A" w:rsidRPr="00324812" w:rsidRDefault="008F1F9A" w:rsidP="008F1F9A">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2D3DF4DD" w14:textId="77777777" w:rsidR="008F1F9A" w:rsidRPr="0051515F" w:rsidRDefault="008F1F9A" w:rsidP="008F1F9A">
      <w:pPr>
        <w:pStyle w:val="Heading3"/>
      </w:pPr>
      <w:r w:rsidRPr="0051515F">
        <w:rPr>
          <w:rFonts w:eastAsia="Calibri" w:cs="Calibri"/>
          <w:sz w:val="44"/>
          <w:szCs w:val="44"/>
        </w:rPr>
        <w:lastRenderedPageBreak/>
        <w:t xml:space="preserve">Underview 1 </w:t>
      </w:r>
    </w:p>
    <w:p w14:paraId="3CE79B73" w14:textId="77777777" w:rsidR="008F1F9A" w:rsidRDefault="008F1F9A" w:rsidP="008F1F9A">
      <w:pPr>
        <w:pStyle w:val="Heading4"/>
      </w:pPr>
      <w:r w:rsidRPr="4A4EEA91">
        <w:rPr>
          <w:rFonts w:eastAsia="Calibri" w:cs="Calibri"/>
        </w:rPr>
        <w:t xml:space="preserve">Scholarly discourse and engagement with politics is key to effective structural reform - critique is insufficient. </w:t>
      </w:r>
    </w:p>
    <w:p w14:paraId="1C436A77" w14:textId="77777777" w:rsidR="008F1F9A" w:rsidRDefault="008F1F9A" w:rsidP="008F1F9A">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615808FB" w14:textId="77777777" w:rsidR="008F1F9A" w:rsidRDefault="008F1F9A" w:rsidP="008F1F9A">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095D7667" w14:textId="77777777" w:rsidR="008F1F9A" w:rsidRDefault="008F1F9A" w:rsidP="008F1F9A">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61941280" w14:textId="77777777" w:rsidR="008F1F9A" w:rsidRDefault="008F1F9A" w:rsidP="008F1F9A">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896A47A" w14:textId="77777777" w:rsidR="008F1F9A" w:rsidRDefault="008F1F9A" w:rsidP="008F1F9A">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163085FC" w14:textId="77777777" w:rsidR="008F1F9A" w:rsidRDefault="008F1F9A" w:rsidP="008F1F9A">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w:t>
      </w:r>
      <w:r w:rsidRPr="4A4EEA91">
        <w:rPr>
          <w:rFonts w:eastAsia="Calibri"/>
          <w:b/>
          <w:bCs/>
          <w:szCs w:val="22"/>
          <w:highlight w:val="yellow"/>
          <w:u w:val="single"/>
        </w:rPr>
        <w:lastRenderedPageBreak/>
        <w:t>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5E90C7B9" w14:textId="77777777" w:rsidR="008F1F9A" w:rsidRDefault="008F1F9A" w:rsidP="008F1F9A">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734AE05E" w14:textId="77777777" w:rsidR="008F1F9A" w:rsidRDefault="008F1F9A" w:rsidP="008F1F9A">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1A8E6006" w14:textId="77777777" w:rsidR="008F1F9A" w:rsidRDefault="008F1F9A" w:rsidP="008F1F9A">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630692FB" w14:textId="77777777" w:rsidR="008F1F9A" w:rsidRPr="0071706D" w:rsidRDefault="008F1F9A" w:rsidP="008F1F9A">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0E4187FF" w14:textId="77777777" w:rsidR="008F1F9A" w:rsidRDefault="008F1F9A" w:rsidP="008F1F9A">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030AE8D4" w14:textId="77777777" w:rsidR="008F1F9A" w:rsidRDefault="008F1F9A" w:rsidP="008F1F9A">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492C06A" w14:textId="77777777" w:rsidR="008F1F9A" w:rsidRDefault="008F1F9A" w:rsidP="008F1F9A">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w:t>
      </w:r>
      <w:r w:rsidRPr="4A4EEA91">
        <w:rPr>
          <w:rFonts w:eastAsia="Calibri"/>
          <w:b/>
          <w:bCs/>
          <w:szCs w:val="22"/>
          <w:highlight w:val="yellow"/>
          <w:u w:val="single"/>
        </w:rPr>
        <w:lastRenderedPageBreak/>
        <w:t xml:space="preserve">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1CEC9394" w14:textId="77777777" w:rsidR="008F1F9A" w:rsidRDefault="008F1F9A" w:rsidP="008F1F9A">
      <w:r w:rsidRPr="4A4EEA91">
        <w:rPr>
          <w:rFonts w:eastAsia="Calibri"/>
        </w:rPr>
        <w:t xml:space="preserve"> </w:t>
      </w:r>
    </w:p>
    <w:p w14:paraId="3AE662EB" w14:textId="77777777" w:rsidR="008F1F9A" w:rsidRDefault="008F1F9A" w:rsidP="008F1F9A">
      <w:pPr>
        <w:pStyle w:val="Heading3"/>
      </w:pPr>
      <w:r w:rsidRPr="4A4EEA91">
        <w:rPr>
          <w:rFonts w:eastAsia="Calibri" w:cs="Calibri"/>
          <w:sz w:val="44"/>
          <w:szCs w:val="44"/>
        </w:rPr>
        <w:lastRenderedPageBreak/>
        <w:t xml:space="preserve">Underview 2 </w:t>
      </w:r>
    </w:p>
    <w:p w14:paraId="336D9628" w14:textId="77777777" w:rsidR="008F1F9A" w:rsidRDefault="008F1F9A" w:rsidP="008F1F9A">
      <w:pPr>
        <w:pStyle w:val="Heading4"/>
      </w:pPr>
      <w:r w:rsidRPr="4A4EEA91">
        <w:rPr>
          <w:rFonts w:eastAsia="Calibri" w:cs="Calibri"/>
        </w:rPr>
        <w:t xml:space="preserve">Their disads will surely be ridiculous. </w:t>
      </w:r>
    </w:p>
    <w:p w14:paraId="0E264CA2" w14:textId="77777777" w:rsidR="008F1F9A" w:rsidRDefault="008F1F9A" w:rsidP="008F1F9A">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6E569CFE" w14:textId="77777777" w:rsidR="008F1F9A" w:rsidRDefault="008F1F9A" w:rsidP="008F1F9A">
      <w:pPr>
        <w:pStyle w:val="Heading4"/>
      </w:pPr>
      <w:r w:rsidRPr="4A4EEA91">
        <w:rPr>
          <w:rFonts w:eastAsia="Calibri" w:cs="Calibri"/>
        </w:rPr>
        <w:t xml:space="preserve">(B) Compound Probability - Multiplied probabilities of long link chains have negligible net probabilities. This is the slippery slope fallacy. </w:t>
      </w:r>
    </w:p>
    <w:p w14:paraId="0BD1BAAE" w14:textId="77777777" w:rsidR="008F1F9A" w:rsidRDefault="008F1F9A" w:rsidP="008F1F9A">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7F3692D" w14:textId="77777777" w:rsidR="008F1F9A" w:rsidRDefault="008F1F9A" w:rsidP="008F1F9A">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20168D29" w14:textId="77777777" w:rsidR="008F1F9A" w:rsidRDefault="008F1F9A" w:rsidP="008F1F9A">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1C321F02" w14:textId="77777777" w:rsidR="008F1F9A" w:rsidRPr="00416991" w:rsidRDefault="008F1F9A" w:rsidP="008F1F9A"/>
    <w:p w14:paraId="193A2F04" w14:textId="0B92DEEC" w:rsidR="00E42E4C" w:rsidRDefault="008F1F9A" w:rsidP="008F1F9A">
      <w:pPr>
        <w:pStyle w:val="Heading1"/>
      </w:pPr>
      <w:r>
        <w:lastRenderedPageBreak/>
        <w:t>1ar cards</w:t>
      </w:r>
    </w:p>
    <w:p w14:paraId="1C7EC2D4" w14:textId="25B2E447" w:rsidR="008F1F9A" w:rsidRDefault="008F1F9A" w:rsidP="008F1F9A">
      <w:pPr>
        <w:pStyle w:val="Heading2"/>
      </w:pPr>
      <w:r>
        <w:lastRenderedPageBreak/>
        <w:t>T</w:t>
      </w:r>
    </w:p>
    <w:p w14:paraId="3535BA59" w14:textId="77777777" w:rsidR="008F1F9A" w:rsidRPr="00FD4BB7" w:rsidRDefault="008F1F9A" w:rsidP="008F1F9A">
      <w:pPr>
        <w:pStyle w:val="Heading4"/>
        <w:rPr>
          <w:rFonts w:cs="Calibri"/>
        </w:rPr>
      </w:pPr>
      <w:r w:rsidRPr="00FD4BB7">
        <w:rPr>
          <w:rFonts w:cs="Calibri"/>
        </w:rPr>
        <w:t>Unconditional means absolute, not for everyone</w:t>
      </w:r>
    </w:p>
    <w:p w14:paraId="693AA6AC" w14:textId="77777777" w:rsidR="008F1F9A" w:rsidRPr="00FD4BB7" w:rsidRDefault="008F1F9A" w:rsidP="008F1F9A">
      <w:r w:rsidRPr="00FD4BB7">
        <w:rPr>
          <w:rStyle w:val="Style13ptBold"/>
        </w:rPr>
        <w:t>Merriam-Webster</w:t>
      </w:r>
      <w:r w:rsidRPr="00FD4BB7">
        <w:t xml:space="preserve"> - ("Definition of UNQUALIFIED," No Publication, xx-xx-xxxx, https://www.merriam-webster.com/dictionary/unqualified)//va</w:t>
      </w:r>
    </w:p>
    <w:p w14:paraId="0A18F31F" w14:textId="77777777" w:rsidR="008F1F9A" w:rsidRPr="00FD4BB7" w:rsidRDefault="008F1F9A" w:rsidP="008F1F9A">
      <w:pPr>
        <w:rPr>
          <w:rStyle w:val="Emphasis"/>
          <w:highlight w:val="yellow"/>
        </w:rPr>
      </w:pPr>
      <w:r w:rsidRPr="00FD4BB7">
        <w:rPr>
          <w:rStyle w:val="Emphasis"/>
          <w:highlight w:val="yellow"/>
        </w:rPr>
        <w:t>Definition of unconditional</w:t>
      </w:r>
    </w:p>
    <w:p w14:paraId="7A33AF8B" w14:textId="77777777" w:rsidR="008F1F9A" w:rsidRPr="00FD4BB7" w:rsidRDefault="008F1F9A" w:rsidP="008F1F9A">
      <w:r w:rsidRPr="00FD4BB7">
        <w:rPr>
          <w:highlight w:val="yellow"/>
        </w:rPr>
        <w:t>1: </w:t>
      </w:r>
      <w:r w:rsidRPr="00FD4BB7">
        <w:rPr>
          <w:rStyle w:val="Emphasis"/>
          <w:highlight w:val="yellow"/>
        </w:rPr>
        <w:t>not conditional or limited : </w:t>
      </w:r>
      <w:hyperlink r:id="rId70" w:history="1">
        <w:r w:rsidRPr="00FD4BB7">
          <w:rPr>
            <w:rStyle w:val="Emphasis"/>
            <w:highlight w:val="yellow"/>
          </w:rPr>
          <w:t>ABSOLUTE</w:t>
        </w:r>
      </w:hyperlink>
      <w:r w:rsidRPr="00FD4BB7">
        <w:rPr>
          <w:highlight w:val="yellow"/>
        </w:rPr>
        <w:t>, </w:t>
      </w:r>
      <w:hyperlink r:id="rId71" w:history="1">
        <w:r w:rsidRPr="00FD4BB7">
          <w:rPr>
            <w:rStyle w:val="Emphasis"/>
            <w:highlight w:val="yellow"/>
          </w:rPr>
          <w:t>UNQUALIFIED</w:t>
        </w:r>
      </w:hyperlink>
      <w:r w:rsidRPr="00FD4BB7">
        <w:rPr>
          <w:rStyle w:val="Emphasis"/>
        </w:rPr>
        <w:t xml:space="preserve"> </w:t>
      </w:r>
    </w:p>
    <w:p w14:paraId="5AEC4591" w14:textId="2510E654" w:rsidR="008F1F9A" w:rsidRDefault="008F1F9A" w:rsidP="008F1F9A">
      <w:pPr>
        <w:pStyle w:val="Heading2"/>
      </w:pPr>
      <w:r>
        <w:lastRenderedPageBreak/>
        <w:t>Abolition</w:t>
      </w:r>
    </w:p>
    <w:p w14:paraId="1460EC73" w14:textId="77777777" w:rsidR="008F1F9A" w:rsidRPr="00FD4BB7" w:rsidRDefault="008F1F9A" w:rsidP="008F1F9A">
      <w:pPr>
        <w:pStyle w:val="Heading4"/>
        <w:rPr>
          <w:rFonts w:cs="Calibri"/>
        </w:rPr>
      </w:pPr>
      <w:r w:rsidRPr="00FD4BB7">
        <w:rPr>
          <w:rFonts w:cs="Calibri"/>
        </w:rPr>
        <w:t xml:space="preserve">1 – Tying </w:t>
      </w:r>
      <w:r w:rsidRPr="00FD4BB7">
        <w:rPr>
          <w:rFonts w:cs="Calibri"/>
          <w:u w:val="single"/>
        </w:rPr>
        <w:t>reforms</w:t>
      </w:r>
      <w:r w:rsidRPr="00FD4BB7">
        <w:rPr>
          <w:rFonts w:cs="Calibri"/>
        </w:rPr>
        <w:t xml:space="preserve"> to abolition is key to </w:t>
      </w:r>
      <w:r w:rsidRPr="00FD4BB7">
        <w:rPr>
          <w:rFonts w:cs="Calibri"/>
          <w:u w:val="single"/>
        </w:rPr>
        <w:t>alleviate</w:t>
      </w:r>
      <w:r w:rsidRPr="00FD4BB7">
        <w:rPr>
          <w:rFonts w:cs="Calibri"/>
        </w:rPr>
        <w:t xml:space="preserve"> current </w:t>
      </w:r>
      <w:r w:rsidRPr="00FD4BB7">
        <w:rPr>
          <w:rFonts w:cs="Calibri"/>
          <w:u w:val="single"/>
        </w:rPr>
        <w:t>carceral violence</w:t>
      </w:r>
      <w:r w:rsidRPr="00FD4BB7">
        <w:rPr>
          <w:rFonts w:cs="Calibri"/>
        </w:rPr>
        <w:t xml:space="preserve">. </w:t>
      </w:r>
    </w:p>
    <w:p w14:paraId="655BB9A3" w14:textId="77777777" w:rsidR="008F1F9A" w:rsidRPr="00FD4BB7" w:rsidRDefault="008F1F9A" w:rsidP="008F1F9A">
      <w:pPr>
        <w:rPr>
          <w:b/>
          <w:sz w:val="26"/>
        </w:rPr>
      </w:pPr>
      <w:r w:rsidRPr="00FD4BB7">
        <w:rPr>
          <w:rStyle w:val="Style13ptBold"/>
        </w:rPr>
        <w:t xml:space="preserve">Heiner 03, </w:t>
      </w:r>
      <w:r w:rsidRPr="00FD4BB7">
        <w:rPr>
          <w:szCs w:val="16"/>
        </w:rPr>
        <w:t>Brady, graduated from Brown University with a B.A. in Modem Culture and Media, with a focus in Marxist studies. His writing appears in States of Confinement and the feminist journal Differences, Commentary: Social Death and the Relationship Between Abolition and Reform, Social Justice Vol. 30, No. 2 (2003)</w:t>
      </w:r>
    </w:p>
    <w:p w14:paraId="0AED9575" w14:textId="77777777" w:rsidR="008F1F9A" w:rsidRPr="00FD4BB7" w:rsidRDefault="008F1F9A" w:rsidP="008F1F9A">
      <w:pPr>
        <w:rPr>
          <w:sz w:val="16"/>
        </w:rPr>
      </w:pPr>
      <w:r w:rsidRPr="00FD4BB7">
        <w:rPr>
          <w:sz w:val="16"/>
        </w:rPr>
        <w:t xml:space="preserve">However, we must acknowledge that </w:t>
      </w:r>
      <w:r w:rsidRPr="00FD4BB7">
        <w:rPr>
          <w:rStyle w:val="StyleUnderline"/>
          <w:highlight w:val="yellow"/>
        </w:rPr>
        <w:t>the</w:t>
      </w:r>
      <w:r w:rsidRPr="00FD4BB7">
        <w:rPr>
          <w:sz w:val="16"/>
        </w:rPr>
        <w:t xml:space="preserve"> </w:t>
      </w:r>
      <w:r w:rsidRPr="00FD4BB7">
        <w:rPr>
          <w:highlight w:val="yellow"/>
          <w:u w:val="single"/>
        </w:rPr>
        <w:t xml:space="preserve">line between reformist </w:t>
      </w:r>
      <w:r w:rsidRPr="00FD4BB7">
        <w:rPr>
          <w:u w:val="single"/>
        </w:rPr>
        <w:t xml:space="preserve">practices </w:t>
      </w:r>
      <w:r w:rsidRPr="00FD4BB7">
        <w:rPr>
          <w:highlight w:val="yellow"/>
          <w:u w:val="single"/>
        </w:rPr>
        <w:t xml:space="preserve">and abolitionist </w:t>
      </w:r>
      <w:r w:rsidRPr="00FD4BB7">
        <w:rPr>
          <w:u w:val="single"/>
        </w:rPr>
        <w:t xml:space="preserve">practices </w:t>
      </w:r>
      <w:r w:rsidRPr="00FD4BB7">
        <w:rPr>
          <w:highlight w:val="yellow"/>
          <w:u w:val="single"/>
        </w:rPr>
        <w:t>is not</w:t>
      </w:r>
      <w:r w:rsidRPr="00FD4BB7">
        <w:rPr>
          <w:u w:val="single"/>
        </w:rPr>
        <w:t xml:space="preserve"> a </w:t>
      </w:r>
      <w:r w:rsidRPr="00FD4BB7">
        <w:rPr>
          <w:highlight w:val="yellow"/>
          <w:u w:val="single"/>
        </w:rPr>
        <w:t>definitive</w:t>
      </w:r>
      <w:r w:rsidRPr="00FD4BB7">
        <w:rPr>
          <w:u w:val="single"/>
        </w:rPr>
        <w:t xml:space="preserve"> one</w:t>
      </w:r>
      <w:r w:rsidRPr="00FD4BB7">
        <w:rPr>
          <w:sz w:val="16"/>
        </w:rPr>
        <w:t xml:space="preserve">. For example, </w:t>
      </w:r>
      <w:r w:rsidRPr="00FD4BB7">
        <w:rPr>
          <w:u w:val="single"/>
        </w:rPr>
        <w:t xml:space="preserve">though the ultimate goal of an abolitionist movement is the total negation of the capitalist state-form, this </w:t>
      </w:r>
      <w:r w:rsidRPr="00FD4BB7">
        <w:rPr>
          <w:highlight w:val="yellow"/>
          <w:u w:val="single"/>
        </w:rPr>
        <w:t xml:space="preserve">long-term objective must not prevent </w:t>
      </w:r>
      <w:r w:rsidRPr="00FD4BB7">
        <w:rPr>
          <w:u w:val="single"/>
        </w:rPr>
        <w:t xml:space="preserve">us from engaging in a host of </w:t>
      </w:r>
      <w:r w:rsidRPr="00FD4BB7">
        <w:rPr>
          <w:highlight w:val="yellow"/>
          <w:u w:val="single"/>
        </w:rPr>
        <w:t>immediate</w:t>
      </w:r>
      <w:r w:rsidRPr="00FD4BB7">
        <w:rPr>
          <w:u w:val="single"/>
        </w:rPr>
        <w:t xml:space="preserve"> </w:t>
      </w:r>
      <w:r w:rsidRPr="00FD4BB7">
        <w:rPr>
          <w:highlight w:val="yellow"/>
          <w:u w:val="single"/>
        </w:rPr>
        <w:t>struggles to secure</w:t>
      </w:r>
      <w:r w:rsidRPr="00FD4BB7">
        <w:rPr>
          <w:u w:val="single"/>
        </w:rPr>
        <w:t xml:space="preserve"> the survival and </w:t>
      </w:r>
      <w:r w:rsidRPr="00FD4BB7">
        <w:rPr>
          <w:highlight w:val="yellow"/>
          <w:u w:val="single"/>
        </w:rPr>
        <w:t>quality of life</w:t>
      </w:r>
      <w:r w:rsidRPr="00FD4BB7">
        <w:rPr>
          <w:u w:val="single"/>
        </w:rPr>
        <w:t xml:space="preserve"> of those currently imprisoned</w:t>
      </w:r>
      <w:r w:rsidRPr="00FD4BB7">
        <w:rPr>
          <w:sz w:val="16"/>
        </w:rPr>
        <w:t xml:space="preserve">. </w:t>
      </w:r>
      <w:r w:rsidRPr="00FD4BB7">
        <w:rPr>
          <w:u w:val="single"/>
        </w:rPr>
        <w:t>We must not allow our expansive vision to blind us to the immediate struggles of those presently locked down by the system. A movement that fails to engage in these types of struggles is at odds with the interests of tsose on the inside</w:t>
      </w:r>
      <w:r w:rsidRPr="00FD4BB7">
        <w:rPr>
          <w:sz w:val="16"/>
        </w:rPr>
        <w:t xml:space="preserve"> – those for whom these immediate struggles are of utmost urgency.2 </w:t>
      </w:r>
      <w:r w:rsidRPr="00FD4BB7">
        <w:rPr>
          <w:highlight w:val="yellow"/>
          <w:u w:val="single"/>
        </w:rPr>
        <w:t>A properly</w:t>
      </w:r>
      <w:r w:rsidRPr="00FD4BB7">
        <w:rPr>
          <w:u w:val="single"/>
        </w:rPr>
        <w:t xml:space="preserve"> radical/</w:t>
      </w:r>
      <w:r w:rsidRPr="00FD4BB7">
        <w:rPr>
          <w:highlight w:val="yellow"/>
          <w:u w:val="single"/>
        </w:rPr>
        <w:t>abolitionist movement</w:t>
      </w:r>
      <w:r w:rsidRPr="00FD4BB7">
        <w:rPr>
          <w:u w:val="single"/>
        </w:rPr>
        <w:t xml:space="preserve"> </w:t>
      </w:r>
      <w:r w:rsidRPr="00FD4BB7">
        <w:rPr>
          <w:highlight w:val="yellow"/>
          <w:u w:val="single"/>
        </w:rPr>
        <w:t>must</w:t>
      </w:r>
      <w:r w:rsidRPr="00FD4BB7">
        <w:rPr>
          <w:u w:val="single"/>
        </w:rPr>
        <w:t xml:space="preserve"> work incessantly to </w:t>
      </w:r>
      <w:r w:rsidRPr="00FD4BB7">
        <w:rPr>
          <w:highlight w:val="yellow"/>
          <w:u w:val="single"/>
        </w:rPr>
        <w:t>suture the divide</w:t>
      </w:r>
      <w:r w:rsidRPr="00FD4BB7">
        <w:rPr>
          <w:u w:val="single"/>
        </w:rPr>
        <w:t xml:space="preserve"> (both actual and virtual) between the inside and the outside of the prison, and, more generally, between the local and the global</w:t>
      </w:r>
      <w:r w:rsidRPr="00FD4BB7">
        <w:rPr>
          <w:sz w:val="16"/>
        </w:rPr>
        <w:t>.</w:t>
      </w:r>
    </w:p>
    <w:p w14:paraId="1A9182CE" w14:textId="77777777" w:rsidR="008F1F9A" w:rsidRPr="007603CA" w:rsidRDefault="008F1F9A" w:rsidP="008F1F9A">
      <w:pPr>
        <w:pStyle w:val="Heading4"/>
      </w:pPr>
      <w:r>
        <w:t>3-</w:t>
      </w:r>
      <w:r w:rsidRPr="007603CA">
        <w:t xml:space="preserve">Prison strikes destroy the reproductive process of prisons making prisons unsustainable – the rebellion becomes the fundamental basis for abolition </w:t>
      </w:r>
    </w:p>
    <w:p w14:paraId="5B53CC9C" w14:textId="77777777" w:rsidR="008F1F9A" w:rsidRPr="007528A4" w:rsidRDefault="008F1F9A" w:rsidP="008F1F9A">
      <w:pPr>
        <w:spacing w:after="0"/>
        <w:rPr>
          <w:b/>
          <w:bCs/>
          <w:sz w:val="26"/>
        </w:rPr>
      </w:pPr>
      <w:r w:rsidRPr="007528A4">
        <w:rPr>
          <w:rStyle w:val="Style13ptBold"/>
        </w:rPr>
        <w:t>Stark</w:t>
      </w:r>
      <w:r>
        <w:rPr>
          <w:rStyle w:val="Style13ptBold"/>
        </w:rPr>
        <w:t xml:space="preserve"> 20, </w:t>
      </w:r>
      <w:r w:rsidRPr="007603CA">
        <w:t>Alejo Stark,</w:t>
      </w:r>
      <w:r>
        <w:t xml:space="preserve"> University of Michigan graduate student-worker / PhD Student,</w:t>
      </w:r>
      <w:r w:rsidRPr="007603CA">
        <w:t xml:space="preserve"> “Containing the Surplus Rebellion: Prison Strike/Prison Riot”, New Global Studies (peer-reviewed Journal), New Glbl Stdies 2020; 14(2): 193–203, accessed 10/14/21, sb</w:t>
      </w:r>
    </w:p>
    <w:p w14:paraId="38DD6A38" w14:textId="77777777" w:rsidR="008F1F9A" w:rsidRPr="00EF58CD" w:rsidRDefault="008F1F9A" w:rsidP="008F1F9A">
      <w:pPr>
        <w:spacing w:after="0"/>
        <w:rPr>
          <w:sz w:val="16"/>
        </w:rPr>
      </w:pPr>
      <w:r w:rsidRPr="007603CA">
        <w:rPr>
          <w:sz w:val="16"/>
        </w:rPr>
        <w:t xml:space="preserve">Joshua Clover’s book Riot. Strike. Riot. attempts to provide a broad characterization of how shifting patterns of capital accumulation in the world-system (although he specifically focuses on “the early industrializing and now deindustrializing nations of the West”) correspond to what Charles Tilly calls different “repertoires of collective action.”6 For Clover, the recent cycle of riots corresponds roughly to the period beginning in the 1960s until today, in which, as Clover argues, “capital’s center of gravity shifts toward circulation, borne by the troika of Toyotaization, information technology and finance” (Clover 2016, 25). This moment corresponds in other words to deindustrialization and the growth of the relative surplus population. For Clover, citing Stuart Hall’s famous </w:t>
      </w:r>
      <w:r w:rsidRPr="0052022C">
        <w:rPr>
          <w:sz w:val="16"/>
        </w:rPr>
        <w:t>formulation, the “</w:t>
      </w:r>
      <w:r w:rsidRPr="0052022C">
        <w:rPr>
          <w:rStyle w:val="StyleUnderline"/>
        </w:rPr>
        <w:t>riot is the modality through which surplus is lived</w:t>
      </w:r>
      <w:r w:rsidRPr="0052022C">
        <w:rPr>
          <w:sz w:val="16"/>
        </w:rPr>
        <w:t xml:space="preserve">” (Clover 2016, 170). </w:t>
      </w:r>
      <w:r w:rsidRPr="0052022C">
        <w:rPr>
          <w:rStyle w:val="StyleUnderline"/>
        </w:rPr>
        <w:t>In contrast to the strike, the riot sets the price of goods rather than the price of labor</w:t>
      </w:r>
      <w:r w:rsidRPr="007603CA">
        <w:rPr>
          <w:rStyle w:val="StyleUnderline"/>
        </w:rPr>
        <w:t>-power. But there is something extra, a certain surplus, in the recent cycle of riots. The key figure in the current wave of riots is the relative surplus population, in stark contrast to the figure of the worker in the case of the strike</w:t>
      </w:r>
      <w:r w:rsidRPr="007603CA">
        <w:rPr>
          <w:sz w:val="16"/>
        </w:rPr>
        <w:t xml:space="preserve"> (Clover 2016, 155). Therefore, </w:t>
      </w:r>
      <w:r w:rsidRPr="007603CA">
        <w:rPr>
          <w:rStyle w:val="Emphasis"/>
        </w:rPr>
        <w:t>the current age of riots is the age of</w:t>
      </w:r>
      <w:r w:rsidRPr="007603CA">
        <w:rPr>
          <w:sz w:val="16"/>
        </w:rPr>
        <w:t xml:space="preserve"> what I have been anticipating, what Clover calls the </w:t>
      </w:r>
      <w:r w:rsidRPr="007603CA">
        <w:rPr>
          <w:rStyle w:val="Emphasis"/>
        </w:rPr>
        <w:t>surplus rebellion</w:t>
      </w:r>
      <w:r w:rsidRPr="007603CA">
        <w:rPr>
          <w:sz w:val="16"/>
        </w:rPr>
        <w:t xml:space="preserve">. These surplus rebellions (Ferguson, Baltimore, etc.) seem to occupy different spaces; they exist not at the factories or “at the site of production,” but at the strip malls, plazas, and squares of urban centers in the West. Moreover, it is important to note that Clover distinguishes between the emphasis on “price-setting” of the first cycle of riot (e.g. bread riots in England) and the surplus rebellions of today, which are “distinct, if related, forms” (Clover 2016, 129). Beyond price-setting, what Clover’s </w:t>
      </w:r>
      <w:r w:rsidRPr="007603CA">
        <w:rPr>
          <w:rStyle w:val="StyleUnderline"/>
        </w:rPr>
        <w:t>surplus rebellions seem to be concerned with is the disruption of circulation as such. Surplus rebellions</w:t>
      </w:r>
      <w:r w:rsidRPr="007603CA">
        <w:rPr>
          <w:sz w:val="16"/>
        </w:rPr>
        <w:t xml:space="preserve">, Clover writes, </w:t>
      </w:r>
      <w:r w:rsidRPr="007603CA">
        <w:rPr>
          <w:rStyle w:val="StyleUnderline"/>
        </w:rPr>
        <w:t>have an “unquenchable desire to make it all stop</w:t>
      </w:r>
      <w:r w:rsidRPr="007603CA">
        <w:rPr>
          <w:sz w:val="16"/>
        </w:rPr>
        <w:t xml:space="preserve">” (Clover 2016, 82). Lastly, but most importantly, Clover argues that the </w:t>
      </w:r>
      <w:r w:rsidRPr="007603CA">
        <w:rPr>
          <w:rStyle w:val="StyleUnderline"/>
        </w:rPr>
        <w:t>surplus rebellion also is “both marked by and marks out race</w:t>
      </w:r>
      <w:r w:rsidRPr="007603CA">
        <w:rPr>
          <w:sz w:val="16"/>
        </w:rPr>
        <w:t xml:space="preserve">” (Clover 2016, 27). Following Ruth Wilson Gilmore, Clover argues that </w:t>
      </w:r>
      <w:r w:rsidRPr="007603CA">
        <w:rPr>
          <w:rStyle w:val="StyleUnderline"/>
        </w:rPr>
        <w:t>the racialized surplus population across the “West” is that which not only is not absorbed by productive capital (and therefore exposed to both super fluidity and wage differentials) but also bears the brunt of both “state sanctioned” and “extralegal” violence or “premature death.</w:t>
      </w:r>
      <w:r w:rsidRPr="007603CA">
        <w:rPr>
          <w:sz w:val="16"/>
        </w:rPr>
        <w:t xml:space="preserve">” Although </w:t>
      </w:r>
      <w:r w:rsidRPr="007603CA">
        <w:rPr>
          <w:rStyle w:val="StyleUnderline"/>
        </w:rPr>
        <w:t xml:space="preserve">racism – and </w:t>
      </w:r>
      <w:r w:rsidRPr="007603CA">
        <w:rPr>
          <w:sz w:val="16"/>
        </w:rPr>
        <w:t xml:space="preserve">more specifically, </w:t>
      </w:r>
      <w:r w:rsidRPr="007603CA">
        <w:rPr>
          <w:rStyle w:val="StyleUnderline"/>
        </w:rPr>
        <w:t>anti-Blackness</w:t>
      </w:r>
      <w:r w:rsidRPr="007603CA">
        <w:rPr>
          <w:sz w:val="16"/>
        </w:rPr>
        <w:t xml:space="preserve"> – cannot be reduced to this political economic dimension, it </w:t>
      </w:r>
      <w:r w:rsidRPr="007603CA">
        <w:rPr>
          <w:rStyle w:val="StyleUnderline"/>
        </w:rPr>
        <w:t>can also not be thought of without it</w:t>
      </w:r>
      <w:r w:rsidRPr="007603CA">
        <w:rPr>
          <w:sz w:val="16"/>
        </w:rPr>
        <w:t xml:space="preserve">. </w:t>
      </w:r>
      <w:r w:rsidRPr="007603CA">
        <w:rPr>
          <w:sz w:val="16"/>
        </w:rPr>
        <w:lastRenderedPageBreak/>
        <w:t xml:space="preserve">One might say that </w:t>
      </w:r>
      <w:r w:rsidRPr="007603CA">
        <w:rPr>
          <w:rStyle w:val="StyleUnderline"/>
        </w:rPr>
        <w:t xml:space="preserve">this is an instance of the relative </w:t>
      </w:r>
      <w:r w:rsidRPr="00D767A6">
        <w:rPr>
          <w:rStyle w:val="StyleUnderline"/>
        </w:rPr>
        <w:t>autonomy of race and capital</w:t>
      </w:r>
      <w:r w:rsidRPr="00D767A6">
        <w:rPr>
          <w:sz w:val="16"/>
        </w:rPr>
        <w:t xml:space="preserve">. With this brief sketch of Clover’s argument, it seems that </w:t>
      </w:r>
      <w:r w:rsidRPr="00D767A6">
        <w:rPr>
          <w:rStyle w:val="StyleUnderline"/>
        </w:rPr>
        <w:t>the self-activity of prison rebels</w:t>
      </w:r>
      <w:r w:rsidRPr="00D767A6">
        <w:rPr>
          <w:sz w:val="16"/>
        </w:rPr>
        <w:t xml:space="preserve"> I </w:t>
      </w:r>
      <w:r w:rsidRPr="00D767A6">
        <w:rPr>
          <w:rStyle w:val="StyleUnderline"/>
        </w:rPr>
        <w:t>have</w:t>
      </w:r>
      <w:r w:rsidRPr="00D767A6">
        <w:rPr>
          <w:sz w:val="16"/>
        </w:rPr>
        <w:t xml:space="preserve"> been discussing finds </w:t>
      </w:r>
      <w:r w:rsidRPr="00D767A6">
        <w:rPr>
          <w:rStyle w:val="StyleUnderline"/>
        </w:rPr>
        <w:t>a certain expression in the concept of riot as surplus rebellion</w:t>
      </w:r>
      <w:r w:rsidRPr="00D767A6">
        <w:rPr>
          <w:sz w:val="16"/>
        </w:rPr>
        <w:t xml:space="preserve">. There are four points that suggest the high degree of adequacy of the concept of surplus rebellion for thinking about the singularity of the recent prison strikes. They are as follows: 1. The prison strike as a spatially displaced surplus rebellion. Insofar as prisons are predominantly populated by what I have coarsely named as “racialized surplus population,” the </w:t>
      </w:r>
      <w:r w:rsidRPr="00D767A6">
        <w:rPr>
          <w:rStyle w:val="StyleUnderline"/>
        </w:rPr>
        <w:t>prison strikes can be thought of as a spatially displaced surplus rebellion</w:t>
      </w:r>
      <w:r w:rsidRPr="00D767A6">
        <w:rPr>
          <w:sz w:val="16"/>
        </w:rPr>
        <w:t xml:space="preserve">. Even in the instance of Michigan’s Kinross prison, in which the </w:t>
      </w:r>
      <w:r w:rsidRPr="00D767A6">
        <w:rPr>
          <w:rStyle w:val="StyleUnderline"/>
        </w:rPr>
        <w:t>rebellion was sparked by a strike, the rebellion generalized only when it went beyond the limits of the figure of the worker and interpellated the vast majority of prisoners – the dispossessed who do not work</w:t>
      </w:r>
      <w:r w:rsidRPr="00D767A6">
        <w:rPr>
          <w:sz w:val="16"/>
        </w:rPr>
        <w:t xml:space="preserve">. Again, </w:t>
      </w:r>
      <w:r w:rsidRPr="00D767A6">
        <w:rPr>
          <w:rStyle w:val="StyleUnderline"/>
        </w:rPr>
        <w:t>the figure of both the prison strikes and riots is not the worker</w:t>
      </w:r>
      <w:r w:rsidRPr="00D767A6">
        <w:rPr>
          <w:u w:val="single"/>
        </w:rPr>
        <w:t>, but</w:t>
      </w:r>
      <w:r w:rsidRPr="00D767A6">
        <w:rPr>
          <w:sz w:val="16"/>
        </w:rPr>
        <w:t xml:space="preserve"> rather, </w:t>
      </w:r>
      <w:r w:rsidRPr="00D767A6">
        <w:rPr>
          <w:rStyle w:val="StyleUnderline"/>
        </w:rPr>
        <w:t>the racialized surplus population</w:t>
      </w:r>
      <w:r w:rsidRPr="00D767A6">
        <w:rPr>
          <w:sz w:val="16"/>
        </w:rPr>
        <w:t xml:space="preserve">. As Clover argues, “[p]eople will struggle where they are” (Clover 2016, 144). My argument is that people are somewhere else. Depending on state capacity and the correlation of forces at a given conjuncture, surplus populations might be more or less “contained” by the carceral apparatus. Again, people struggle where they are: in squares, avenues, strip malls and prison yards. 2. The prison strike as a price-setting struggle. </w:t>
      </w:r>
      <w:r w:rsidRPr="00D767A6">
        <w:rPr>
          <w:rStyle w:val="StyleUnderline"/>
        </w:rPr>
        <w:t>The immediate effect</w:t>
      </w:r>
      <w:r w:rsidRPr="00D767A6">
        <w:rPr>
          <w:sz w:val="16"/>
        </w:rPr>
        <w:t xml:space="preserve"> (both intended and perhaps unintended) </w:t>
      </w:r>
      <w:r w:rsidRPr="00D767A6">
        <w:rPr>
          <w:rStyle w:val="StyleUnderline"/>
        </w:rPr>
        <w:t>of the prison strike actions is that of price-setting</w:t>
      </w:r>
      <w:r w:rsidRPr="00D767A6">
        <w:rPr>
          <w:sz w:val="16"/>
        </w:rPr>
        <w:t xml:space="preserve"> – not of labor-power as such but </w:t>
      </w:r>
      <w:r w:rsidRPr="00D767A6">
        <w:rPr>
          <w:rStyle w:val="StyleUnderline"/>
        </w:rPr>
        <w:t>of living conditions more generally</w:t>
      </w:r>
      <w:r w:rsidRPr="00D767A6">
        <w:rPr>
          <w:sz w:val="16"/>
        </w:rPr>
        <w:t>. Although one might never quite know how or when this happened – due to what the strategist Clausewitz calls the “fog of war”– one knows that earlier this year the process to revert food services back to the state began. It is very likely that this happened because of the</w:t>
      </w:r>
      <w:r w:rsidRPr="007603CA">
        <w:rPr>
          <w:sz w:val="16"/>
        </w:rPr>
        <w:t xml:space="preserve"> actions taken by prisoners at the Kinross facility and beyond. Also in a recent move, the private contractor that provides phone services (Global Tel Link) to Michigan prisons lowered its prices in the wake of the 2018 prison strike.7 3. </w:t>
      </w:r>
      <w:r w:rsidRPr="007603CA">
        <w:rPr>
          <w:rStyle w:val="StyleUnderline"/>
        </w:rPr>
        <w:t>The prison strike’s immediate effect is to make it all stop.</w:t>
      </w:r>
      <w:r w:rsidRPr="007603CA">
        <w:rPr>
          <w:sz w:val="16"/>
        </w:rPr>
        <w:t xml:space="preserve"> Beyond specific demands being put forth by different prisoner-led organizations, </w:t>
      </w:r>
      <w:r w:rsidRPr="007603CA">
        <w:rPr>
          <w:rStyle w:val="Emphasis"/>
        </w:rPr>
        <w:t>the immediate effect of prisoner self-activity is the very disruption of the reproductive process of the prison</w:t>
      </w:r>
      <w:r w:rsidRPr="007603CA">
        <w:rPr>
          <w:sz w:val="16"/>
        </w:rPr>
        <w:t xml:space="preserve">. </w:t>
      </w:r>
      <w:r w:rsidRPr="007603CA">
        <w:rPr>
          <w:rStyle w:val="Emphasis"/>
        </w:rPr>
        <w:t xml:space="preserve">The strength of </w:t>
      </w:r>
      <w:r w:rsidRPr="007603CA">
        <w:rPr>
          <w:rStyle w:val="Emphasis"/>
          <w:highlight w:val="cyan"/>
        </w:rPr>
        <w:t>the prison strike</w:t>
      </w:r>
      <w:r w:rsidRPr="007603CA">
        <w:rPr>
          <w:rStyle w:val="Emphasis"/>
        </w:rPr>
        <w:t xml:space="preserve"> is</w:t>
      </w:r>
      <w:r w:rsidRPr="007603CA">
        <w:rPr>
          <w:sz w:val="16"/>
        </w:rPr>
        <w:t xml:space="preserve"> not that it will necessarily force the state to increase wages but </w:t>
      </w:r>
      <w:r w:rsidRPr="007603CA">
        <w:rPr>
          <w:rStyle w:val="Emphasis"/>
        </w:rPr>
        <w:t xml:space="preserve">that it </w:t>
      </w:r>
      <w:r w:rsidRPr="007603CA">
        <w:rPr>
          <w:rStyle w:val="Emphasis"/>
          <w:highlight w:val="cyan"/>
        </w:rPr>
        <w:t>disrupts the reproduction of the carceral apparatus</w:t>
      </w:r>
      <w:r w:rsidRPr="007603CA">
        <w:rPr>
          <w:rStyle w:val="Emphasis"/>
        </w:rPr>
        <w:t xml:space="preserve"> itself. These disruptions decrease the state’s capacity and </w:t>
      </w:r>
      <w:r w:rsidRPr="007603CA">
        <w:rPr>
          <w:rStyle w:val="Emphasis"/>
          <w:highlight w:val="cyan"/>
        </w:rPr>
        <w:t>intensify the state’s inability</w:t>
      </w:r>
      <w:r w:rsidRPr="007603CA">
        <w:rPr>
          <w:rStyle w:val="Emphasis"/>
        </w:rPr>
        <w:t xml:space="preserve"> to continue </w:t>
      </w:r>
      <w:r w:rsidRPr="007603CA">
        <w:rPr>
          <w:rStyle w:val="Emphasis"/>
          <w:highlight w:val="cyan"/>
        </w:rPr>
        <w:t>to hold prisoners</w:t>
      </w:r>
      <w:r w:rsidRPr="007603CA">
        <w:rPr>
          <w:rStyle w:val="Emphasis"/>
        </w:rPr>
        <w:t xml:space="preserve"> captive. </w:t>
      </w:r>
      <w:r w:rsidRPr="007603CA">
        <w:rPr>
          <w:rStyle w:val="Emphasis"/>
          <w:highlight w:val="cyan"/>
        </w:rPr>
        <w:t>Prolonging such a disruption</w:t>
      </w:r>
      <w:r w:rsidRPr="007603CA">
        <w:rPr>
          <w:rStyle w:val="Emphasis"/>
        </w:rPr>
        <w:t xml:space="preserve">, through whatever means necessary, </w:t>
      </w:r>
      <w:r w:rsidRPr="007603CA">
        <w:rPr>
          <w:rStyle w:val="Emphasis"/>
          <w:highlight w:val="cyan"/>
        </w:rPr>
        <w:t xml:space="preserve">is a key element of </w:t>
      </w:r>
      <w:r w:rsidRPr="007603CA">
        <w:rPr>
          <w:rStyle w:val="Emphasis"/>
        </w:rPr>
        <w:t xml:space="preserve">prison </w:t>
      </w:r>
      <w:r w:rsidRPr="007603CA">
        <w:rPr>
          <w:rStyle w:val="Emphasis"/>
          <w:highlight w:val="cyan"/>
        </w:rPr>
        <w:t>abolition</w:t>
      </w:r>
      <w:r w:rsidRPr="007603CA">
        <w:rPr>
          <w:rStyle w:val="Emphasis"/>
        </w:rPr>
        <w:t>ist strategy today</w:t>
      </w:r>
      <w:r w:rsidRPr="007603CA">
        <w:rPr>
          <w:sz w:val="16"/>
        </w:rPr>
        <w:t xml:space="preserve">. 4. The illegal and racial character of the prison strike. Lastly, the contemporary character of the surplus rebellions inside prisons is both its racialized character and its illegality. As Clover writes, the illegality of surplus rebellions is “among other things the illegality of the racialized body” (Clover 2016, 27). In the context of the carceral space, and in contrast to most strikes, </w:t>
      </w:r>
      <w:r w:rsidRPr="007603CA">
        <w:rPr>
          <w:rStyle w:val="StyleUnderline"/>
        </w:rPr>
        <w:t>prison strikes</w:t>
      </w:r>
      <w:r w:rsidRPr="007603CA">
        <w:rPr>
          <w:sz w:val="16"/>
        </w:rPr>
        <w:t xml:space="preserve"> in the state of Michigan </w:t>
      </w:r>
      <w:r w:rsidRPr="007603CA">
        <w:rPr>
          <w:rStyle w:val="Emphasis"/>
        </w:rPr>
        <w:t>are literally thought of as riots by the state.</w:t>
      </w:r>
      <w:r w:rsidRPr="007603CA">
        <w:rPr>
          <w:sz w:val="16"/>
        </w:rPr>
        <w:t xml:space="preserve"> Here is a direct quote from the Michigan Department of Corrections’ Policy Directives’ that describes the “Incite a Riot or Strike” ticket, which I mentioned earlier: Incite a Riot or Strike: Advocating or instigating actions which are intended to seriously endanger physical safety of the facility, persons, or property or to disrupt the operation of the facility by group cessation of normal activity; participation in such action; joining others in unauthorized work stoppage.8 </w:t>
      </w:r>
      <w:r w:rsidRPr="007603CA">
        <w:rPr>
          <w:rStyle w:val="StyleUnderline"/>
          <w:highlight w:val="cyan"/>
        </w:rPr>
        <w:t xml:space="preserve">Prison strikes </w:t>
      </w:r>
      <w:r w:rsidRPr="007603CA">
        <w:rPr>
          <w:rStyle w:val="StyleUnderline"/>
        </w:rPr>
        <w:t>are literally riots in the sense that they disrupt “normal activity.” They interrupt the order of the police and open a space for politics</w:t>
      </w:r>
      <w:r w:rsidRPr="007603CA">
        <w:rPr>
          <w:sz w:val="16"/>
        </w:rPr>
        <w:t xml:space="preserve">, that is, </w:t>
      </w:r>
      <w:r w:rsidRPr="007603CA">
        <w:rPr>
          <w:rStyle w:val="StyleUnderline"/>
        </w:rPr>
        <w:t xml:space="preserve">they </w:t>
      </w:r>
      <w:r w:rsidRPr="007603CA">
        <w:rPr>
          <w:rStyle w:val="StyleUnderline"/>
          <w:highlight w:val="cyan"/>
        </w:rPr>
        <w:t xml:space="preserve">disorder the distribution of racialized bodies </w:t>
      </w:r>
      <w:r w:rsidRPr="007603CA">
        <w:rPr>
          <w:rStyle w:val="StyleUnderline"/>
        </w:rPr>
        <w:t>and instituted hierarchies</w:t>
      </w:r>
      <w:r w:rsidRPr="007603CA">
        <w:rPr>
          <w:sz w:val="16"/>
        </w:rPr>
        <w:t xml:space="preserve">. These four </w:t>
      </w:r>
      <w:r w:rsidRPr="007603CA">
        <w:rPr>
          <w:rStyle w:val="StyleUnderline"/>
        </w:rPr>
        <w:t>elements of the prison strike find a strong resonance and a high degree of adequacy with the concept of riot (as surplus rebellion).</w:t>
      </w:r>
      <w:r w:rsidRPr="007603CA">
        <w:rPr>
          <w:sz w:val="16"/>
        </w:rPr>
        <w:t xml:space="preserve"> At the same time, however, such a conceptualization does not attempt to subsume the singularity of the prison strike; it merely attempts to think through the relations and rhythms of these heterogeneous struggles. Making these relations explicit provides a theoretical weapon to fight against the reifying tendencies of the “other” of the riot – that is, prison and police – two social forces that constantly attempt to turn relations into objects, and social problems into individual problems. Paraphrasing abolitionist Angela Davis – prisons, and one might add, police – do not solve social problems, they simply disappear human beings. Therefore, </w:t>
      </w:r>
      <w:r w:rsidRPr="007603CA">
        <w:rPr>
          <w:rStyle w:val="StyleUnderline"/>
          <w:highlight w:val="cyan"/>
        </w:rPr>
        <w:t>the task is to intensify</w:t>
      </w:r>
      <w:r w:rsidRPr="007603CA">
        <w:rPr>
          <w:rStyle w:val="StyleUnderline"/>
        </w:rPr>
        <w:t xml:space="preserve"> potential </w:t>
      </w:r>
      <w:r w:rsidRPr="007603CA">
        <w:rPr>
          <w:rStyle w:val="StyleUnderline"/>
          <w:highlight w:val="cyan"/>
        </w:rPr>
        <w:t>alliances across the walls.</w:t>
      </w:r>
      <w:r w:rsidRPr="00440716">
        <w:rPr>
          <w:rStyle w:val="StyleUnderline"/>
        </w:rPr>
        <w:t xml:space="preserve"> </w:t>
      </w:r>
      <w:r w:rsidRPr="007603CA">
        <w:rPr>
          <w:rStyle w:val="StyleUnderline"/>
        </w:rPr>
        <w:t>To support prison rebels as they struggle to take the containment apparatus to its breaking point is the only way the state will not be able to contain the crisis and restore the racial capitalist order</w:t>
      </w:r>
      <w:r w:rsidRPr="007603CA">
        <w:rPr>
          <w:sz w:val="16"/>
        </w:rPr>
        <w:t>.</w:t>
      </w:r>
    </w:p>
    <w:p w14:paraId="571ACD08" w14:textId="77777777" w:rsidR="008F1F9A" w:rsidRPr="008F1F9A" w:rsidRDefault="008F1F9A" w:rsidP="008F1F9A">
      <w:pPr>
        <w:pStyle w:val="Heading2"/>
      </w:pPr>
    </w:p>
    <w:sectPr w:rsidR="008F1F9A" w:rsidRPr="008F1F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1F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1F9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1DF01"/>
  <w14:defaultImageDpi w14:val="300"/>
  <w15:docId w15:val="{D2086273-3F22-EC41-B9BB-E829141D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1F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1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1F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F1F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F1F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1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F9A"/>
  </w:style>
  <w:style w:type="character" w:customStyle="1" w:styleId="Heading1Char">
    <w:name w:val="Heading 1 Char"/>
    <w:aliases w:val="Pocket Char"/>
    <w:basedOn w:val="DefaultParagraphFont"/>
    <w:link w:val="Heading1"/>
    <w:uiPriority w:val="9"/>
    <w:rsid w:val="008F1F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1F9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F1F9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F1F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1F9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F1F9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8F1F9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1F9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F1F9A"/>
    <w:rPr>
      <w:color w:val="auto"/>
      <w:u w:val="none"/>
    </w:rPr>
  </w:style>
  <w:style w:type="paragraph" w:styleId="DocumentMap">
    <w:name w:val="Document Map"/>
    <w:basedOn w:val="Normal"/>
    <w:link w:val="DocumentMapChar"/>
    <w:uiPriority w:val="99"/>
    <w:semiHidden/>
    <w:unhideWhenUsed/>
    <w:rsid w:val="008F1F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1F9A"/>
    <w:rPr>
      <w:rFonts w:ascii="Lucida Grande" w:hAnsi="Lucida Grande" w:cs="Lucida Grande"/>
    </w:rPr>
  </w:style>
  <w:style w:type="paragraph" w:customStyle="1" w:styleId="textbold">
    <w:name w:val="text bold"/>
    <w:basedOn w:val="Normal"/>
    <w:link w:val="Emphasis"/>
    <w:uiPriority w:val="20"/>
    <w:qFormat/>
    <w:rsid w:val="008F1F9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8F1F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absolut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 Type="http://schemas.openxmlformats.org/officeDocument/2006/relationships/settings" Target="settings.xml"/><Relationship Id="rId71" Type="http://schemas.openxmlformats.org/officeDocument/2006/relationships/hyperlink" Target="https://www.merriam-webster.com/dictionary/unqualifi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15220</Words>
  <Characters>86757</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2021-12-11T17:52:00Z</dcterms:created>
  <dcterms:modified xsi:type="dcterms:W3CDTF">2021-12-11T17:54:00Z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