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74F32" w14:textId="77777777" w:rsidR="00320BD1" w:rsidRDefault="00320BD1" w:rsidP="00320BD1">
      <w:pPr>
        <w:pStyle w:val="Heading1"/>
      </w:pPr>
      <w:r>
        <w:t xml:space="preserve">Aff </w:t>
      </w:r>
    </w:p>
    <w:p w14:paraId="5D45EBAE" w14:textId="77777777" w:rsidR="00320BD1" w:rsidRDefault="00320BD1" w:rsidP="00320BD1">
      <w:pPr>
        <w:pStyle w:val="Heading2"/>
      </w:pPr>
      <w:r>
        <w:lastRenderedPageBreak/>
        <w:t>AC</w:t>
      </w:r>
    </w:p>
    <w:p w14:paraId="5E6F6D18" w14:textId="77777777" w:rsidR="00320BD1" w:rsidRPr="0079304C" w:rsidRDefault="00320BD1" w:rsidP="00320BD1">
      <w:pPr>
        <w:pStyle w:val="Heading4"/>
        <w:rPr>
          <w:rFonts w:cs="Calibri"/>
        </w:rPr>
      </w:pPr>
      <w:r w:rsidRPr="0079304C">
        <w:rPr>
          <w:rFonts w:cs="Calibri"/>
        </w:rPr>
        <w:t>Incarcerated workers do not have a right to strike in the US</w:t>
      </w:r>
      <w:r>
        <w:rPr>
          <w:rFonts w:cs="Calibri"/>
        </w:rPr>
        <w:t>.</w:t>
      </w:r>
    </w:p>
    <w:p w14:paraId="73B9075C" w14:textId="77777777" w:rsidR="00320BD1" w:rsidRPr="0079304C" w:rsidRDefault="00320BD1" w:rsidP="00320BD1">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1C5C45DE" w14:textId="77777777" w:rsidR="00320BD1" w:rsidRDefault="00320BD1" w:rsidP="00320BD1">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w:t>
      </w:r>
      <w:r w:rsidRPr="3E7272B5">
        <w:rPr>
          <w:sz w:val="12"/>
          <w:szCs w:val="12"/>
        </w:rPr>
        <w:lastRenderedPageBreak/>
        <w:t xml:space="preserve">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1AF1096D" w14:textId="77777777" w:rsidR="00320BD1" w:rsidRPr="00DF073A" w:rsidRDefault="00320BD1" w:rsidP="00320BD1">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2C0361C8" w14:textId="77777777" w:rsidR="00320BD1" w:rsidRPr="00DF073A" w:rsidRDefault="00320BD1" w:rsidP="00320BD1">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18CAFE90" w14:textId="77777777" w:rsidR="00320BD1" w:rsidRPr="00ED06A4" w:rsidRDefault="00320BD1" w:rsidP="00320BD1">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w:t>
      </w:r>
      <w:r w:rsidRPr="00DF073A">
        <w:rPr>
          <w:b/>
          <w:bCs/>
          <w:highlight w:val="yellow"/>
          <w:u w:val="single"/>
        </w:rPr>
        <w:lastRenderedPageBreak/>
        <w:t xml:space="preserve">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3E94AA09" w14:textId="77777777" w:rsidR="00320BD1" w:rsidRDefault="00320BD1" w:rsidP="00320BD1">
      <w:pPr>
        <w:pStyle w:val="Heading4"/>
        <w:rPr>
          <w:rFonts w:cs="Calibri"/>
        </w:rPr>
      </w:pPr>
      <w:r>
        <w:rPr>
          <w:rFonts w:cs="Calibri"/>
        </w:rPr>
        <w:t>Prison working conditions are terrible—prisoners work in unsafe conditions and accrue thousands of dollars in debt. Eisen 20</w:t>
      </w:r>
    </w:p>
    <w:p w14:paraId="684BFF4C" w14:textId="77777777" w:rsidR="00320BD1" w:rsidRPr="00DF5337" w:rsidRDefault="00320BD1" w:rsidP="00320BD1">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68DF341" w14:textId="77777777" w:rsidR="00320BD1" w:rsidRPr="009B775E" w:rsidRDefault="00320BD1" w:rsidP="00320BD1">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7"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DF5337">
          <w:rPr>
            <w:rStyle w:val="Hyperlink"/>
            <w:sz w:val="12"/>
          </w:rPr>
          <w:t>poorly</w:t>
        </w:r>
      </w:hyperlink>
      <w:r w:rsidRPr="00DF5337">
        <w:rPr>
          <w:sz w:val="12"/>
        </w:rPr>
        <w:t xml:space="preserve"> as they had been as slaves. Records </w:t>
      </w:r>
      <w:hyperlink r:id="rId21"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4"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w:t>
      </w:r>
      <w:r w:rsidRPr="00DF5337">
        <w:rPr>
          <w:sz w:val="12"/>
        </w:rPr>
        <w:lastRenderedPageBreak/>
        <w:t xml:space="preserve">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5"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4EB9ECFD" w14:textId="77777777" w:rsidR="00320BD1" w:rsidRPr="0079304C" w:rsidRDefault="00320BD1" w:rsidP="00320BD1">
      <w:pPr>
        <w:pStyle w:val="Heading4"/>
        <w:rPr>
          <w:rFonts w:cs="Calibri"/>
        </w:rPr>
      </w:pPr>
      <w:r w:rsidRPr="0079304C">
        <w:rPr>
          <w:rFonts w:cs="Calibri"/>
        </w:rPr>
        <w:t xml:space="preserve">Prisoners </w:t>
      </w:r>
      <w:r>
        <w:rPr>
          <w:rFonts w:cs="Calibri"/>
        </w:rPr>
        <w:t xml:space="preserve">make almost no money for their labor. </w:t>
      </w:r>
      <w:r w:rsidRPr="0079304C">
        <w:rPr>
          <w:rFonts w:cs="Calibri"/>
        </w:rPr>
        <w:t>Fulcher 15</w:t>
      </w:r>
    </w:p>
    <w:p w14:paraId="4DC580B9" w14:textId="77777777" w:rsidR="00320BD1" w:rsidRPr="00557219" w:rsidRDefault="00320BD1" w:rsidP="00320BD1">
      <w:r w:rsidRPr="000F0E69">
        <w:t>Patrice A. Fulcher [Associate Professor at The John Marshall Law School], 15 - ("," Journal of Civil Rights and Economic Development, Winter 2015, accessed 10-28-2021, https://scholarship.law.stjohns.edu/cgi/viewcontent.cgi?article=1759&amp;context=jcred)//ML</w:t>
      </w:r>
    </w:p>
    <w:p w14:paraId="2CE818BE" w14:textId="77777777" w:rsidR="00320BD1" w:rsidRDefault="00320BD1" w:rsidP="00320BD1">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w:t>
      </w:r>
      <w:r w:rsidRPr="000D3D12">
        <w:rPr>
          <w:sz w:val="12"/>
        </w:rPr>
        <w:lastRenderedPageBreak/>
        <w:t xml:space="preserve">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 xml:space="preserve">paying working prisoners the most at .50¢ per </w:t>
      </w:r>
      <w:r w:rsidRPr="008B08AC">
        <w:rPr>
          <w:rStyle w:val="Emphasis"/>
          <w:highlight w:val="yellow"/>
        </w:rPr>
        <w:lastRenderedPageBreak/>
        <w:t>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5F09FB33" w14:textId="77777777" w:rsidR="00320BD1" w:rsidRDefault="00320BD1" w:rsidP="00320BD1">
      <w:pPr>
        <w:pStyle w:val="Heading4"/>
      </w:pPr>
      <w:r>
        <w:t>Low wages for prisoners create cycles of recidivism. Fulcher 15</w:t>
      </w:r>
    </w:p>
    <w:p w14:paraId="1CF6CCFD" w14:textId="77777777" w:rsidR="00320BD1" w:rsidRPr="000F0E69" w:rsidRDefault="00320BD1" w:rsidP="00320BD1">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4322CA3F" w14:textId="77777777" w:rsidR="00320BD1" w:rsidRPr="00BC66A8" w:rsidRDefault="00320BD1" w:rsidP="00320BD1">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8B59F8A" w14:textId="77777777" w:rsidR="00320BD1" w:rsidRDefault="00320BD1" w:rsidP="00320BD1">
      <w:pPr>
        <w:pStyle w:val="Heading2"/>
      </w:pPr>
      <w:r>
        <w:lastRenderedPageBreak/>
        <w:t xml:space="preserve">Plan </w:t>
      </w:r>
    </w:p>
    <w:p w14:paraId="5AB64401" w14:textId="77777777" w:rsidR="00320BD1" w:rsidRPr="00822A17" w:rsidRDefault="00320BD1" w:rsidP="00320BD1">
      <w:pPr>
        <w:pStyle w:val="Heading4"/>
      </w:pPr>
      <w:r>
        <w:t xml:space="preserve">Plan: The United States ought to recognize the unconditional right of incarcerated workers to strike. </w:t>
      </w:r>
    </w:p>
    <w:p w14:paraId="1D5BB029" w14:textId="77777777" w:rsidR="00320BD1" w:rsidRPr="0044595D" w:rsidRDefault="00320BD1" w:rsidP="00320BD1">
      <w:pPr>
        <w:pStyle w:val="Heading2"/>
      </w:pPr>
      <w:r>
        <w:lastRenderedPageBreak/>
        <w:t xml:space="preserve">Solvency </w:t>
      </w:r>
    </w:p>
    <w:p w14:paraId="6181C78B" w14:textId="77777777" w:rsidR="00320BD1" w:rsidRPr="0079304C" w:rsidRDefault="00320BD1" w:rsidP="00320BD1">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4AD1179B" w14:textId="77777777" w:rsidR="00320BD1" w:rsidRPr="0079304C" w:rsidRDefault="00320BD1" w:rsidP="00320BD1">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528375AA" w14:textId="77777777" w:rsidR="00320BD1" w:rsidRPr="000D3D12" w:rsidRDefault="00320BD1" w:rsidP="00320BD1">
      <w:pPr>
        <w:rPr>
          <w:sz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w:t>
      </w:r>
      <w:r w:rsidRPr="00A548DC">
        <w:rPr>
          <w:sz w:val="12"/>
        </w:rPr>
        <w:lastRenderedPageBreak/>
        <w:t xml:space="preserve">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342BF6">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w:t>
      </w:r>
    </w:p>
    <w:p w14:paraId="1845EB3A" w14:textId="77777777" w:rsidR="00320BD1" w:rsidRPr="00D75425" w:rsidRDefault="00320BD1" w:rsidP="00320BD1">
      <w:pPr>
        <w:pStyle w:val="Heading4"/>
      </w:pPr>
      <w:r>
        <w:t>Incarcerated workers are uniquely vulnerable to exploitation -- the right to strike is a key weapon in fighting for better conditions</w:t>
      </w:r>
    </w:p>
    <w:p w14:paraId="4D5DDC32" w14:textId="77777777" w:rsidR="00320BD1" w:rsidRDefault="00320BD1" w:rsidP="00320BD1">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w:t>
      </w:r>
      <w:r w:rsidRPr="00D75425">
        <w:lastRenderedPageBreak/>
        <w:t xml:space="preserve">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24D558FC" w14:textId="77777777" w:rsidR="00320BD1" w:rsidRPr="002A7C57" w:rsidRDefault="00320BD1" w:rsidP="00320BD1">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w:t>
      </w:r>
      <w:r w:rsidRPr="033DC131">
        <w:rPr>
          <w:sz w:val="12"/>
          <w:szCs w:val="12"/>
        </w:rPr>
        <w:lastRenderedPageBreak/>
        <w:t xml:space="preserve">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27C387D3" w14:textId="77777777" w:rsidR="00320BD1" w:rsidRDefault="00320BD1" w:rsidP="00320BD1">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133E800C" w14:textId="77777777" w:rsidR="00320BD1" w:rsidRPr="00822A17" w:rsidRDefault="00320BD1" w:rsidP="00320BD1">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 xml:space="preserve">dependents in the outside </w:t>
      </w:r>
      <w:r w:rsidRPr="002B3BD3">
        <w:rPr>
          <w:rStyle w:val="StyleUnderline"/>
          <w:highlight w:val="yellow"/>
          <w:lang w:val="en-HK"/>
        </w:rPr>
        <w:lastRenderedPageBreak/>
        <w:t>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FC31065" w14:textId="77777777" w:rsidR="00320BD1" w:rsidRDefault="00320BD1" w:rsidP="00320BD1">
      <w:pPr>
        <w:pStyle w:val="Heading2"/>
      </w:pPr>
      <w:r>
        <w:lastRenderedPageBreak/>
        <w:t xml:space="preserve">Framework </w:t>
      </w:r>
    </w:p>
    <w:p w14:paraId="5958C9D5" w14:textId="77777777" w:rsidR="00320BD1" w:rsidRPr="00E27770" w:rsidRDefault="00320BD1" w:rsidP="00320BD1">
      <w:pPr>
        <w:pStyle w:val="Heading4"/>
        <w:rPr>
          <w:rFonts w:cs="Calibri"/>
        </w:rPr>
      </w:pPr>
      <w:bookmarkStart w:id="0" w:name="_Hlk54560893"/>
      <w:r>
        <w:rPr>
          <w:rFonts w:cs="Calibri"/>
        </w:rPr>
        <w:t>The impact of structural violence cumulatively outweighs – challenging the structures that facilitate inequality is necessary</w:t>
      </w:r>
    </w:p>
    <w:p w14:paraId="3E43D3BC" w14:textId="77777777" w:rsidR="00320BD1" w:rsidRPr="00E27770" w:rsidRDefault="00320BD1" w:rsidP="00320BD1">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4B1EA797" w14:textId="77777777" w:rsidR="00320BD1" w:rsidRPr="00324812" w:rsidRDefault="00320BD1" w:rsidP="00320BD1">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w:t>
      </w:r>
      <w:r w:rsidRPr="4A4EEA91">
        <w:rPr>
          <w:sz w:val="14"/>
          <w:szCs w:val="14"/>
        </w:rPr>
        <w:lastRenderedPageBreak/>
        <w:t xml:space="preserve">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721032F4" w14:textId="54B50FE0" w:rsidR="00320BD1" w:rsidRDefault="00320BD1" w:rsidP="00320BD1">
      <w:pPr>
        <w:pStyle w:val="Heading3"/>
        <w:rPr>
          <w:rFonts w:eastAsia="Calibri" w:cs="Calibri"/>
          <w:sz w:val="44"/>
          <w:szCs w:val="44"/>
        </w:rPr>
      </w:pPr>
      <w:r w:rsidRPr="0051515F">
        <w:rPr>
          <w:rFonts w:eastAsia="Calibri" w:cs="Calibri"/>
          <w:sz w:val="44"/>
          <w:szCs w:val="44"/>
        </w:rPr>
        <w:lastRenderedPageBreak/>
        <w:t xml:space="preserve">Underview 1 </w:t>
      </w:r>
    </w:p>
    <w:p w14:paraId="3E04362C" w14:textId="77777777" w:rsidR="00C3458D" w:rsidRDefault="00C3458D" w:rsidP="00C3458D">
      <w:pPr>
        <w:pStyle w:val="Heading4"/>
      </w:pPr>
      <w:r>
        <w:t>The Aff challenges dehumanizing cultural frames that allow us to ignore human suffering. Recognition of common vulnerability is key to a politics that rejects violence, oppression, and indifference.</w:t>
      </w:r>
    </w:p>
    <w:p w14:paraId="429EF97F" w14:textId="77777777" w:rsidR="00C3458D" w:rsidRPr="00896404" w:rsidRDefault="00C3458D" w:rsidP="00C3458D">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365332DB" w14:textId="77777777" w:rsidR="009B00B1" w:rsidRDefault="00C3458D" w:rsidP="00C3458D">
      <w:pPr>
        <w:spacing w:after="0" w:line="240" w:lineRule="auto"/>
        <w:ind w:left="720" w:right="720"/>
        <w:rPr>
          <w:rFonts w:eastAsia="Times New Roman" w:cs="Times New Roman"/>
          <w:sz w:val="12"/>
        </w:rPr>
      </w:pPr>
      <w:r w:rsidRPr="00E716F9">
        <w:rPr>
          <w:rFonts w:eastAsia="Times New Roman" w:cs="Times New Roman"/>
          <w:sz w:val="12"/>
        </w:rPr>
        <w:t>Is there something to be gained from grieving, from tarrying with grief, from remaining exposed to its unbearability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unknowingness.</w:t>
      </w:r>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and thus certain human lives are more grievable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sustenance.</w:t>
      </w:r>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uch infants still must be apprehended as given over, as given over to no one or to some insufficient support, or to an abandonment. It would be difficult, it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“grievable.”</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C3458D">
        <w:rPr>
          <w:sz w:val="12"/>
        </w:rPr>
        <w:t>How do our</w:t>
      </w:r>
      <w:r w:rsidRPr="00C3458D">
        <w:rPr>
          <w:rFonts w:eastAsia="Times New Roman" w:cs="Times New Roman"/>
          <w:b/>
          <w:sz w:val="14"/>
          <w:u w:val="single"/>
        </w:rPr>
        <w:t xml:space="preserve"> </w:t>
      </w:r>
      <w:r w:rsidRPr="00C3458D">
        <w:rPr>
          <w:rFonts w:eastAsia="Times New Roman" w:cs="Times New Roman"/>
          <w:b/>
          <w:sz w:val="24"/>
          <w:u w:val="single"/>
        </w:rPr>
        <w:t xml:space="preserve">cultural frames for thinking the human set limits on the kinds of losses we can avow </w:t>
      </w:r>
      <w:r w:rsidRPr="00C3458D">
        <w:rPr>
          <w:sz w:val="12"/>
        </w:rPr>
        <w:t>as loss</w:t>
      </w:r>
      <w:r w:rsidRPr="00C3458D">
        <w:rPr>
          <w:rFonts w:eastAsia="Times New Roman" w:cs="Times New Roman"/>
          <w:b/>
          <w:sz w:val="24"/>
          <w:u w:val="single"/>
        </w:rPr>
        <w:t>?</w:t>
      </w:r>
      <w:r w:rsidRPr="00C3458D">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C3458D">
        <w:rPr>
          <w:rStyle w:val="Emphasis"/>
        </w:rPr>
        <w:t>It must</w:t>
      </w:r>
      <w:r w:rsidRPr="00C3458D">
        <w:rPr>
          <w:rFonts w:eastAsia="Times New Roman" w:cs="Times New Roman"/>
          <w:sz w:val="12"/>
        </w:rPr>
        <w:t xml:space="preserve"> also </w:t>
      </w:r>
      <w:r w:rsidRPr="00C3458D">
        <w:rPr>
          <w:rStyle w:val="Emphasis"/>
        </w:rPr>
        <w:t>be part of</w:t>
      </w:r>
      <w:r w:rsidRPr="00C3458D">
        <w:rPr>
          <w:rFonts w:eastAsia="Times New Roman" w:cs="Times New Roman"/>
          <w:sz w:val="12"/>
        </w:rPr>
        <w:t xml:space="preserve"> the affinity with </w:t>
      </w:r>
      <w:r w:rsidRPr="00C3458D">
        <w:rPr>
          <w:rStyle w:val="Emphasis"/>
        </w:rPr>
        <w:t xml:space="preserve">anti-racist struggles, given </w:t>
      </w:r>
      <w:r w:rsidRPr="00C3458D">
        <w:rPr>
          <w:rStyle w:val="Emphasis"/>
        </w:rPr>
        <w:lastRenderedPageBreak/>
        <w:t>the racial differential that undergirds</w:t>
      </w:r>
      <w:r w:rsidRPr="00C3458D">
        <w:rPr>
          <w:rFonts w:eastAsia="Times New Roman" w:cs="Times New Roman"/>
          <w:sz w:val="12"/>
        </w:rPr>
        <w:t xml:space="preserve"> the </w:t>
      </w:r>
      <w:r w:rsidRPr="00C3458D">
        <w:rPr>
          <w:rStyle w:val="Emphasis"/>
        </w:rPr>
        <w:t>culturally viable notions of the human</w:t>
      </w:r>
      <w:r w:rsidRPr="00C3458D">
        <w:rPr>
          <w:rFonts w:eastAsia="Times New Roman" w:cs="Times New Roman"/>
          <w:sz w:val="12"/>
        </w:rPr>
        <w:t xml:space="preserve">, ones that we see </w:t>
      </w:r>
      <w:r w:rsidRPr="00C3458D">
        <w:rPr>
          <w:rStyle w:val="Emphasis"/>
        </w:rPr>
        <w:t>acted out in</w:t>
      </w:r>
      <w:r w:rsidRPr="00C3458D">
        <w:rPr>
          <w:rFonts w:eastAsia="Times New Roman" w:cs="Times New Roman"/>
          <w:sz w:val="12"/>
        </w:rPr>
        <w:t xml:space="preserve"> dramatic and </w:t>
      </w:r>
      <w:r w:rsidRPr="00C3458D">
        <w:rPr>
          <w:rStyle w:val="Emphasis"/>
        </w:rPr>
        <w:t>terrifying ways in the global arena</w:t>
      </w:r>
      <w:r w:rsidRPr="00C3458D">
        <w:rPr>
          <w:rFonts w:eastAsia="Times New Roman" w:cs="Times New Roman"/>
          <w:sz w:val="12"/>
        </w:rPr>
        <w:t xml:space="preserve"> at the present time</w:t>
      </w:r>
      <w:r w:rsidRPr="00C3458D">
        <w:rPr>
          <w:rStyle w:val="Emphasis"/>
        </w:rPr>
        <w:t>.</w:t>
      </w:r>
      <w:r w:rsidRPr="00C3458D">
        <w:rPr>
          <w:rFonts w:eastAsia="Times New Roman" w:cs="Times New Roman"/>
          <w:sz w:val="12"/>
        </w:rPr>
        <w:t>¶ I am referring not only to humans not regarded as humans, and thus to a restrictive conception</w:t>
      </w:r>
      <w:r w:rsidRPr="005F464B">
        <w:rPr>
          <w:rFonts w:eastAsia="Times New Roman" w:cs="Times New Roman"/>
          <w:sz w:val="12"/>
        </w:rPr>
        <w:t xml:space="preserve">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t>an insurrection at the level of ontology</w:t>
      </w:r>
      <w:r w:rsidRPr="005F464B">
        <w:rPr>
          <w:rFonts w:eastAsia="Times New Roman" w:cs="Times New Roman"/>
          <w:sz w:val="12"/>
        </w:rPr>
        <w:t xml:space="preserve">, a critical opening up of the questions, What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w:t>
      </w:r>
    </w:p>
    <w:p w14:paraId="21409386" w14:textId="77777777" w:rsidR="009B00B1" w:rsidRDefault="009B00B1" w:rsidP="00C3458D">
      <w:pPr>
        <w:spacing w:after="0" w:line="240" w:lineRule="auto"/>
        <w:ind w:left="720" w:right="720"/>
        <w:rPr>
          <w:rFonts w:eastAsia="Times New Roman" w:cs="Times New Roman"/>
          <w:sz w:val="12"/>
        </w:rPr>
      </w:pPr>
    </w:p>
    <w:p w14:paraId="67D649DC" w14:textId="30D2C79D" w:rsidR="00C3458D" w:rsidRPr="005F464B" w:rsidRDefault="00C3458D" w:rsidP="00C3458D">
      <w:pPr>
        <w:spacing w:after="0" w:line="240" w:lineRule="auto"/>
        <w:ind w:left="720" w:right="720"/>
        <w:rPr>
          <w:rFonts w:eastAsia="Times New Roman" w:cs="Times New Roman"/>
          <w:sz w:val="12"/>
        </w:rPr>
      </w:pPr>
      <w:r w:rsidRPr="005F464B">
        <w:rPr>
          <w:rFonts w:eastAsia="Times New Roman" w:cs="Times New Roman"/>
          <w:sz w:val="12"/>
        </w:rPr>
        <w:t xml:space="preserve">iolence and those </w:t>
      </w:r>
      <w:r w:rsidRPr="0038093A">
        <w:rPr>
          <w:rFonts w:eastAsia="Times New Roman" w:cs="Times New Roman"/>
          <w:sz w:val="12"/>
        </w:rPr>
        <w:t xml:space="preserve">lives considered as "unreal"? Does violence effect that unreality? Does violence take place on the condition of that unreality?¶ If violence is done </w:t>
      </w:r>
      <w:r w:rsidRPr="0038093A">
        <w:rPr>
          <w:sz w:val="12"/>
        </w:rPr>
        <w:t>against those who are unreal, then, from the perspective of violence, it fails to injure or negate those lives since those lives are already negated. But they have a strange way of remaining animated and so must be negated again (and again).</w:t>
      </w:r>
      <w:r w:rsidRPr="0038093A">
        <w:rPr>
          <w:rFonts w:eastAsia="Times New Roman" w:cs="Times New Roman"/>
          <w:sz w:val="2"/>
        </w:rPr>
        <w:t xml:space="preserve"> </w:t>
      </w:r>
      <w:r w:rsidRPr="0038093A">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w:t>
      </w:r>
      <w:r w:rsidRPr="005F464B">
        <w:rPr>
          <w:rFonts w:eastAsia="Times New Roman" w:cs="Times New Roman"/>
          <w:sz w:val="12"/>
        </w:rPr>
        <w:t xml:space="preserv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2oo,ooo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Are there names attached to those children?</w:t>
      </w:r>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have to ask, again and again, how the obituary functions as the instrument by which grievability is publicly distributed. It is the means by which a life becomes, or fails to become, a publicly grievable life, an icon for national self-recognition, the means by which a life becomes noteworthy. As a result, we have to consider the obituary as an act of nation-building. The matter is not a simple one, for, if a life is not grievable, it is not quite a life; it does not qualify as a life and is not worth a note. It is already the unburied, if not the unburiable.¶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I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grievable losses, and how, for instance, the extensive deaths now taking place in Africa are also, in the media, for the most part unmarkable and ungrievable.</w:t>
      </w:r>
    </w:p>
    <w:p w14:paraId="412EDDEA" w14:textId="77777777" w:rsidR="00C3458D" w:rsidRPr="00C3458D" w:rsidRDefault="00C3458D" w:rsidP="00C3458D"/>
    <w:p w14:paraId="727FB871" w14:textId="77777777" w:rsidR="00320BD1" w:rsidRDefault="00320BD1" w:rsidP="00320BD1">
      <w:pPr>
        <w:pStyle w:val="Heading4"/>
      </w:pPr>
      <w:r w:rsidRPr="4A4EEA91">
        <w:rPr>
          <w:rFonts w:eastAsia="Calibri" w:cs="Calibri"/>
        </w:rPr>
        <w:t xml:space="preserve">Scholarly discourse and engagement with politics is key to effective structural reform - critique is insufficient. </w:t>
      </w:r>
    </w:p>
    <w:p w14:paraId="28D3C65B" w14:textId="77777777" w:rsidR="00320BD1" w:rsidRDefault="00320BD1" w:rsidP="00320BD1">
      <w:r w:rsidRPr="4A4EEA91">
        <w:rPr>
          <w:rFonts w:ascii="Times New Roman" w:eastAsia="Times New Roman" w:hAnsi="Times New Roman" w:cs="Times New Roman"/>
          <w:b/>
          <w:bCs/>
          <w:sz w:val="26"/>
          <w:szCs w:val="26"/>
        </w:rPr>
        <w:t>Purdy ’20</w:t>
      </w:r>
      <w:r w:rsidRPr="4A4EEA91">
        <w:rPr>
          <w:rFonts w:eastAsia="Calibri"/>
          <w:b/>
          <w:bCs/>
          <w:sz w:val="24"/>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5F6D5BE9" w14:textId="77777777" w:rsidR="00320BD1" w:rsidRDefault="00320BD1" w:rsidP="00320BD1">
      <w:r w:rsidRPr="4A4EEA91">
        <w:rPr>
          <w:rFonts w:ascii="Cambria" w:eastAsia="Cambria" w:hAnsi="Cambria" w:cs="Cambria"/>
          <w:sz w:val="12"/>
          <w:szCs w:val="12"/>
        </w:rPr>
        <w:t xml:space="preserve"> </w:t>
      </w:r>
    </w:p>
    <w:p w14:paraId="016BE519" w14:textId="77777777" w:rsidR="00320BD1" w:rsidRDefault="00320BD1" w:rsidP="00320BD1">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lastRenderedPageBreak/>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23408F54" w14:textId="77777777" w:rsidR="00320BD1" w:rsidRDefault="00320BD1" w:rsidP="00320BD1">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7EC75989" w14:textId="77777777" w:rsidR="00320BD1" w:rsidRDefault="00320BD1" w:rsidP="00320BD1">
      <w:r w:rsidRPr="4A4EEA91">
        <w:rPr>
          <w:rFonts w:ascii="Times New Roman" w:eastAsia="Times New Roman" w:hAnsi="Times New Roman" w:cs="Times New Roman"/>
          <w:b/>
          <w:bCs/>
          <w:sz w:val="26"/>
          <w:szCs w:val="26"/>
        </w:rPr>
        <w:t>Delgado ’87</w:t>
      </w:r>
      <w:r w:rsidRPr="4A4EEA91">
        <w:rPr>
          <w:rFonts w:eastAsia="Calibri"/>
          <w:b/>
          <w:bCs/>
          <w:sz w:val="24"/>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40C2E82D" w14:textId="77777777" w:rsidR="00320BD1" w:rsidRDefault="00320BD1" w:rsidP="00320BD1">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D3B7148" w14:textId="77777777" w:rsidR="009B00B1" w:rsidRDefault="00320BD1" w:rsidP="00320BD1">
      <w:pPr>
        <w:rPr>
          <w:rFonts w:ascii="Times New Roman" w:eastAsia="Times New Roman" w:hAnsi="Times New Roman" w:cs="Times New Roman"/>
          <w:szCs w:val="22"/>
        </w:rPr>
      </w:pPr>
      <w:r w:rsidRPr="4A4EEA91">
        <w:rPr>
          <w:rFonts w:eastAsia="Calibri"/>
          <w:b/>
          <w:bCs/>
          <w:szCs w:val="22"/>
          <w:highlight w:val="yellow"/>
          <w:u w:val="single"/>
        </w:rPr>
        <w:t xml:space="preserve">The </w:t>
      </w:r>
      <w:r w:rsidRPr="4A4EEA91">
        <w:rPr>
          <w:rFonts w:eastAsia="Calibri"/>
          <w:sz w:val="12"/>
          <w:szCs w:val="12"/>
        </w:rPr>
        <w:t>CLS</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critique of piecemeal reform is</w:t>
      </w:r>
      <w:r w:rsidRPr="4A4EEA91">
        <w:rPr>
          <w:rFonts w:ascii="Times New Roman" w:eastAsia="Times New Roman" w:hAnsi="Times New Roman" w:cs="Times New Roman"/>
          <w:szCs w:val="22"/>
        </w:rPr>
        <w:t xml:space="preserve"> </w:t>
      </w:r>
    </w:p>
    <w:p w14:paraId="4D1655A6" w14:textId="77777777" w:rsidR="009B00B1" w:rsidRDefault="009B00B1" w:rsidP="00320BD1">
      <w:pPr>
        <w:rPr>
          <w:rFonts w:ascii="Times New Roman" w:eastAsia="Times New Roman" w:hAnsi="Times New Roman" w:cs="Times New Roman"/>
          <w:szCs w:val="22"/>
        </w:rPr>
      </w:pPr>
    </w:p>
    <w:p w14:paraId="00D79EAB" w14:textId="77777777" w:rsidR="009B00B1" w:rsidRDefault="009B00B1" w:rsidP="00320BD1">
      <w:pPr>
        <w:rPr>
          <w:rFonts w:ascii="Times New Roman" w:eastAsia="Times New Roman" w:hAnsi="Times New Roman" w:cs="Times New Roman"/>
          <w:szCs w:val="22"/>
        </w:rPr>
      </w:pPr>
    </w:p>
    <w:p w14:paraId="1051CAE9" w14:textId="6CE0A2EF" w:rsidR="00320BD1" w:rsidRDefault="00320BD1" w:rsidP="00320BD1">
      <w:r w:rsidRPr="4A4EEA91">
        <w:rPr>
          <w:rFonts w:eastAsia="Calibri"/>
          <w:sz w:val="12"/>
          <w:szCs w:val="12"/>
        </w:rPr>
        <w:t>familiar</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imperialistic and wrong.</w:t>
      </w:r>
      <w:r w:rsidRPr="4A4EEA91">
        <w:rPr>
          <w:rFonts w:ascii="Times New Roman" w:eastAsia="Times New Roman" w:hAnsi="Times New Roman" w:cs="Times New Roman"/>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rFonts w:ascii="Times New Roman" w:eastAsia="Times New Roman" w:hAnsi="Times New Roman" w:cs="Times New Roman"/>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rFonts w:ascii="Times New Roman" w:eastAsia="Times New Roman" w:hAnsi="Times New Roman" w:cs="Times New Roman"/>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rFonts w:ascii="Times New Roman" w:eastAsia="Times New Roman" w:hAnsi="Times New Roman" w:cs="Times New Roman"/>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rFonts w:ascii="Times New Roman" w:eastAsia="Times New Roman" w:hAnsi="Times New Roman" w:cs="Times New Roman"/>
          <w:b/>
          <w:bCs/>
          <w:szCs w:val="22"/>
          <w:highlight w:val="yellow"/>
          <w:u w:val="single"/>
        </w:rPr>
        <w:t>.</w:t>
      </w:r>
      <w:r w:rsidRPr="4A4EEA91">
        <w:rPr>
          <w:rFonts w:ascii="Times New Roman" w:eastAsia="Times New Roman" w:hAnsi="Times New Roman" w:cs="Times New Roman"/>
          <w:szCs w:val="22"/>
        </w:rPr>
        <w:t xml:space="preserve"> </w:t>
      </w:r>
      <w:r w:rsidRPr="4A4EEA91">
        <w:rPr>
          <w:rFonts w:eastAsia="Calibri"/>
          <w:sz w:val="12"/>
          <w:szCs w:val="12"/>
        </w:rPr>
        <w:t xml:space="preserve">The Crits do not offer such evidence.  </w:t>
      </w:r>
    </w:p>
    <w:p w14:paraId="2CE207D7" w14:textId="77777777" w:rsidR="00320BD1" w:rsidRDefault="00320BD1" w:rsidP="00320BD1">
      <w:r w:rsidRPr="4A4EEA91">
        <w:rPr>
          <w:rFonts w:eastAsia="Calibri"/>
          <w:sz w:val="12"/>
          <w:szCs w:val="12"/>
        </w:rPr>
        <w:t>Indeed, some</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rFonts w:ascii="Times New Roman" w:eastAsia="Times New Roman" w:hAnsi="Times New Roman" w:cs="Times New Roman"/>
          <w:b/>
          <w:bCs/>
          <w:szCs w:val="22"/>
          <w:highlight w:val="yellow"/>
          <w:u w:val="single"/>
        </w:rPr>
        <w:t xml:space="preserve">. </w:t>
      </w:r>
      <w:r w:rsidRPr="4A4EEA91">
        <w:rPr>
          <w:rFonts w:eastAsia="Calibri"/>
          <w:sz w:val="12"/>
          <w:szCs w:val="12"/>
        </w:rPr>
        <w:t>Not all</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rFonts w:ascii="Times New Roman" w:eastAsia="Times New Roman" w:hAnsi="Times New Roman" w:cs="Times New Roman"/>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rFonts w:ascii="Times New Roman" w:eastAsia="Times New Roman" w:hAnsi="Times New Roman" w:cs="Times New Roman"/>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sz w:val="24"/>
        </w:rPr>
        <w:t xml:space="preserve"> </w:t>
      </w:r>
    </w:p>
    <w:p w14:paraId="7653899C" w14:textId="77777777" w:rsidR="00320BD1" w:rsidRDefault="00320BD1" w:rsidP="00320BD1">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7DD322F3" w14:textId="77777777" w:rsidR="00320BD1" w:rsidRDefault="00320BD1" w:rsidP="00320BD1">
      <w:r w:rsidRPr="4A4EEA91">
        <w:rPr>
          <w:rFonts w:ascii="Times New Roman" w:eastAsia="Times New Roman" w:hAnsi="Times New Roman" w:cs="Times New Roman"/>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27F0B918" w14:textId="77777777" w:rsidR="00320BD1" w:rsidRDefault="00320BD1" w:rsidP="00320BD1">
      <w:r w:rsidRPr="4A4EEA91">
        <w:rPr>
          <w:rFonts w:eastAsia="Calibri"/>
          <w:sz w:val="12"/>
          <w:szCs w:val="12"/>
        </w:rPr>
        <w:lastRenderedPageBreak/>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rFonts w:ascii="Times New Roman" w:eastAsia="Times New Roman" w:hAnsi="Times New Roman" w:cs="Times New Roman"/>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rFonts w:ascii="Times New Roman" w:eastAsia="Times New Roman" w:hAnsi="Times New Roman" w:cs="Times New Roman"/>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58F98816" w14:textId="77777777" w:rsidR="00320BD1" w:rsidRDefault="00320BD1" w:rsidP="00320BD1">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77E6A0EF" w14:textId="77777777" w:rsidR="00320BD1" w:rsidRDefault="00320BD1" w:rsidP="00320BD1">
      <w:r w:rsidRPr="4A4EEA91">
        <w:rPr>
          <w:rFonts w:ascii="Times New Roman" w:eastAsia="Times New Roman" w:hAnsi="Times New Roman" w:cs="Times New Roman"/>
          <w:b/>
          <w:bCs/>
          <w:sz w:val="26"/>
          <w:szCs w:val="26"/>
        </w:rPr>
        <w:t>Zannoti ’13</w:t>
      </w:r>
      <w:r w:rsidRPr="4A4EEA91">
        <w:rPr>
          <w:rFonts w:eastAsia="Calibri"/>
          <w:b/>
          <w:bCs/>
          <w:sz w:val="24"/>
        </w:rPr>
        <w:t xml:space="preserve"> - </w:t>
      </w:r>
      <w:r w:rsidRPr="4A4EEA91">
        <w:rPr>
          <w:rFonts w:ascii="Times New Roman" w:eastAsia="Times New Roman" w:hAnsi="Times New Roman" w:cs="Times New Roman"/>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5B8F512" w14:textId="77777777" w:rsidR="00320BD1" w:rsidRDefault="00320BD1" w:rsidP="00320BD1">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rFonts w:ascii="Times New Roman" w:eastAsia="Times New Roman" w:hAnsi="Times New Roman" w:cs="Times New Roman"/>
          <w:sz w:val="12"/>
          <w:szCs w:val="12"/>
        </w:rPr>
        <w:t>demonizations</w:t>
      </w:r>
      <w:r w:rsidRPr="4A4EEA91">
        <w:rPr>
          <w:rFonts w:eastAsia="Calibri"/>
          <w:sz w:val="12"/>
          <w:szCs w:val="12"/>
        </w:rPr>
        <w:t xml:space="preserve"> of ‘‘power,’’ </w:t>
      </w:r>
      <w:r w:rsidRPr="4A4EEA91">
        <w:rPr>
          <w:rFonts w:ascii="Times New Roman" w:eastAsia="Times New Roman" w:hAnsi="Times New Roman" w:cs="Times New Roman"/>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rFonts w:ascii="Times New Roman" w:eastAsia="Times New Roman" w:hAnsi="Times New Roman" w:cs="Times New Roman"/>
          <w:sz w:val="12"/>
          <w:szCs w:val="12"/>
        </w:rPr>
        <w:t>So</w:t>
      </w:r>
      <w:r w:rsidRPr="4A4EEA91">
        <w:rPr>
          <w:rFonts w:eastAsia="Calibri"/>
          <w:sz w:val="12"/>
          <w:szCs w:val="12"/>
        </w:rPr>
        <w:t xml:space="preserve"> my position leads not to apathy but to hyper- and pessimistic activism. </w:t>
      </w:r>
    </w:p>
    <w:p w14:paraId="039EA44F" w14:textId="77777777" w:rsidR="00320BD1" w:rsidRDefault="00320BD1" w:rsidP="00320BD1">
      <w:r w:rsidRPr="4A4EEA91">
        <w:rPr>
          <w:rFonts w:eastAsia="Calibri"/>
          <w:sz w:val="24"/>
        </w:rPr>
        <w:t xml:space="preserve"> </w:t>
      </w:r>
    </w:p>
    <w:p w14:paraId="78122C55" w14:textId="77777777" w:rsidR="00320BD1" w:rsidRDefault="00320BD1" w:rsidP="00320BD1">
      <w:pPr>
        <w:pStyle w:val="Heading3"/>
      </w:pPr>
      <w:r w:rsidRPr="4A4EEA91">
        <w:rPr>
          <w:rFonts w:eastAsia="Calibri" w:cs="Calibri"/>
          <w:sz w:val="44"/>
          <w:szCs w:val="44"/>
        </w:rPr>
        <w:lastRenderedPageBreak/>
        <w:t xml:space="preserve">Underview 2 </w:t>
      </w:r>
    </w:p>
    <w:p w14:paraId="6C3BBD93" w14:textId="77777777" w:rsidR="00320BD1" w:rsidRDefault="00320BD1" w:rsidP="00320BD1">
      <w:pPr>
        <w:pStyle w:val="Heading4"/>
      </w:pPr>
      <w:r w:rsidRPr="4A4EEA91">
        <w:rPr>
          <w:rFonts w:eastAsia="Calibri" w:cs="Calibri"/>
        </w:rPr>
        <w:t xml:space="preserve">Their disads will surely be ridiculous. </w:t>
      </w:r>
    </w:p>
    <w:p w14:paraId="4AE4A49E" w14:textId="77777777" w:rsidR="00320BD1" w:rsidRDefault="00320BD1" w:rsidP="00320BD1">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408C10BF" w14:textId="77777777" w:rsidR="00320BD1" w:rsidRDefault="00320BD1" w:rsidP="00320BD1">
      <w:pPr>
        <w:pStyle w:val="Heading4"/>
      </w:pPr>
      <w:r w:rsidRPr="4A4EEA91">
        <w:rPr>
          <w:rFonts w:eastAsia="Calibri" w:cs="Calibri"/>
        </w:rPr>
        <w:t xml:space="preserve">(B) Compound Probability - Multiplied probabilities of long link chains have negligible net probabilities. This is the slippery slope fallacy. </w:t>
      </w:r>
    </w:p>
    <w:p w14:paraId="586B56F0" w14:textId="77777777" w:rsidR="00320BD1" w:rsidRDefault="00320BD1" w:rsidP="00320BD1">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8F31014" w14:textId="77777777" w:rsidR="00320BD1" w:rsidRDefault="00320BD1" w:rsidP="00320BD1">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0FBC8F68" w14:textId="77777777" w:rsidR="00320BD1" w:rsidRDefault="00320BD1" w:rsidP="00320BD1">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4FD64ED7" w14:textId="77777777" w:rsidR="00320BD1" w:rsidRPr="00416991" w:rsidRDefault="00320BD1" w:rsidP="00320BD1"/>
    <w:p w14:paraId="0EFD8270" w14:textId="79F1C4CF" w:rsidR="00E42E4C" w:rsidRDefault="0022653E" w:rsidP="0022653E">
      <w:pPr>
        <w:pStyle w:val="Heading1"/>
      </w:pPr>
      <w:r>
        <w:lastRenderedPageBreak/>
        <w:t>1ar cards</w:t>
      </w:r>
    </w:p>
    <w:p w14:paraId="170FBC51" w14:textId="248C56A3" w:rsidR="0022653E" w:rsidRDefault="0022653E" w:rsidP="0022653E">
      <w:pPr>
        <w:pStyle w:val="Heading2"/>
      </w:pPr>
      <w:r>
        <w:lastRenderedPageBreak/>
        <w:t>T</w:t>
      </w:r>
    </w:p>
    <w:p w14:paraId="75E2D200" w14:textId="77777777" w:rsidR="0022653E" w:rsidRPr="00FD4BB7" w:rsidRDefault="0022653E" w:rsidP="0022653E">
      <w:pPr>
        <w:pStyle w:val="Heading4"/>
        <w:rPr>
          <w:rFonts w:cs="Calibri"/>
        </w:rPr>
      </w:pPr>
      <w:r w:rsidRPr="00FD4BB7">
        <w:rPr>
          <w:rFonts w:cs="Calibri"/>
        </w:rPr>
        <w:t>Indefinite articles can indicate particular instances</w:t>
      </w:r>
    </w:p>
    <w:p w14:paraId="199F35AD" w14:textId="77777777" w:rsidR="0022653E" w:rsidRPr="00FD4BB7" w:rsidRDefault="0022653E" w:rsidP="0022653E">
      <w:r w:rsidRPr="00FD4BB7">
        <w:rPr>
          <w:rStyle w:val="Style13ptBold"/>
        </w:rPr>
        <w:t>Dictionary.com, 20</w:t>
      </w:r>
      <w:r w:rsidRPr="00FD4BB7">
        <w:t xml:space="preserve"> – (dictionary.com, “a,” https://www.merriam-webster.com/dictionary/a)//usc-br/</w:t>
      </w:r>
    </w:p>
    <w:p w14:paraId="0BDAE214" w14:textId="77777777" w:rsidR="0022653E" w:rsidRPr="00FD4BB7" w:rsidRDefault="0022653E" w:rsidP="0022653E">
      <w:pPr>
        <w:rPr>
          <w:sz w:val="16"/>
        </w:rPr>
      </w:pPr>
      <w:r w:rsidRPr="00FD4BB7">
        <w:rPr>
          <w:rStyle w:val="StyleUnderline"/>
        </w:rPr>
        <w:t xml:space="preserve">a indefinite article </w:t>
      </w:r>
      <w:r w:rsidRPr="00FD4BB7">
        <w:rPr>
          <w:sz w:val="16"/>
        </w:rPr>
        <w:t xml:space="preserve">\ ə, for emphasis (ˈ)ā , Canadian ˈa \ Definition of a (Entry 2 of 13) 1—used as a function word before singular nouns when the referent is unspecified a man overboard and before number collectives and some numbers a dozen 2: the same birds of a feather swords all of a length </w:t>
      </w:r>
    </w:p>
    <w:p w14:paraId="671FBD87" w14:textId="77777777" w:rsidR="0022653E" w:rsidRPr="00FD4BB7" w:rsidRDefault="0022653E" w:rsidP="0022653E">
      <w:pPr>
        <w:rPr>
          <w:sz w:val="16"/>
        </w:rPr>
      </w:pPr>
      <w:r w:rsidRPr="00FD4BB7">
        <w:rPr>
          <w:rStyle w:val="StyleUnderline"/>
        </w:rPr>
        <w:t>3</w:t>
      </w:r>
      <w:r w:rsidRPr="00FD4BB7">
        <w:rPr>
          <w:sz w:val="16"/>
        </w:rPr>
        <w:t>a—used as a function word before a singular noun followed by a restrictive modifier a man who was here yesterday b: ANY a person who is sick can't work</w:t>
      </w:r>
    </w:p>
    <w:p w14:paraId="47B6E0F3" w14:textId="77777777" w:rsidR="0022653E" w:rsidRPr="00FD4BB7" w:rsidRDefault="0022653E" w:rsidP="0022653E">
      <w:pPr>
        <w:rPr>
          <w:sz w:val="16"/>
        </w:rPr>
      </w:pPr>
      <w:r w:rsidRPr="00FD4BB7">
        <w:rPr>
          <w:sz w:val="16"/>
        </w:rPr>
        <w:t>c—</w:t>
      </w:r>
      <w:r w:rsidRPr="00FD4BB7">
        <w:rPr>
          <w:rStyle w:val="StyleUnderline"/>
          <w:highlight w:val="yellow"/>
        </w:rPr>
        <w:t>used</w:t>
      </w:r>
      <w:r w:rsidRPr="00FD4BB7">
        <w:rPr>
          <w:rStyle w:val="StyleUnderline"/>
        </w:rPr>
        <w:t xml:space="preserve"> as a function word </w:t>
      </w:r>
      <w:r w:rsidRPr="00FD4BB7">
        <w:rPr>
          <w:rStyle w:val="StyleUnderline"/>
          <w:highlight w:val="yellow"/>
        </w:rPr>
        <w:t>before a mass noun to denote</w:t>
      </w:r>
      <w:r w:rsidRPr="00FD4BB7">
        <w:rPr>
          <w:rStyle w:val="StyleUnderline"/>
        </w:rPr>
        <w:t xml:space="preserve"> a </w:t>
      </w:r>
      <w:r w:rsidRPr="00FD4BB7">
        <w:rPr>
          <w:rStyle w:val="Emphasis"/>
          <w:highlight w:val="yellow"/>
        </w:rPr>
        <w:t>particular type or instance</w:t>
      </w:r>
      <w:r w:rsidRPr="00FD4BB7">
        <w:rPr>
          <w:rStyle w:val="Emphasis"/>
        </w:rPr>
        <w:t xml:space="preserve"> </w:t>
      </w:r>
      <w:r w:rsidRPr="00FD4BB7">
        <w:rPr>
          <w:sz w:val="16"/>
        </w:rPr>
        <w:t>a bronze made in ancient times</w:t>
      </w:r>
    </w:p>
    <w:p w14:paraId="36E4782B" w14:textId="77777777" w:rsidR="0022653E" w:rsidRPr="0022653E" w:rsidRDefault="0022653E" w:rsidP="0022653E"/>
    <w:p w14:paraId="241DB846" w14:textId="0B06985C" w:rsidR="0022653E" w:rsidRDefault="0022653E" w:rsidP="0022653E">
      <w:pPr>
        <w:pStyle w:val="Heading2"/>
      </w:pPr>
      <w:r>
        <w:lastRenderedPageBreak/>
        <w:t>Butler bad</w:t>
      </w:r>
    </w:p>
    <w:p w14:paraId="7B20615B" w14:textId="77777777" w:rsidR="0022653E" w:rsidRPr="008F6FA6" w:rsidRDefault="0022653E" w:rsidP="0022653E">
      <w:pPr>
        <w:pStyle w:val="Heading4"/>
        <w:rPr>
          <w:rFonts w:cs="Calibri"/>
        </w:rPr>
      </w:pPr>
      <w:r w:rsidRPr="008F6FA6">
        <w:rPr>
          <w:rFonts w:cs="Calibri"/>
        </w:rPr>
        <w:t>Judith Butler apologized for signing the letter. Butler 18</w:t>
      </w:r>
    </w:p>
    <w:p w14:paraId="2443D39A" w14:textId="77777777" w:rsidR="0022653E" w:rsidRPr="008F6FA6" w:rsidRDefault="0022653E" w:rsidP="0022653E">
      <w:r w:rsidRPr="008F6FA6">
        <w:t>Judith Butler [American philosopher and gender theorist whose work has influenced political philosophy, ethics, and the fields of third-wave feminism, queer theory, and literary theory], 18 - ("Judith Butler's Statement about the Letter in Support of Avital Ronell," Remaking the University, 8-19-2018, accessed 10-15-2021, http://utotherescue.blogspot.com/2018/08/judith-butlers-statement-about-letter.html)//ML</w:t>
      </w:r>
    </w:p>
    <w:p w14:paraId="59197204" w14:textId="77777777" w:rsidR="0022653E" w:rsidRPr="008F6FA6" w:rsidRDefault="0022653E" w:rsidP="0022653E">
      <w:pPr>
        <w:rPr>
          <w:sz w:val="12"/>
        </w:rPr>
      </w:pPr>
      <w:r w:rsidRPr="008F6FA6">
        <w:rPr>
          <w:sz w:val="12"/>
          <w:bdr w:val="none" w:sz="0" w:space="0" w:color="auto" w:frame="1"/>
        </w:rPr>
        <w:br/>
      </w:r>
      <w:r w:rsidRPr="008F6FA6">
        <w:rPr>
          <w:sz w:val="12"/>
        </w:rPr>
        <w:t xml:space="preserve">I can only speak for myself since the signatories of the letter addressed to the NYU administration regarding the sexual harassment charges brought against Avital Ronell are not a group with a single view, and different authors helped to craft the draft version of the letter that appeared online without our consent. </w:t>
      </w:r>
      <w:r w:rsidRPr="008F6FA6">
        <w:rPr>
          <w:rStyle w:val="StyleUnderline"/>
        </w:rPr>
        <w:t xml:space="preserve">When the signatories learned that termination of employment for Ronell was under consideration by NYU, we were bewildered by the severity of this possible sanction. </w:t>
      </w:r>
      <w:r w:rsidRPr="008F6FA6">
        <w:rPr>
          <w:rStyle w:val="StyleUnderline"/>
          <w:highlight w:val="yellow"/>
        </w:rPr>
        <w:t>We understood she was accused</w:t>
      </w:r>
      <w:r w:rsidRPr="008F6FA6">
        <w:rPr>
          <w:rStyle w:val="StyleUnderline"/>
        </w:rPr>
        <w:t xml:space="preserve"> </w:t>
      </w:r>
      <w:r w:rsidRPr="008F6FA6">
        <w:rPr>
          <w:rStyle w:val="StyleUnderline"/>
          <w:highlight w:val="yellow"/>
        </w:rPr>
        <w:t>of conducting a “romantic friendship” and that her emails had been scrutinized for evidence of a sexual relationship. Our aim was</w:t>
      </w:r>
      <w:r w:rsidRPr="008F6FA6">
        <w:rPr>
          <w:rStyle w:val="StyleUnderline"/>
        </w:rPr>
        <w:t xml:space="preserve"> not </w:t>
      </w:r>
      <w:r w:rsidRPr="008F6FA6">
        <w:rPr>
          <w:rStyle w:val="StyleUnderline"/>
          <w:highlight w:val="yellow"/>
        </w:rPr>
        <w:t>to</w:t>
      </w:r>
      <w:r w:rsidRPr="008F6FA6">
        <w:rPr>
          <w:rStyle w:val="StyleUnderline"/>
        </w:rPr>
        <w:t xml:space="preserve"> defend her actions – we did not have the case in hand – but to </w:t>
      </w:r>
      <w:r w:rsidRPr="008F6FA6">
        <w:rPr>
          <w:rStyle w:val="StyleUnderline"/>
          <w:highlight w:val="yellow"/>
        </w:rPr>
        <w:t>oppose the termination of her employment as a punishment</w:t>
      </w:r>
      <w:r w:rsidRPr="008F6FA6">
        <w:rPr>
          <w:rStyle w:val="StyleUnderline"/>
        </w:rPr>
        <w:t xml:space="preserve">. Such a punishment seemed unfair given the findings as we understood them. In hindsight, </w:t>
      </w:r>
      <w:r w:rsidRPr="008F6FA6">
        <w:rPr>
          <w:rStyle w:val="StyleUnderline"/>
          <w:highlight w:val="yellow"/>
        </w:rPr>
        <w:t xml:space="preserve">those of us who sought to defend Ronell against termination </w:t>
      </w:r>
      <w:r w:rsidRPr="008F6FA6">
        <w:rPr>
          <w:rStyle w:val="StyleUnderline"/>
        </w:rPr>
        <w:t xml:space="preserve">surely </w:t>
      </w:r>
      <w:r w:rsidRPr="008F6FA6">
        <w:rPr>
          <w:rStyle w:val="StyleUnderline"/>
          <w:highlight w:val="yellow"/>
        </w:rPr>
        <w:t xml:space="preserve">ought to have been more fully informed of the situation </w:t>
      </w:r>
      <w:r w:rsidRPr="008F6FA6">
        <w:rPr>
          <w:rStyle w:val="StyleUnderline"/>
        </w:rPr>
        <w:t xml:space="preserve">if we were going to make an intervention.¶ </w:t>
      </w:r>
      <w:r w:rsidRPr="008F6FA6">
        <w:rPr>
          <w:sz w:val="12"/>
        </w:rPr>
        <w:t>Moreover, the letter was written in haste and the following are my current regrets about it</w:t>
      </w:r>
      <w:r w:rsidRPr="008F6FA6">
        <w:rPr>
          <w:sz w:val="12"/>
          <w:highlight w:val="yellow"/>
        </w:rPr>
        <w:t xml:space="preserve">. </w:t>
      </w:r>
      <w:r w:rsidRPr="008F6FA6">
        <w:rPr>
          <w:rStyle w:val="StyleUnderline"/>
          <w:highlight w:val="yellow"/>
        </w:rPr>
        <w:t>First, we ought not to have attributed motives to the complainant</w:t>
      </w:r>
      <w:r w:rsidRPr="008F6FA6">
        <w:rPr>
          <w:rStyle w:val="StyleUnderline"/>
        </w:rPr>
        <w:t xml:space="preserve">, even though some signatories had strong views on this matter. </w:t>
      </w:r>
      <w:r w:rsidRPr="008F6FA6">
        <w:rPr>
          <w:rStyle w:val="StyleUnderline"/>
          <w:highlight w:val="yellow"/>
        </w:rPr>
        <w:t>The claims of sexual harassment have too often been dismissed by discrediting the complaina</w:t>
      </w:r>
      <w:r w:rsidRPr="008F6FA6">
        <w:rPr>
          <w:rStyle w:val="StyleUnderline"/>
        </w:rPr>
        <w:t xml:space="preserve">nt, and that nefarious tactic has stopped legitimate claims from going forward and exacerbated the injustice. When and </w:t>
      </w:r>
      <w:r w:rsidRPr="008F6FA6">
        <w:rPr>
          <w:rStyle w:val="StyleUnderline"/>
          <w:highlight w:val="yellow"/>
        </w:rPr>
        <w:t>where such a claim proves to be illegitimate, it should be demonstrated on the basis of the evidence alone</w:t>
      </w:r>
      <w:r w:rsidRPr="008F6FA6">
        <w:rPr>
          <w:rStyle w:val="StyleUnderline"/>
        </w:rPr>
        <w:t>.</w:t>
      </w:r>
      <w:r w:rsidRPr="008F6FA6">
        <w:rPr>
          <w:sz w:val="12"/>
        </w:rPr>
        <w:t>¶</w:t>
      </w:r>
      <w:r w:rsidRPr="008F6FA6">
        <w:rPr>
          <w:rStyle w:val="StyleUnderline"/>
        </w:rPr>
        <w:t xml:space="preserve"> </w:t>
      </w:r>
      <w:r w:rsidRPr="008F6FA6">
        <w:rPr>
          <w:rStyle w:val="StyleUnderline"/>
          <w:highlight w:val="yellow"/>
        </w:rPr>
        <w:t>Se</w:t>
      </w:r>
      <w:r w:rsidRPr="008F6FA6">
        <w:rPr>
          <w:sz w:val="12"/>
          <w:highlight w:val="yellow"/>
        </w:rPr>
        <w:t xml:space="preserve"> </w:t>
      </w:r>
      <w:r w:rsidRPr="008F6FA6">
        <w:rPr>
          <w:rStyle w:val="StyleUnderline"/>
          <w:highlight w:val="yellow"/>
        </w:rPr>
        <w:t>cond, we should not have used language that implied that</w:t>
      </w:r>
      <w:r w:rsidRPr="008F6FA6">
        <w:rPr>
          <w:rStyle w:val="StyleUnderline"/>
        </w:rPr>
        <w:t xml:space="preserve"> </w:t>
      </w:r>
      <w:r w:rsidRPr="008F6FA6">
        <w:rPr>
          <w:rStyle w:val="StyleUnderline"/>
          <w:highlight w:val="yellow"/>
        </w:rPr>
        <w:t>Ronell's</w:t>
      </w:r>
      <w:r w:rsidRPr="008F6FA6">
        <w:rPr>
          <w:rStyle w:val="StyleUnderline"/>
        </w:rPr>
        <w:t xml:space="preserve"> status and </w:t>
      </w:r>
      <w:r w:rsidRPr="008F6FA6">
        <w:rPr>
          <w:rStyle w:val="StyleUnderline"/>
          <w:highlight w:val="yellow"/>
        </w:rPr>
        <w:t>reputation earn her differential treatment</w:t>
      </w:r>
      <w:r w:rsidRPr="008F6FA6">
        <w:rPr>
          <w:rStyle w:val="StyleUnderline"/>
        </w:rPr>
        <w:t xml:space="preserve"> of any kind</w:t>
      </w:r>
      <w:r w:rsidRPr="008F6FA6">
        <w:rPr>
          <w:sz w:val="12"/>
        </w:rPr>
        <w:t xml:space="preserve">. Status ought to have no bearing on the adjudication of sexual harassment. All faculty should be treated the same under Title IX protocols, that is, subject to the same rules and, where justified, sanctions. ¶ </w:t>
      </w:r>
      <w:r w:rsidRPr="008F6FA6">
        <w:rPr>
          <w:rStyle w:val="StyleUnderline"/>
        </w:rPr>
        <w:t>Immediately after the confidential draft letter was published online, I was in direct communication with the MLA officers (the Executive Director, the President and the First Vice-President) to apologize for the listing of my position within the organization after my name</w:t>
      </w:r>
      <w:r w:rsidRPr="008F6FA6">
        <w:rPr>
          <w:sz w:val="12"/>
        </w:rPr>
        <w:t>. I acknowledged that I should not have allowed the MLA affiliation to go forward with my name. I expressed regret to the MLA officers and staff, and my colleagues accepted my apology. I extend that same apology to MLA members.¶ We all make errors in life and in work. The task is to acknowledge them, as I hope I have, and to see what they can teach us as we move forward.</w:t>
      </w:r>
    </w:p>
    <w:p w14:paraId="4BBF0B46" w14:textId="77777777" w:rsidR="0022653E" w:rsidRPr="0022653E" w:rsidRDefault="0022653E" w:rsidP="0022653E"/>
    <w:p w14:paraId="4B18397A" w14:textId="685F1E63" w:rsidR="0022653E" w:rsidRDefault="0022653E" w:rsidP="0022653E">
      <w:pPr>
        <w:pStyle w:val="Heading2"/>
      </w:pPr>
      <w:r>
        <w:lastRenderedPageBreak/>
        <w:t>K</w:t>
      </w:r>
    </w:p>
    <w:p w14:paraId="612CD04C" w14:textId="77777777" w:rsidR="0022653E" w:rsidRPr="009F2554" w:rsidRDefault="0022653E" w:rsidP="0022653E">
      <w:pPr>
        <w:pStyle w:val="Heading4"/>
      </w:pPr>
      <w:r>
        <w:t xml:space="preserve">Perm do both -- </w:t>
      </w:r>
      <w:r w:rsidRPr="009F2554">
        <w:t>can integrate K’s insights and the 1AC</w:t>
      </w:r>
    </w:p>
    <w:p w14:paraId="0F3FD9D1" w14:textId="77777777" w:rsidR="0022653E" w:rsidRPr="009F2554" w:rsidRDefault="0022653E" w:rsidP="0022653E">
      <w:r w:rsidRPr="009F2554">
        <w:t xml:space="preserve">Daniel </w:t>
      </w:r>
      <w:r w:rsidRPr="009F2554">
        <w:rPr>
          <w:rStyle w:val="Style13ptBold"/>
        </w:rPr>
        <w:t>Tutt 13</w:t>
      </w:r>
      <w:r w:rsidRPr="009F2554">
        <w:t>, Interviewing Todd McGowan, October 27, “Enjoying What We Don’t Have: Interview with Philosopher Todd McGowan”, http://danieltutt.com/2013/10/27/enjoying-what-we-dont-have-interview-with-philosopher-todd-mcgowan/</w:t>
      </w:r>
    </w:p>
    <w:p w14:paraId="1F93D11D" w14:textId="77777777" w:rsidR="0022653E" w:rsidRDefault="0022653E" w:rsidP="0022653E">
      <w:pPr>
        <w:rPr>
          <w:rStyle w:val="Emphasis"/>
        </w:rPr>
      </w:pPr>
      <w:r w:rsidRPr="009F2554">
        <w:rPr>
          <w:sz w:val="12"/>
        </w:rPr>
        <w:t xml:space="preserve">DT. </w:t>
      </w:r>
      <w:r w:rsidRPr="009F2554">
        <w:rPr>
          <w:rStyle w:val="StyleUnderline"/>
        </w:rPr>
        <w:t xml:space="preserve">It seems to me that </w:t>
      </w:r>
      <w:r w:rsidRPr="00F96AE1">
        <w:rPr>
          <w:rStyle w:val="StyleUnderline"/>
          <w:highlight w:val="cyan"/>
        </w:rPr>
        <w:t>a frequent critique of psychoanalysis</w:t>
      </w:r>
      <w:r w:rsidRPr="009F2554">
        <w:rPr>
          <w:rStyle w:val="StyleUnderline"/>
        </w:rPr>
        <w:t xml:space="preserve"> and politics </w:t>
      </w:r>
      <w:r w:rsidRPr="00F96AE1">
        <w:rPr>
          <w:rStyle w:val="StyleUnderline"/>
          <w:highlight w:val="cyan"/>
        </w:rPr>
        <w:t>is</w:t>
      </w:r>
      <w:r w:rsidRPr="009F2554">
        <w:rPr>
          <w:rStyle w:val="StyleUnderline"/>
        </w:rPr>
        <w:t xml:space="preserve"> that in </w:t>
      </w:r>
      <w:r w:rsidRPr="00F96AE1">
        <w:rPr>
          <w:rStyle w:val="StyleUnderline"/>
          <w:highlight w:val="cyan"/>
        </w:rPr>
        <w:t>its inability</w:t>
      </w:r>
      <w:r w:rsidRPr="009F2554">
        <w:rPr>
          <w:sz w:val="12"/>
        </w:rPr>
        <w:t xml:space="preserve">, and perhaps unwillingness </w:t>
      </w:r>
      <w:r w:rsidRPr="00F96AE1">
        <w:rPr>
          <w:rStyle w:val="StyleUnderline"/>
          <w:highlight w:val="cyan"/>
        </w:rPr>
        <w:t>to</w:t>
      </w:r>
      <w:r w:rsidRPr="009F2554">
        <w:rPr>
          <w:rStyle w:val="StyleUnderline"/>
        </w:rPr>
        <w:t xml:space="preserve"> </w:t>
      </w:r>
      <w:r w:rsidRPr="00F96AE1">
        <w:rPr>
          <w:rStyle w:val="StyleUnderline"/>
          <w:highlight w:val="cyan"/>
        </w:rPr>
        <w:t>propose concrete</w:t>
      </w:r>
      <w:r w:rsidRPr="009F2554">
        <w:rPr>
          <w:rStyle w:val="StyleUnderline"/>
        </w:rPr>
        <w:t xml:space="preserve"> </w:t>
      </w:r>
      <w:r w:rsidRPr="00F96AE1">
        <w:rPr>
          <w:rStyle w:val="StyleUnderline"/>
          <w:highlight w:val="cyan"/>
        </w:rPr>
        <w:t>policy reforms</w:t>
      </w:r>
      <w:r w:rsidRPr="009F2554">
        <w:rPr>
          <w:sz w:val="12"/>
        </w:rPr>
        <w:t xml:space="preserve"> or political projects, </w:t>
      </w:r>
      <w:r w:rsidRPr="00F96AE1">
        <w:rPr>
          <w:rStyle w:val="Emphasis"/>
          <w:highlight w:val="cyan"/>
        </w:rPr>
        <w:t>it falls back on</w:t>
      </w:r>
      <w:r w:rsidRPr="009F2554">
        <w:rPr>
          <w:rStyle w:val="Emphasis"/>
        </w:rPr>
        <w:t xml:space="preserve"> a </w:t>
      </w:r>
      <w:r w:rsidRPr="00F96AE1">
        <w:rPr>
          <w:rStyle w:val="Emphasis"/>
          <w:highlight w:val="cyan"/>
        </w:rPr>
        <w:t>notion</w:t>
      </w:r>
      <w:r w:rsidRPr="009F2554">
        <w:rPr>
          <w:rStyle w:val="Emphasis"/>
        </w:rPr>
        <w:t xml:space="preserve"> that </w:t>
      </w:r>
      <w:r w:rsidRPr="00F96AE1">
        <w:rPr>
          <w:rStyle w:val="Emphasis"/>
          <w:highlight w:val="cyan"/>
        </w:rPr>
        <w:t>everyone should just undergo analysis</w:t>
      </w:r>
      <w:r w:rsidRPr="009F2554">
        <w:rPr>
          <w:sz w:val="12"/>
        </w:rPr>
        <w:t xml:space="preserve">. Do you think that a political project that is informed by psychoanalytic teachings implies that we should all undergo analysis? You write in your book for instance that fantasy is a crucial point for facilitating a sort of un-bonding process from the larger capitalist mode of subjectivity. </w:t>
      </w:r>
      <w:r w:rsidRPr="009F2554">
        <w:rPr>
          <w:rStyle w:val="StyleUnderline"/>
        </w:rPr>
        <w:t>What do you see as the role of analysis and political emancipatory work</w:t>
      </w:r>
      <w:r w:rsidRPr="009F2554">
        <w:rPr>
          <w:sz w:val="12"/>
        </w:rPr>
        <w:t xml:space="preserve">?¶ </w:t>
      </w:r>
      <w:r w:rsidRPr="00F96AE1">
        <w:rPr>
          <w:rStyle w:val="Emphasis"/>
          <w:highlight w:val="cyan"/>
        </w:rPr>
        <w:t>TM</w:t>
      </w:r>
      <w:r w:rsidRPr="009F2554">
        <w:rPr>
          <w:rStyle w:val="Emphasis"/>
        </w:rPr>
        <w:t>. I will alienate many of my analyst friends with this response</w:t>
      </w:r>
      <w:r w:rsidRPr="009F2554">
        <w:rPr>
          <w:rStyle w:val="StyleUnderline"/>
        </w:rPr>
        <w:t>, but I have no political investment at all in psychoanalytic practice</w:t>
      </w:r>
      <w:r w:rsidRPr="009F2554">
        <w:rPr>
          <w:sz w:val="12"/>
        </w:rPr>
        <w:t xml:space="preserve">. I’ve undergone some analysis myself. However, </w:t>
      </w:r>
      <w:r w:rsidRPr="00F96AE1">
        <w:rPr>
          <w:rStyle w:val="Emphasis"/>
          <w:highlight w:val="cyan"/>
        </w:rPr>
        <w:t>I don’t believe</w:t>
      </w:r>
      <w:r w:rsidRPr="009F2554">
        <w:rPr>
          <w:rStyle w:val="Emphasis"/>
        </w:rPr>
        <w:t xml:space="preserve"> that </w:t>
      </w:r>
      <w:r w:rsidRPr="00F96AE1">
        <w:rPr>
          <w:rStyle w:val="Emphasis"/>
          <w:highlight w:val="cyan"/>
        </w:rPr>
        <w:t>everyone undergoing psychoanalysis</w:t>
      </w:r>
      <w:r w:rsidRPr="009F2554">
        <w:rPr>
          <w:rStyle w:val="Emphasis"/>
        </w:rPr>
        <w:t xml:space="preserve"> </w:t>
      </w:r>
      <w:r w:rsidRPr="00F96AE1">
        <w:rPr>
          <w:rStyle w:val="Emphasis"/>
          <w:highlight w:val="cyan"/>
        </w:rPr>
        <w:t>would</w:t>
      </w:r>
      <w:r w:rsidRPr="009F2554">
        <w:rPr>
          <w:rStyle w:val="Emphasis"/>
        </w:rPr>
        <w:t xml:space="preserve"> </w:t>
      </w:r>
      <w:r w:rsidRPr="00F96AE1">
        <w:rPr>
          <w:rStyle w:val="Emphasis"/>
          <w:highlight w:val="cyan"/>
        </w:rPr>
        <w:t>change much</w:t>
      </w:r>
      <w:r w:rsidRPr="009F2554">
        <w:rPr>
          <w:rStyle w:val="Emphasis"/>
        </w:rPr>
        <w:t xml:space="preserve"> at all </w:t>
      </w:r>
      <w:r w:rsidRPr="00F96AE1">
        <w:rPr>
          <w:rStyle w:val="Emphasis"/>
          <w:highlight w:val="cyan"/>
        </w:rPr>
        <w:t>politically</w:t>
      </w:r>
    </w:p>
    <w:p w14:paraId="04CA0321" w14:textId="77777777" w:rsidR="0022653E" w:rsidRDefault="0022653E" w:rsidP="0022653E">
      <w:pPr>
        <w:rPr>
          <w:rStyle w:val="Emphasis"/>
        </w:rPr>
      </w:pPr>
    </w:p>
    <w:p w14:paraId="6312BEC1" w14:textId="349F1E78" w:rsidR="0022653E" w:rsidRPr="0022653E" w:rsidRDefault="0022653E" w:rsidP="0022653E">
      <w:pPr>
        <w:rPr>
          <w:sz w:val="12"/>
        </w:rPr>
      </w:pPr>
      <w:r w:rsidRPr="009F2554">
        <w:rPr>
          <w:sz w:val="12"/>
        </w:rPr>
        <w:t xml:space="preserve">. </w:t>
      </w:r>
      <w:r w:rsidRPr="009F2554">
        <w:rPr>
          <w:rStyle w:val="StyleUnderline"/>
        </w:rPr>
        <w:t>What is important about psychoanalysis to me is its theoretical intervention, its discovery of the death drive and the role that fantasy plays in our psyche</w:t>
      </w:r>
      <w:r w:rsidRPr="009F2554">
        <w:rPr>
          <w:sz w:val="12"/>
        </w:rPr>
        <w:t xml:space="preserve">. This is the great advance. </w:t>
      </w:r>
      <w:r w:rsidRPr="009F2554">
        <w:rPr>
          <w:rStyle w:val="Emphasis"/>
        </w:rPr>
        <w:t xml:space="preserve">And </w:t>
      </w:r>
      <w:r w:rsidRPr="00F96AE1">
        <w:rPr>
          <w:rStyle w:val="Emphasis"/>
          <w:highlight w:val="cyan"/>
        </w:rPr>
        <w:t>political struggle can integrate</w:t>
      </w:r>
      <w:r w:rsidRPr="009F2554">
        <w:rPr>
          <w:rStyle w:val="Emphasis"/>
        </w:rPr>
        <w:t xml:space="preserve"> these </w:t>
      </w:r>
      <w:r w:rsidRPr="00F96AE1">
        <w:rPr>
          <w:rStyle w:val="Emphasis"/>
          <w:highlight w:val="cyan"/>
        </w:rPr>
        <w:t xml:space="preserve">theoretical insights without </w:t>
      </w:r>
      <w:r w:rsidRPr="004404C9">
        <w:rPr>
          <w:rStyle w:val="Emphasis"/>
        </w:rPr>
        <w:t xml:space="preserve">any </w:t>
      </w:r>
      <w:r w:rsidRPr="00F96AE1">
        <w:rPr>
          <w:rStyle w:val="Emphasis"/>
          <w:highlight w:val="cyan"/>
        </w:rPr>
        <w:t>help from actual psychoanalysis</w:t>
      </w:r>
      <w:r w:rsidRPr="009F2554">
        <w:rPr>
          <w:rStyle w:val="StyleUnderline"/>
        </w:rPr>
        <w:t>.  What allows one to disinvest in the capitalist mode of subjectivity is not</w:t>
      </w:r>
      <w:r w:rsidRPr="009F2554">
        <w:rPr>
          <w:sz w:val="12"/>
        </w:rPr>
        <w:t xml:space="preserve">, in my view, </w:t>
      </w:r>
      <w:r w:rsidRPr="009F2554">
        <w:rPr>
          <w:rStyle w:val="StyleUnderline"/>
        </w:rPr>
        <w:t xml:space="preserve">the psychoanalytic session.  Instead </w:t>
      </w:r>
      <w:r w:rsidRPr="00F96AE1">
        <w:rPr>
          <w:rStyle w:val="StyleUnderline"/>
          <w:highlight w:val="cyan"/>
        </w:rPr>
        <w:t xml:space="preserve">it </w:t>
      </w:r>
      <w:r w:rsidRPr="004404C9">
        <w:rPr>
          <w:rStyle w:val="StyleUnderline"/>
        </w:rPr>
        <w:t>i</w:t>
      </w:r>
      <w:r w:rsidRPr="00F96AE1">
        <w:rPr>
          <w:rStyle w:val="StyleUnderline"/>
          <w:highlight w:val="cyan"/>
        </w:rPr>
        <w:t>s the confrontation</w:t>
      </w:r>
      <w:r w:rsidRPr="009F2554">
        <w:rPr>
          <w:rStyle w:val="StyleUnderline"/>
        </w:rPr>
        <w:t xml:space="preserve"> </w:t>
      </w:r>
      <w:r w:rsidRPr="00F96AE1">
        <w:rPr>
          <w:rStyle w:val="StyleUnderline"/>
          <w:highlight w:val="cyan"/>
        </w:rPr>
        <w:t>with a mode of enjoyment</w:t>
      </w:r>
      <w:r w:rsidRPr="009F2554">
        <w:rPr>
          <w:sz w:val="12"/>
        </w:rPr>
        <w:t xml:space="preserve"> that ceases to provide the satisfaction that it promises.  </w:t>
      </w:r>
      <w:r w:rsidRPr="00F96AE1">
        <w:rPr>
          <w:rStyle w:val="StyleUnderline"/>
          <w:highlight w:val="cyan"/>
        </w:rPr>
        <w:t>This prompts one to think about alternatives</w:t>
      </w:r>
      <w:r w:rsidRPr="009F2554">
        <w:rPr>
          <w:sz w:val="12"/>
        </w:rPr>
        <w:t xml:space="preserve">.  Obviously, not everyone can become a theorist, but in a sense, </w:t>
      </w:r>
      <w:r w:rsidRPr="00F96AE1">
        <w:rPr>
          <w:rStyle w:val="Emphasis"/>
          <w:highlight w:val="cyan"/>
        </w:rPr>
        <w:t>everyone already is a theorist</w:t>
      </w:r>
      <w:r w:rsidRPr="009F2554">
        <w:rPr>
          <w:rStyle w:val="StyleUnderline"/>
        </w:rPr>
        <w:t xml:space="preserve">.  We theorize our enjoyment when we think through our day and plan out where we’re going to do.  Even watching a television show requires an elaborate theoretical exercise.  </w:t>
      </w:r>
      <w:r w:rsidRPr="00F96AE1">
        <w:rPr>
          <w:rStyle w:val="StyleUnderline"/>
          <w:highlight w:val="cyan"/>
        </w:rPr>
        <w:t>Making</w:t>
      </w:r>
      <w:r w:rsidRPr="009F2554">
        <w:rPr>
          <w:rStyle w:val="StyleUnderline"/>
        </w:rPr>
        <w:t xml:space="preserve"> this </w:t>
      </w:r>
      <w:r w:rsidRPr="00F96AE1">
        <w:rPr>
          <w:rStyle w:val="StyleUnderline"/>
          <w:highlight w:val="cyan"/>
        </w:rPr>
        <w:t>theorizing evident</w:t>
      </w:r>
      <w:r w:rsidRPr="009F2554">
        <w:rPr>
          <w:sz w:val="12"/>
        </w:rPr>
        <w:t xml:space="preserve"> and thus arousing an interest in theory </w:t>
      </w:r>
      <w:r w:rsidRPr="00F96AE1">
        <w:rPr>
          <w:rStyle w:val="StyleUnderline"/>
          <w:highlight w:val="cyan"/>
        </w:rPr>
        <w:t>is</w:t>
      </w:r>
      <w:r w:rsidRPr="009F2554">
        <w:rPr>
          <w:rStyle w:val="StyleUnderline"/>
        </w:rPr>
        <w:t xml:space="preserve"> to me much </w:t>
      </w:r>
      <w:r w:rsidRPr="00F96AE1">
        <w:rPr>
          <w:rStyle w:val="StyleUnderline"/>
          <w:highlight w:val="cyan"/>
        </w:rPr>
        <w:t>more important</w:t>
      </w:r>
      <w:r w:rsidRPr="009F2554">
        <w:rPr>
          <w:rStyle w:val="StyleUnderline"/>
        </w:rPr>
        <w:t xml:space="preserve"> </w:t>
      </w:r>
      <w:r w:rsidRPr="00F96AE1">
        <w:rPr>
          <w:rStyle w:val="StyleUnderline"/>
          <w:highlight w:val="cyan"/>
        </w:rPr>
        <w:t>than</w:t>
      </w:r>
      <w:r w:rsidRPr="009F2554">
        <w:rPr>
          <w:rStyle w:val="StyleUnderline"/>
        </w:rPr>
        <w:t xml:space="preserve"> </w:t>
      </w:r>
      <w:r w:rsidRPr="00F96AE1">
        <w:rPr>
          <w:rStyle w:val="StyleUnderline"/>
          <w:highlight w:val="cyan"/>
        </w:rPr>
        <w:t>having</w:t>
      </w:r>
      <w:r w:rsidRPr="009F2554">
        <w:rPr>
          <w:rStyle w:val="StyleUnderline"/>
        </w:rPr>
        <w:t xml:space="preserve"> a lot of </w:t>
      </w:r>
      <w:r w:rsidRPr="00F96AE1">
        <w:rPr>
          <w:rStyle w:val="StyleUnderline"/>
          <w:highlight w:val="cyan"/>
        </w:rPr>
        <w:t>people undergo psychoanalysis</w:t>
      </w:r>
      <w:r w:rsidRPr="009F2554">
        <w:rPr>
          <w:sz w:val="12"/>
        </w:rPr>
        <w:t>.  In response to your question about the universalization of psychoanalytic practice, I have more faith in a universalization of psychoanalytic theory.</w:t>
      </w:r>
    </w:p>
    <w:p w14:paraId="19EB5E4B" w14:textId="044841D8" w:rsidR="0022653E" w:rsidRPr="00482F91" w:rsidRDefault="0022653E" w:rsidP="0022653E">
      <w:pPr>
        <w:pStyle w:val="Heading4"/>
      </w:pPr>
      <w:r w:rsidRPr="00482F91">
        <w:t>Turn: The only thing we have to fear is fear itself -- lack of a strong sense of collective self-efficacy is the biggest obstacle to mobilizing efforts and marshaling resources necessary to solve pressing global problems. Bandura ‘98</w:t>
      </w:r>
    </w:p>
    <w:p w14:paraId="758D3597" w14:textId="77777777" w:rsidR="0022653E" w:rsidRPr="00482F91" w:rsidRDefault="0022653E" w:rsidP="0022653E">
      <w:pPr>
        <w:rPr>
          <w:rStyle w:val="Style13ptBold"/>
          <w:b w:val="0"/>
          <w:sz w:val="20"/>
          <w:szCs w:val="20"/>
        </w:rPr>
      </w:pPr>
      <w:r w:rsidRPr="00482F91">
        <w:rPr>
          <w:rStyle w:val="Style13ptBold"/>
          <w:b w:val="0"/>
          <w:sz w:val="20"/>
          <w:szCs w:val="20"/>
        </w:rPr>
        <w:t>Bandura, Albert, “Personal and collective efficacy in human adaptation and change”, Advances in Psychological Science: Social, personal, and cultural aspects, 1998.</w:t>
      </w:r>
    </w:p>
    <w:p w14:paraId="454DD399" w14:textId="77777777" w:rsidR="0022653E" w:rsidRDefault="0022653E" w:rsidP="0022653E">
      <w:pPr>
        <w:ind w:left="720"/>
        <w:rPr>
          <w:rStyle w:val="Emphasis"/>
          <w:highlight w:val="yellow"/>
        </w:rPr>
      </w:pPr>
      <w:r w:rsidRPr="00026AD8">
        <w:rPr>
          <w:rStyle w:val="Emphasis"/>
          <w:highlight w:val="yellow"/>
        </w:rPr>
        <w:t>The psychological barriers created by beliefs of collective powerlessness are more demoralizing, and debilitating</w:t>
      </w:r>
    </w:p>
    <w:p w14:paraId="55BB643B" w14:textId="77777777" w:rsidR="0022653E" w:rsidRDefault="0022653E" w:rsidP="0022653E">
      <w:pPr>
        <w:ind w:left="720"/>
        <w:rPr>
          <w:rStyle w:val="Emphasis"/>
          <w:highlight w:val="yellow"/>
        </w:rPr>
      </w:pPr>
    </w:p>
    <w:p w14:paraId="1101087F" w14:textId="77777777" w:rsidR="0022653E" w:rsidRPr="00482F91" w:rsidRDefault="0022653E" w:rsidP="0022653E">
      <w:pPr>
        <w:ind w:left="720"/>
        <w:rPr>
          <w:sz w:val="8"/>
        </w:rPr>
      </w:pPr>
      <w:r w:rsidRPr="00026AD8">
        <w:rPr>
          <w:rStyle w:val="Emphasis"/>
          <w:highlight w:val="yellow"/>
        </w:rPr>
        <w:t xml:space="preserve"> than are external impediments.</w:t>
      </w:r>
      <w:r w:rsidRPr="00482F91">
        <w:rPr>
          <w:rStyle w:val="Emphasis"/>
        </w:rPr>
        <w:t xml:space="preserve"> </w:t>
      </w:r>
      <w:r w:rsidRPr="00026AD8">
        <w:rPr>
          <w:rStyle w:val="Emphasis"/>
          <w:highlight w:val="yellow"/>
        </w:rPr>
        <w:t>The less people bring their influence to bear on conditions that affect their lives the more control they relinquish</w:t>
      </w:r>
      <w:r w:rsidRPr="00482F91">
        <w:rPr>
          <w:rStyle w:val="Emphasis"/>
        </w:rPr>
        <w:t xml:space="preserve"> to others</w:t>
      </w:r>
      <w:r w:rsidRPr="00482F91">
        <w:rPr>
          <w:sz w:val="8"/>
        </w:rPr>
        <w:t xml:space="preserve">. People who have high </w:t>
      </w:r>
      <w:r w:rsidRPr="00026AD8">
        <w:rPr>
          <w:rStyle w:val="Emphasis"/>
          <w:highlight w:val="yellow"/>
        </w:rPr>
        <w:t>collective efficacy will</w:t>
      </w:r>
      <w:r w:rsidRPr="00482F91">
        <w:rPr>
          <w:sz w:val="8"/>
        </w:rPr>
        <w:t xml:space="preserve"> mobilize their efforts and resources to </w:t>
      </w:r>
      <w:r w:rsidRPr="00026AD8">
        <w:rPr>
          <w:rStyle w:val="Emphasis"/>
          <w:highlight w:val="yellow"/>
        </w:rPr>
        <w:t>surmount</w:t>
      </w:r>
      <w:r w:rsidRPr="00482F91">
        <w:rPr>
          <w:sz w:val="8"/>
        </w:rPr>
        <w:t xml:space="preserve"> the </w:t>
      </w:r>
      <w:r w:rsidRPr="00026AD8">
        <w:rPr>
          <w:rStyle w:val="Emphasis"/>
          <w:highlight w:val="yellow"/>
        </w:rPr>
        <w:t>obstacles</w:t>
      </w:r>
      <w:r w:rsidRPr="00482F91">
        <w:rPr>
          <w:sz w:val="8"/>
        </w:rPr>
        <w:t xml:space="preserve"> to the changes they seek. But </w:t>
      </w:r>
      <w:r w:rsidRPr="00482F91">
        <w:rPr>
          <w:rStyle w:val="Emphasis"/>
        </w:rPr>
        <w:t>those convinced of their collective powerlessness will cease trying</w:t>
      </w:r>
      <w:r w:rsidRPr="00482F91">
        <w:rPr>
          <w:sz w:val="8"/>
        </w:rPr>
        <w:t xml:space="preserve">, even though changes are attainable through perseverant collective effort. As a society, </w:t>
      </w:r>
      <w:r w:rsidRPr="00991006">
        <w:rPr>
          <w:rStyle w:val="Emphasis"/>
          <w:highlight w:val="yellow"/>
        </w:rPr>
        <w:t>we enjoy the benefits left by those before us who collectively fought inhumanities and worked for social reforms that permit a better life</w:t>
      </w:r>
      <w:r w:rsidRPr="00482F91">
        <w:rPr>
          <w:rStyle w:val="Emphasis"/>
        </w:rPr>
        <w:t>.</w:t>
      </w:r>
      <w:r w:rsidRPr="00482F91">
        <w:rPr>
          <w:sz w:val="8"/>
        </w:rPr>
        <w:t xml:space="preserve"> Our own collective efficacy will, in turn, shape how future generations will live their lives. The </w:t>
      </w:r>
      <w:r w:rsidRPr="00482F91">
        <w:rPr>
          <w:rStyle w:val="Emphasis"/>
        </w:rPr>
        <w:lastRenderedPageBreak/>
        <w:t>times call for social initiative that build people’s sense of collective efficacy</w:t>
      </w:r>
      <w:r w:rsidRPr="00482F91">
        <w:rPr>
          <w:sz w:val="8"/>
        </w:rPr>
        <w:t xml:space="preserve"> to influence conditions that shape their lives and that of future generations.</w:t>
      </w:r>
    </w:p>
    <w:p w14:paraId="6FAFBA8A" w14:textId="77777777" w:rsidR="0022653E" w:rsidRPr="00482F91" w:rsidRDefault="0022653E" w:rsidP="0022653E">
      <w:pPr>
        <w:rPr>
          <w:b/>
          <w:bCs/>
          <w:color w:val="000000"/>
        </w:rPr>
      </w:pPr>
    </w:p>
    <w:p w14:paraId="7F667D8C" w14:textId="77777777" w:rsidR="0022653E" w:rsidRPr="0022653E" w:rsidRDefault="0022653E" w:rsidP="0022653E"/>
    <w:sectPr w:rsidR="0022653E" w:rsidRPr="002265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B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53E"/>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BD1"/>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0B1"/>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58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A646D"/>
  <w14:defaultImageDpi w14:val="300"/>
  <w15:docId w15:val="{CF88F218-9B0B-334D-86E4-BA6554AD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B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0B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B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320B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20B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BD1"/>
  </w:style>
  <w:style w:type="character" w:customStyle="1" w:styleId="Heading1Char">
    <w:name w:val="Heading 1 Char"/>
    <w:aliases w:val="Pocket Char"/>
    <w:basedOn w:val="DefaultParagraphFont"/>
    <w:link w:val="Heading1"/>
    <w:uiPriority w:val="9"/>
    <w:rsid w:val="00320B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BD1"/>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320BD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20B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0BD1"/>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320BD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320B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0B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320BD1"/>
    <w:rPr>
      <w:color w:val="auto"/>
      <w:u w:val="none"/>
    </w:rPr>
  </w:style>
  <w:style w:type="paragraph" w:styleId="DocumentMap">
    <w:name w:val="Document Map"/>
    <w:basedOn w:val="Normal"/>
    <w:link w:val="DocumentMapChar"/>
    <w:uiPriority w:val="99"/>
    <w:semiHidden/>
    <w:unhideWhenUsed/>
    <w:rsid w:val="00320B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0BD1"/>
    <w:rPr>
      <w:rFonts w:ascii="Lucida Grande" w:hAnsi="Lucida Grande" w:cs="Lucida Grande"/>
    </w:rPr>
  </w:style>
  <w:style w:type="paragraph" w:customStyle="1" w:styleId="textbold">
    <w:name w:val="text bold"/>
    <w:basedOn w:val="Normal"/>
    <w:link w:val="Emphasis"/>
    <w:uiPriority w:val="20"/>
    <w:qFormat/>
    <w:rsid w:val="00320BD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320B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25</Pages>
  <Words>16525</Words>
  <Characters>94196</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4</cp:revision>
  <dcterms:created xsi:type="dcterms:W3CDTF">2021-11-07T16:05:00Z</dcterms:created>
  <dcterms:modified xsi:type="dcterms:W3CDTF">2021-11-07T17:28:00Z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