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3DCC" w14:textId="77777777" w:rsidR="00AB003A" w:rsidRDefault="00AB003A" w:rsidP="00AB003A">
      <w:pPr>
        <w:pStyle w:val="Heading1"/>
      </w:pPr>
      <w:r>
        <w:t xml:space="preserve">Aff </w:t>
      </w:r>
    </w:p>
    <w:p w14:paraId="0728A669" w14:textId="77777777" w:rsidR="00AB003A" w:rsidRDefault="00AB003A" w:rsidP="00AB003A">
      <w:pPr>
        <w:pStyle w:val="Heading2"/>
      </w:pPr>
      <w:r>
        <w:lastRenderedPageBreak/>
        <w:t>AC</w:t>
      </w:r>
    </w:p>
    <w:p w14:paraId="3D84C1D1" w14:textId="77777777" w:rsidR="00AB003A" w:rsidRPr="0079304C" w:rsidRDefault="00AB003A" w:rsidP="00AB003A">
      <w:pPr>
        <w:pStyle w:val="Heading4"/>
        <w:rPr>
          <w:rFonts w:cs="Calibri"/>
        </w:rPr>
      </w:pPr>
      <w:r w:rsidRPr="0079304C">
        <w:rPr>
          <w:rFonts w:cs="Calibri"/>
        </w:rPr>
        <w:t>Incarcerated workers do not have a right to strike in the US</w:t>
      </w:r>
      <w:r>
        <w:rPr>
          <w:rFonts w:cs="Calibri"/>
        </w:rPr>
        <w:t>.</w:t>
      </w:r>
    </w:p>
    <w:p w14:paraId="290C4731" w14:textId="77777777" w:rsidR="00AB003A" w:rsidRPr="0079304C" w:rsidRDefault="00AB003A" w:rsidP="00AB003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5713FB97" w14:textId="77777777" w:rsidR="00AB003A" w:rsidRDefault="00AB003A" w:rsidP="00AB003A">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34A7B310" w14:textId="77777777" w:rsidR="00AB003A" w:rsidRPr="00DF073A" w:rsidRDefault="00AB003A" w:rsidP="00AB003A">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208D332C" w14:textId="77777777" w:rsidR="00AB003A" w:rsidRPr="00DF073A" w:rsidRDefault="00AB003A" w:rsidP="00AB003A">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3F0E7F6" w14:textId="77777777" w:rsidR="00AB003A" w:rsidRPr="00ED06A4" w:rsidRDefault="00AB003A" w:rsidP="00AB003A">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2BFFC56D" w14:textId="77777777" w:rsidR="00AB003A" w:rsidRDefault="00AB003A" w:rsidP="00AB003A">
      <w:pPr>
        <w:pStyle w:val="Heading4"/>
        <w:rPr>
          <w:rFonts w:cs="Calibri"/>
        </w:rPr>
      </w:pPr>
      <w:r>
        <w:rPr>
          <w:rFonts w:cs="Calibri"/>
        </w:rPr>
        <w:t>Prison working conditions are terrible—prisoners work in unsafe conditions and accrue thousands of dollars in debt. Eisen 20</w:t>
      </w:r>
    </w:p>
    <w:p w14:paraId="0E45A025" w14:textId="77777777" w:rsidR="00AB003A" w:rsidRPr="00DF5337" w:rsidRDefault="00AB003A" w:rsidP="00AB003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01D721A" w14:textId="77777777" w:rsidR="00AB003A" w:rsidRPr="009B775E" w:rsidRDefault="00AB003A" w:rsidP="00AB003A">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24AF0DF0" w14:textId="77777777" w:rsidR="00AB003A" w:rsidRPr="0079304C" w:rsidRDefault="00AB003A" w:rsidP="00AB003A">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6AB67665" w14:textId="77777777" w:rsidR="00AB003A" w:rsidRPr="00557219" w:rsidRDefault="00AB003A" w:rsidP="00AB003A">
      <w:r w:rsidRPr="000F0E69">
        <w:t>Patrice A. Fulcher [Associate Professor at The John Marshall Law School], 15 - ("," Journal of Civil Rights and Economic Development, Winter 2015, accessed 10-28-2021, https://scholarship.law.stjohns.edu/cgi/viewcontent.cgi?article=1759&amp;context=jcred)//ML</w:t>
      </w:r>
    </w:p>
    <w:p w14:paraId="74E8E218" w14:textId="77777777" w:rsidR="00AB003A" w:rsidRDefault="00AB003A" w:rsidP="00AB003A">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2536B805" w14:textId="77777777" w:rsidR="00AB003A" w:rsidRDefault="00AB003A" w:rsidP="00AB003A">
      <w:pPr>
        <w:pStyle w:val="Heading4"/>
      </w:pPr>
      <w:r>
        <w:t>Low wages for prisoners create cycles of recidivism. Fulcher 15</w:t>
      </w:r>
    </w:p>
    <w:p w14:paraId="3F3E50B0" w14:textId="77777777" w:rsidR="00AB003A" w:rsidRPr="000F0E69" w:rsidRDefault="00AB003A" w:rsidP="00AB003A">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54AA449B" w14:textId="77777777" w:rsidR="00AB003A" w:rsidRPr="00BC66A8" w:rsidRDefault="00AB003A" w:rsidP="00AB003A">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316D1E4" w14:textId="77777777" w:rsidR="00AB003A" w:rsidRDefault="00AB003A" w:rsidP="00AB003A">
      <w:pPr>
        <w:pStyle w:val="Heading2"/>
      </w:pPr>
      <w:r>
        <w:lastRenderedPageBreak/>
        <w:t xml:space="preserve">Plan </w:t>
      </w:r>
    </w:p>
    <w:p w14:paraId="3D7EDAAA" w14:textId="77777777" w:rsidR="00AB003A" w:rsidRPr="00822A17" w:rsidRDefault="00AB003A" w:rsidP="00AB003A">
      <w:pPr>
        <w:pStyle w:val="Heading4"/>
      </w:pPr>
      <w:r>
        <w:t xml:space="preserve">Plan: The United States ought to recognize the unconditional right of incarcerated workers to strike. </w:t>
      </w:r>
    </w:p>
    <w:p w14:paraId="4697867F" w14:textId="77777777" w:rsidR="00AB003A" w:rsidRPr="0044595D" w:rsidRDefault="00AB003A" w:rsidP="00AB003A">
      <w:pPr>
        <w:pStyle w:val="Heading2"/>
      </w:pPr>
      <w:r>
        <w:lastRenderedPageBreak/>
        <w:t xml:space="preserve">Solvency </w:t>
      </w:r>
    </w:p>
    <w:p w14:paraId="3E0F8EB4" w14:textId="77777777" w:rsidR="00AB003A" w:rsidRPr="0079304C" w:rsidRDefault="00AB003A" w:rsidP="00AB003A">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75E25DB0" w14:textId="77777777" w:rsidR="00AB003A" w:rsidRPr="0079304C" w:rsidRDefault="00AB003A" w:rsidP="00AB003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8312206" w14:textId="77777777" w:rsidR="00AB003A" w:rsidRPr="000D3D12" w:rsidRDefault="00AB003A" w:rsidP="00AB003A">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5FF30809" w14:textId="77777777" w:rsidR="00AB003A" w:rsidRPr="00D75425" w:rsidRDefault="00AB003A" w:rsidP="00AB003A">
      <w:pPr>
        <w:pStyle w:val="Heading4"/>
      </w:pPr>
      <w:r>
        <w:t>Incarcerated workers are uniquely vulnerable to exploitation  the right to strike is a key weapon in fighting for better conditions</w:t>
      </w:r>
    </w:p>
    <w:p w14:paraId="09882288" w14:textId="77777777" w:rsidR="00AB003A" w:rsidRDefault="00AB003A" w:rsidP="00AB003A">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46A1660A" w14:textId="77777777" w:rsidR="00AB003A" w:rsidRPr="002A7C57" w:rsidRDefault="00AB003A" w:rsidP="00AB003A">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8D47509" w14:textId="77777777" w:rsidR="00AB003A" w:rsidRDefault="00AB003A" w:rsidP="00AB003A">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499AA738" w14:textId="77777777" w:rsidR="00AB003A" w:rsidRPr="00822A17" w:rsidRDefault="00AB003A" w:rsidP="00AB003A">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D0DFE16" w14:textId="77777777" w:rsidR="00AB003A" w:rsidRDefault="00AB003A" w:rsidP="00AB003A">
      <w:pPr>
        <w:pStyle w:val="Heading2"/>
      </w:pPr>
      <w:r>
        <w:lastRenderedPageBreak/>
        <w:t xml:space="preserve">Framework </w:t>
      </w:r>
    </w:p>
    <w:p w14:paraId="2CD97DAA" w14:textId="77777777" w:rsidR="00AB003A" w:rsidRPr="00E27770" w:rsidRDefault="00AB003A" w:rsidP="00AB003A">
      <w:pPr>
        <w:pStyle w:val="Heading4"/>
        <w:rPr>
          <w:rFonts w:cs="Calibri"/>
        </w:rPr>
      </w:pPr>
      <w:bookmarkStart w:id="0" w:name="_Hlk54560893"/>
      <w:r>
        <w:rPr>
          <w:rFonts w:cs="Calibri"/>
        </w:rPr>
        <w:t>The impact of structural violence cumulatively outweighs – challenging the structures that facilitate inequality is necessary</w:t>
      </w:r>
    </w:p>
    <w:p w14:paraId="2EB6BD46" w14:textId="77777777" w:rsidR="00AB003A" w:rsidRPr="00E27770" w:rsidRDefault="00AB003A" w:rsidP="00AB003A">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3387EA17" w14:textId="77777777" w:rsidR="00AB003A" w:rsidRPr="00324812" w:rsidRDefault="00AB003A" w:rsidP="00AB003A">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002C4F06" w14:textId="77777777" w:rsidR="00AB003A" w:rsidRPr="0051515F" w:rsidRDefault="00AB003A" w:rsidP="00AB003A">
      <w:pPr>
        <w:pStyle w:val="Heading3"/>
      </w:pPr>
      <w:r w:rsidRPr="0051515F">
        <w:rPr>
          <w:rFonts w:eastAsia="Calibri" w:cs="Calibri"/>
          <w:sz w:val="44"/>
          <w:szCs w:val="44"/>
        </w:rPr>
        <w:lastRenderedPageBreak/>
        <w:t xml:space="preserve">Underview 1 </w:t>
      </w:r>
    </w:p>
    <w:p w14:paraId="3EE0446A" w14:textId="77777777" w:rsidR="00AB003A" w:rsidRDefault="00AB003A" w:rsidP="00AB003A">
      <w:pPr>
        <w:pStyle w:val="Heading4"/>
      </w:pPr>
      <w:r w:rsidRPr="4A4EEA91">
        <w:rPr>
          <w:rFonts w:eastAsia="Calibri" w:cs="Calibri"/>
        </w:rPr>
        <w:t xml:space="preserve">Scholarly discourse and engagement with politics is key to effective structural reform - critique is insufficient. </w:t>
      </w:r>
    </w:p>
    <w:p w14:paraId="3CAD68EE" w14:textId="77777777" w:rsidR="00AB003A" w:rsidRDefault="00AB003A" w:rsidP="00AB003A">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639F5331" w14:textId="77777777" w:rsidR="00AB003A" w:rsidRDefault="00AB003A" w:rsidP="00AB003A">
      <w:r w:rsidRPr="4A4EEA91">
        <w:rPr>
          <w:rFonts w:ascii="Cambria" w:eastAsia="Cambria" w:hAnsi="Cambria" w:cs="Cambria"/>
          <w:sz w:val="12"/>
          <w:szCs w:val="12"/>
        </w:rPr>
        <w:t xml:space="preserve"> </w:t>
      </w:r>
    </w:p>
    <w:p w14:paraId="72476BBE" w14:textId="77777777" w:rsidR="00AB003A" w:rsidRDefault="00AB003A" w:rsidP="00AB003A">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38FD5C46" w14:textId="77777777" w:rsidR="00AB003A" w:rsidRDefault="00AB003A" w:rsidP="00AB003A">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6AC9B3D5" w14:textId="77777777" w:rsidR="00AB003A" w:rsidRDefault="00AB003A" w:rsidP="00AB003A">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704DA61" w14:textId="77777777" w:rsidR="00AB003A" w:rsidRDefault="00AB003A" w:rsidP="00AB003A">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703A9992" w14:textId="77777777" w:rsidR="00AB003A" w:rsidRDefault="00AB003A" w:rsidP="00AB003A">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imperialistic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13226A2E" w14:textId="77777777" w:rsidR="00AB003A" w:rsidRDefault="00AB003A" w:rsidP="00AB003A">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2A502F2B" w14:textId="77777777" w:rsidR="00AB003A" w:rsidRDefault="00AB003A" w:rsidP="00AB003A">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612E50E5" w14:textId="77777777" w:rsidR="00AB003A" w:rsidRDefault="00AB003A" w:rsidP="00AB003A">
      <w:r w:rsidRPr="4A4EEA91">
        <w:rPr>
          <w:rFonts w:ascii="Times New Roman" w:eastAsia="Times New Roman" w:hAnsi="Times New Roman" w:cs="Times New Roman"/>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48E25DF2" w14:textId="77777777" w:rsidR="00AB003A" w:rsidRDefault="00AB003A" w:rsidP="00AB003A">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rFonts w:ascii="Times New Roman" w:eastAsia="Times New Roman" w:hAnsi="Times New Roman" w:cs="Times New Roman"/>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rFonts w:ascii="Times New Roman" w:eastAsia="Times New Roman" w:hAnsi="Times New Roman" w:cs="Times New Roman"/>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2F3AF750" w14:textId="77777777" w:rsidR="00AB003A" w:rsidRDefault="00AB003A" w:rsidP="00AB003A">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042E8F35" w14:textId="77777777" w:rsidR="00AB003A" w:rsidRDefault="00AB003A" w:rsidP="00AB003A">
      <w:r w:rsidRPr="4A4EEA91">
        <w:rPr>
          <w:rFonts w:ascii="Times New Roman" w:eastAsia="Times New Roman" w:hAnsi="Times New Roman" w:cs="Times New Roman"/>
          <w:b/>
          <w:bCs/>
          <w:sz w:val="26"/>
          <w:szCs w:val="26"/>
        </w:rPr>
        <w:t>Zannoti ’13</w:t>
      </w:r>
      <w:r w:rsidRPr="4A4EEA91">
        <w:rPr>
          <w:rFonts w:eastAsia="Calibri"/>
          <w:b/>
          <w:bCs/>
          <w:sz w:val="24"/>
        </w:rPr>
        <w:t xml:space="preserve"> - </w:t>
      </w:r>
      <w:r w:rsidRPr="4A4EEA91">
        <w:rPr>
          <w:rFonts w:ascii="Times New Roman" w:eastAsia="Times New Roman" w:hAnsi="Times New Roman" w:cs="Times New Roman"/>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938A140" w14:textId="77777777" w:rsidR="00AB003A" w:rsidRDefault="00AB003A" w:rsidP="00AB003A">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w:t>
      </w:r>
      <w:r w:rsidRPr="4A4EEA91">
        <w:rPr>
          <w:rFonts w:eastAsia="Calibri"/>
          <w:b/>
          <w:bCs/>
          <w:szCs w:val="22"/>
          <w:highlight w:val="yellow"/>
          <w:u w:val="single"/>
        </w:rPr>
        <w:lastRenderedPageBreak/>
        <w:t xml:space="preserve">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rFonts w:ascii="Times New Roman" w:eastAsia="Times New Roman" w:hAnsi="Times New Roman" w:cs="Times New Roman"/>
          <w:sz w:val="12"/>
          <w:szCs w:val="12"/>
        </w:rPr>
        <w:t>demonizations</w:t>
      </w:r>
      <w:r w:rsidRPr="4A4EEA91">
        <w:rPr>
          <w:rFonts w:eastAsia="Calibri"/>
          <w:sz w:val="12"/>
          <w:szCs w:val="12"/>
        </w:rPr>
        <w:t xml:space="preserve"> of ‘‘power,’’ </w:t>
      </w:r>
      <w:r w:rsidRPr="4A4EEA91">
        <w:rPr>
          <w:rFonts w:ascii="Times New Roman" w:eastAsia="Times New Roman" w:hAnsi="Times New Roman" w:cs="Times New Roman"/>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rFonts w:ascii="Times New Roman" w:eastAsia="Times New Roman" w:hAnsi="Times New Roman" w:cs="Times New Roman"/>
          <w:sz w:val="12"/>
          <w:szCs w:val="12"/>
        </w:rPr>
        <w:t>So</w:t>
      </w:r>
      <w:r w:rsidRPr="4A4EEA91">
        <w:rPr>
          <w:rFonts w:eastAsia="Calibri"/>
          <w:sz w:val="12"/>
          <w:szCs w:val="12"/>
        </w:rPr>
        <w:t xml:space="preserve"> my position leads not to apathy but to hyper- and pessimistic activism. </w:t>
      </w:r>
    </w:p>
    <w:p w14:paraId="5C8EC22E" w14:textId="77777777" w:rsidR="00AB003A" w:rsidRDefault="00AB003A" w:rsidP="00AB003A">
      <w:r w:rsidRPr="4A4EEA91">
        <w:rPr>
          <w:rFonts w:eastAsia="Calibri"/>
          <w:sz w:val="24"/>
        </w:rPr>
        <w:t xml:space="preserve"> </w:t>
      </w:r>
    </w:p>
    <w:p w14:paraId="6BBC45CF" w14:textId="77777777" w:rsidR="00AB003A" w:rsidRDefault="00AB003A" w:rsidP="00AB003A">
      <w:pPr>
        <w:pStyle w:val="Heading3"/>
      </w:pPr>
      <w:r w:rsidRPr="4A4EEA91">
        <w:rPr>
          <w:rFonts w:eastAsia="Calibri" w:cs="Calibri"/>
          <w:sz w:val="44"/>
          <w:szCs w:val="44"/>
        </w:rPr>
        <w:lastRenderedPageBreak/>
        <w:t xml:space="preserve">Underview 2 </w:t>
      </w:r>
    </w:p>
    <w:p w14:paraId="30CF1401" w14:textId="77777777" w:rsidR="00AB003A" w:rsidRDefault="00AB003A" w:rsidP="00AB003A">
      <w:pPr>
        <w:pStyle w:val="Heading4"/>
      </w:pPr>
      <w:r w:rsidRPr="4A4EEA91">
        <w:rPr>
          <w:rFonts w:eastAsia="Calibri" w:cs="Calibri"/>
        </w:rPr>
        <w:t xml:space="preserve">Their disads will surely be ridiculous. </w:t>
      </w:r>
    </w:p>
    <w:p w14:paraId="133F434E" w14:textId="77777777" w:rsidR="00AB003A" w:rsidRDefault="00AB003A" w:rsidP="00AB003A">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7D05D21C" w14:textId="77777777" w:rsidR="00AB003A" w:rsidRDefault="00AB003A" w:rsidP="00AB003A">
      <w:pPr>
        <w:pStyle w:val="Heading4"/>
      </w:pPr>
      <w:r w:rsidRPr="4A4EEA91">
        <w:rPr>
          <w:rFonts w:eastAsia="Calibri" w:cs="Calibri"/>
        </w:rPr>
        <w:t xml:space="preserve">(B) Compound Probability - Multiplied probabilities of long link chains have negligible net probabilities. This is the slippery slope fallacy. </w:t>
      </w:r>
    </w:p>
    <w:p w14:paraId="635A8703" w14:textId="77777777" w:rsidR="00AB003A" w:rsidRDefault="00AB003A" w:rsidP="00AB003A">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2FA6E42" w14:textId="77777777" w:rsidR="00AB003A" w:rsidRDefault="00AB003A" w:rsidP="00AB003A">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C64B097" w14:textId="77777777" w:rsidR="00AB003A" w:rsidRDefault="00AB003A" w:rsidP="00AB003A">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DD79029" w14:textId="77777777" w:rsidR="00AB003A" w:rsidRPr="00416991" w:rsidRDefault="00AB003A" w:rsidP="00AB003A"/>
    <w:p w14:paraId="4E6D3ED4" w14:textId="086C5D42" w:rsidR="00E42E4C" w:rsidRDefault="00AB003A" w:rsidP="00AB003A">
      <w:pPr>
        <w:pStyle w:val="Heading1"/>
      </w:pPr>
      <w:r>
        <w:lastRenderedPageBreak/>
        <w:t>1ar cards</w:t>
      </w:r>
    </w:p>
    <w:p w14:paraId="404257A6" w14:textId="7974B8C7" w:rsidR="00AB003A" w:rsidRDefault="00AB003A" w:rsidP="00AB003A">
      <w:pPr>
        <w:pStyle w:val="Heading2"/>
      </w:pPr>
      <w:r>
        <w:lastRenderedPageBreak/>
        <w:t>T workers</w:t>
      </w:r>
    </w:p>
    <w:p w14:paraId="26FD28F3" w14:textId="77777777" w:rsidR="00AB003A" w:rsidRPr="0079304C" w:rsidRDefault="00AB003A" w:rsidP="00AB003A">
      <w:pPr>
        <w:pStyle w:val="Heading4"/>
        <w:rPr>
          <w:rFonts w:cs="Calibri"/>
        </w:rPr>
      </w:pPr>
      <w:r>
        <w:rPr>
          <w:rFonts w:cs="Calibri"/>
        </w:rPr>
        <w:t xml:space="preserve">Counter-Interpretation: </w:t>
      </w:r>
      <w:r w:rsidRPr="0079304C">
        <w:rPr>
          <w:rFonts w:cs="Calibri"/>
        </w:rPr>
        <w:t>Prisoners are workers. Fulcher 15</w:t>
      </w:r>
    </w:p>
    <w:p w14:paraId="5918BB42" w14:textId="77777777" w:rsidR="00AB003A" w:rsidRPr="000F0E69" w:rsidRDefault="00AB003A" w:rsidP="00AB003A">
      <w:r w:rsidRPr="000F0E69">
        <w:t>Patrice A. Fulcher [Associate Professor at The John Marshall Law School], 15 - ("," Journal of Civil Rights and Economic Development, Winter 2015, accessed 10-28-2021, https://scholarship.law.stjohns.edu/cgi/viewcontent.cgi?article=1759&amp;context=jcred)//ML</w:t>
      </w:r>
    </w:p>
    <w:p w14:paraId="24D4A9AC" w14:textId="77777777" w:rsidR="00AB003A" w:rsidRDefault="00AB003A" w:rsidP="00AB003A">
      <w:pPr>
        <w:rPr>
          <w:sz w:val="12"/>
        </w:rPr>
      </w:pPr>
      <w:r w:rsidRPr="00557219">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60403C">
        <w:rPr>
          <w:rStyle w:val="StyleUnderline"/>
        </w:rPr>
        <w:t>80</w:t>
      </w:r>
      <w:r>
        <w:rPr>
          <w:rStyle w:val="StyleUnderline"/>
        </w:rPr>
        <w:t>¶</w:t>
      </w:r>
      <w:r w:rsidRPr="0060403C">
        <w:rPr>
          <w:rStyle w:val="StyleUnderline"/>
        </w:rPr>
        <w:t xml:space="preserve"> </w:t>
      </w:r>
      <w:r w:rsidRPr="00557219">
        <w:rPr>
          <w:rStyle w:val="StyleUnderline"/>
          <w:highlight w:val="yellow"/>
        </w:rPr>
        <w:t>Every inmate in the U.S. federal prison system is required to work</w:t>
      </w:r>
      <w:r w:rsidRPr="0060403C">
        <w:rPr>
          <w:rStyle w:val="StyleUnderline"/>
        </w:rPr>
        <w:t xml:space="preserve"> </w:t>
      </w:r>
      <w:r w:rsidRPr="00557219">
        <w:rPr>
          <w:rStyle w:val="StyleUnderline"/>
          <w:highlight w:val="yellow"/>
        </w:rPr>
        <w:t>if</w:t>
      </w:r>
      <w:r w:rsidRPr="0060403C">
        <w:rPr>
          <w:rStyle w:val="StyleUnderline"/>
        </w:rPr>
        <w:t xml:space="preserve"> </w:t>
      </w:r>
      <w:r w:rsidRPr="00557219">
        <w:rPr>
          <w:rStyle w:val="StyleUnderline"/>
          <w:strike/>
        </w:rPr>
        <w:t>he or she</w:t>
      </w:r>
      <w:r w:rsidRPr="0060403C">
        <w:rPr>
          <w:rStyle w:val="StyleUnderline"/>
        </w:rPr>
        <w:t xml:space="preserve"> is </w:t>
      </w:r>
      <w:r w:rsidRPr="00557219">
        <w:rPr>
          <w:rStyle w:val="StyleUnderline"/>
          <w:highlight w:val="yellow"/>
        </w:rPr>
        <w:t>medically able. 8 1 Unlike typical employees, federal inmates work without minimum wage, overtime pay, health and safety protections, social security withholdings, or union protection</w:t>
      </w:r>
      <w:r w:rsidRPr="00557219">
        <w:rPr>
          <w:sz w:val="12"/>
        </w:rPr>
        <w:t xml:space="preserve">. 82 The primary goals for forcing Federal inmates to work have remained consistent over the years: (1) reducing "idle hands," (2) instilling discipline, and (3) promoting prison self-sufficiency. </w:t>
      </w:r>
      <w:r w:rsidRPr="0060403C">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557219">
        <w:rPr>
          <w:sz w:val="12"/>
        </w:rPr>
        <w:t xml:space="preserve">s (making office furniture, electronics, textiles, solar panels, the call center solutions, laundries, printing, solar &amp; renewable energy, and numerous industries). 85 </w:t>
      </w:r>
      <w:r w:rsidRPr="00DD110F">
        <w:rPr>
          <w:rStyle w:val="StyleUnderline"/>
        </w:rPr>
        <w:t>Yet whatever option they choose, these federal inmates are forced to work for what is tantamount to slave wages, while government corporations reap the benefits</w:t>
      </w:r>
      <w:r w:rsidRPr="00557219">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0D7DE508" w14:textId="77777777" w:rsidR="00AB003A" w:rsidRDefault="00AB003A" w:rsidP="00AB003A">
      <w:pPr>
        <w:pStyle w:val="Heading4"/>
      </w:pPr>
      <w:r>
        <w:t xml:space="preserve">A worker is a person who works </w:t>
      </w:r>
    </w:p>
    <w:p w14:paraId="31C82A91" w14:textId="77777777" w:rsidR="00AB003A" w:rsidRPr="00150F5C" w:rsidRDefault="00AB003A" w:rsidP="00AB003A">
      <w:r w:rsidRPr="00150F5C">
        <w:rPr>
          <w:rStyle w:val="Style13ptBold"/>
        </w:rPr>
        <w:t>Merriam-Webster</w:t>
      </w:r>
      <w:r w:rsidRPr="00150F5C">
        <w:t xml:space="preserve"> - ("Definition of WORKER," No Publication, xx-xx-xxxx, https://www.merriam-webster.com/dictionary/worker)//va</w:t>
      </w:r>
    </w:p>
    <w:p w14:paraId="6715BB2A" w14:textId="77777777" w:rsidR="00AB003A" w:rsidRPr="00150F5C" w:rsidRDefault="00AB003A" w:rsidP="00AB003A">
      <w:r w:rsidRPr="00150F5C">
        <w:t>Definition of </w:t>
      </w:r>
      <w:r w:rsidRPr="00150F5C">
        <w:rPr>
          <w:rStyle w:val="StyleUnderline"/>
          <w:highlight w:val="yellow"/>
        </w:rPr>
        <w:t>worker</w:t>
      </w:r>
      <w:r>
        <w:t xml:space="preserve"> ¶</w:t>
      </w:r>
    </w:p>
    <w:p w14:paraId="47BA26D4" w14:textId="77777777" w:rsidR="00AB003A" w:rsidRPr="00150F5C" w:rsidRDefault="00AB003A" w:rsidP="00AB003A">
      <w:r w:rsidRPr="00150F5C">
        <w:t>1a: </w:t>
      </w:r>
      <w:r w:rsidRPr="00150F5C">
        <w:rPr>
          <w:rStyle w:val="Emphasis"/>
          <w:highlight w:val="yellow"/>
        </w:rPr>
        <w:t>one that </w:t>
      </w:r>
      <w:hyperlink r:id="rId70" w:history="1">
        <w:r w:rsidRPr="00150F5C">
          <w:rPr>
            <w:rStyle w:val="Emphasis"/>
            <w:highlight w:val="yellow"/>
          </w:rPr>
          <w:t>works</w:t>
        </w:r>
      </w:hyperlink>
      <w:r w:rsidRPr="00150F5C">
        <w:t> </w:t>
      </w:r>
      <w:r w:rsidRPr="00150F5C">
        <w:rPr>
          <w:rStyle w:val="StyleUnderline"/>
        </w:rPr>
        <w:t>especially at manual or industrial labor</w:t>
      </w:r>
      <w:r w:rsidRPr="00150F5C">
        <w:t xml:space="preserve"> or with a particular materiala factory worker—often used in combination</w:t>
      </w:r>
      <w:r>
        <w:t xml:space="preserve"> ¶</w:t>
      </w:r>
    </w:p>
    <w:p w14:paraId="4B70746C" w14:textId="77777777" w:rsidR="00AB003A" w:rsidRPr="00FC4A99" w:rsidRDefault="00AB003A" w:rsidP="00AB003A">
      <w:pPr>
        <w:rPr>
          <w:rStyle w:val="Style13ptBold"/>
          <w:b w:val="0"/>
          <w:sz w:val="22"/>
        </w:rPr>
      </w:pPr>
      <w:r w:rsidRPr="00150F5C">
        <w:t>b: a member of the </w:t>
      </w:r>
      <w:hyperlink r:id="rId71" w:history="1">
        <w:r w:rsidRPr="00150F5C">
          <w:rPr>
            <w:rStyle w:val="Hyperlink"/>
          </w:rPr>
          <w:t>working</w:t>
        </w:r>
      </w:hyperlink>
      <w:r w:rsidRPr="00150F5C">
        <w:t> class</w:t>
      </w:r>
      <w:r>
        <w:t xml:space="preserve"> ¶</w:t>
      </w:r>
    </w:p>
    <w:p w14:paraId="342F322B" w14:textId="77777777" w:rsidR="00AB003A" w:rsidRDefault="00AB003A" w:rsidP="00AB003A">
      <w:pPr>
        <w:rPr>
          <w:rStyle w:val="Style13ptBold"/>
        </w:rPr>
      </w:pPr>
      <w:r>
        <w:rPr>
          <w:rStyle w:val="Style13ptBold"/>
        </w:rPr>
        <w:t xml:space="preserve">A worker is a person who does a job to earn money </w:t>
      </w:r>
    </w:p>
    <w:p w14:paraId="11A47AC8" w14:textId="77777777" w:rsidR="00AB003A" w:rsidRPr="00150F5C" w:rsidRDefault="00AB003A" w:rsidP="00AB003A">
      <w:r w:rsidRPr="00150F5C">
        <w:rPr>
          <w:rStyle w:val="Style13ptBold"/>
        </w:rPr>
        <w:t>Merriam-Webster</w:t>
      </w:r>
      <w:r>
        <w:rPr>
          <w:rStyle w:val="Style13ptBold"/>
        </w:rPr>
        <w:t xml:space="preserve"> ELL Dictionary</w:t>
      </w:r>
      <w:r w:rsidRPr="00150F5C">
        <w:t xml:space="preserve"> - ("Definition of WORKER," No Publication, xx-xx-xxxx, https://www.merriam-webster.com/dictionary/worker)//va</w:t>
      </w:r>
    </w:p>
    <w:p w14:paraId="6E07185B" w14:textId="77777777" w:rsidR="00AB003A" w:rsidRPr="00150F5C" w:rsidRDefault="00AB003A" w:rsidP="00AB003A">
      <w:pPr>
        <w:shd w:val="clear" w:color="auto" w:fill="FFFFFF"/>
        <w:spacing w:line="330" w:lineRule="atLeast"/>
        <w:textAlignment w:val="baseline"/>
        <w:rPr>
          <w:rFonts w:ascii="Open Sans" w:eastAsia="Times New Roman" w:hAnsi="Open Sans" w:cs="Open Sans"/>
          <w:color w:val="212529"/>
          <w:spacing w:val="3"/>
          <w:sz w:val="27"/>
          <w:szCs w:val="27"/>
          <w:bdr w:val="none" w:sz="0" w:space="0" w:color="auto" w:frame="1"/>
        </w:rPr>
      </w:pPr>
      <w:r w:rsidRPr="00150F5C">
        <w:rPr>
          <w:rFonts w:ascii="inherit" w:eastAsia="Times New Roman" w:hAnsi="inherit" w:cs="Open Sans"/>
          <w:b/>
          <w:bCs/>
          <w:color w:val="303336"/>
          <w:spacing w:val="3"/>
          <w:sz w:val="27"/>
          <w:szCs w:val="27"/>
          <w:bdr w:val="none" w:sz="0" w:space="0" w:color="auto" w:frame="1"/>
        </w:rPr>
        <w:t>: </w:t>
      </w:r>
      <w:r w:rsidRPr="00150F5C">
        <w:rPr>
          <w:rStyle w:val="Emphasis"/>
          <w:highlight w:val="yellow"/>
        </w:rPr>
        <w:t>a person who does a particular job to earn money</w:t>
      </w:r>
    </w:p>
    <w:p w14:paraId="213E42C3" w14:textId="77777777" w:rsidR="00AB003A" w:rsidRPr="00150F5C" w:rsidRDefault="00AB003A" w:rsidP="00AB003A">
      <w:pPr>
        <w:shd w:val="clear" w:color="auto" w:fill="FFFFFF"/>
        <w:spacing w:line="330" w:lineRule="atLeast"/>
        <w:textAlignment w:val="baseline"/>
        <w:rPr>
          <w:rFonts w:ascii="Open Sans" w:eastAsia="Times New Roman" w:hAnsi="Open Sans" w:cs="Open Sans"/>
          <w:color w:val="212529"/>
          <w:spacing w:val="3"/>
          <w:sz w:val="27"/>
          <w:szCs w:val="27"/>
          <w:bdr w:val="none" w:sz="0" w:space="0" w:color="auto" w:frame="1"/>
        </w:rPr>
      </w:pPr>
      <w:r w:rsidRPr="00150F5C">
        <w:rPr>
          <w:rFonts w:ascii="inherit" w:eastAsia="Times New Roman" w:hAnsi="inherit" w:cs="Open Sans"/>
          <w:b/>
          <w:bCs/>
          <w:color w:val="303336"/>
          <w:spacing w:val="3"/>
          <w:sz w:val="27"/>
          <w:szCs w:val="27"/>
          <w:bdr w:val="none" w:sz="0" w:space="0" w:color="auto" w:frame="1"/>
        </w:rPr>
        <w:t>: </w:t>
      </w:r>
      <w:r w:rsidRPr="00150F5C">
        <w:rPr>
          <w:rFonts w:ascii="Open Sans" w:eastAsia="Times New Roman" w:hAnsi="Open Sans" w:cs="Open Sans"/>
          <w:color w:val="303336"/>
          <w:spacing w:val="3"/>
          <w:sz w:val="27"/>
          <w:szCs w:val="27"/>
          <w:bdr w:val="none" w:sz="0" w:space="0" w:color="auto" w:frame="1"/>
        </w:rPr>
        <w:t>a person who is actively involved in a particular activity</w:t>
      </w:r>
    </w:p>
    <w:p w14:paraId="6C93F54D" w14:textId="77777777" w:rsidR="00AB003A" w:rsidRPr="00150F5C" w:rsidRDefault="00AB003A" w:rsidP="00AB003A">
      <w:pPr>
        <w:shd w:val="clear" w:color="auto" w:fill="FFFFFF"/>
        <w:spacing w:line="330" w:lineRule="atLeast"/>
        <w:textAlignment w:val="baseline"/>
        <w:rPr>
          <w:rFonts w:ascii="Open Sans" w:eastAsia="Times New Roman" w:hAnsi="Open Sans" w:cs="Open Sans"/>
          <w:color w:val="212529"/>
          <w:spacing w:val="3"/>
          <w:sz w:val="27"/>
          <w:szCs w:val="27"/>
          <w:bdr w:val="none" w:sz="0" w:space="0" w:color="auto" w:frame="1"/>
        </w:rPr>
      </w:pPr>
      <w:r w:rsidRPr="00150F5C">
        <w:rPr>
          <w:rFonts w:ascii="inherit" w:eastAsia="Times New Roman" w:hAnsi="inherit" w:cs="Open Sans"/>
          <w:b/>
          <w:bCs/>
          <w:color w:val="303336"/>
          <w:spacing w:val="3"/>
          <w:sz w:val="27"/>
          <w:szCs w:val="27"/>
          <w:bdr w:val="none" w:sz="0" w:space="0" w:color="auto" w:frame="1"/>
        </w:rPr>
        <w:t>: </w:t>
      </w:r>
      <w:r w:rsidRPr="00150F5C">
        <w:rPr>
          <w:rStyle w:val="Emphasis"/>
          <w:highlight w:val="yellow"/>
        </w:rPr>
        <w:t>a person whose job does not involve managing other people</w:t>
      </w:r>
    </w:p>
    <w:p w14:paraId="0336693D" w14:textId="77777777" w:rsidR="00AB003A" w:rsidRPr="00557219" w:rsidRDefault="00AB003A" w:rsidP="00AB003A">
      <w:pPr>
        <w:rPr>
          <w:sz w:val="12"/>
        </w:rPr>
      </w:pPr>
    </w:p>
    <w:p w14:paraId="0DE1B583" w14:textId="56423888" w:rsidR="00AB003A" w:rsidRDefault="00AB003A" w:rsidP="00AB003A">
      <w:pPr>
        <w:pStyle w:val="Heading2"/>
      </w:pPr>
      <w:r>
        <w:lastRenderedPageBreak/>
        <w:t>Set col k</w:t>
      </w:r>
    </w:p>
    <w:p w14:paraId="4E233CD0" w14:textId="77777777" w:rsidR="00AB003A" w:rsidRDefault="00AB003A" w:rsidP="00AB003A">
      <w:pPr>
        <w:pStyle w:val="Heading4"/>
      </w:pPr>
      <w:r>
        <w:t xml:space="preserve">1 – Tying </w:t>
      </w:r>
      <w:r w:rsidRPr="00EE4D15">
        <w:rPr>
          <w:u w:val="single"/>
        </w:rPr>
        <w:t>reforms</w:t>
      </w:r>
      <w:r>
        <w:t xml:space="preserve"> to abolition is key to </w:t>
      </w:r>
      <w:r w:rsidRPr="00EE4D15">
        <w:rPr>
          <w:u w:val="single"/>
        </w:rPr>
        <w:t>alleviate</w:t>
      </w:r>
      <w:r>
        <w:t xml:space="preserve"> current </w:t>
      </w:r>
      <w:r w:rsidRPr="00EE4D15">
        <w:rPr>
          <w:u w:val="single"/>
        </w:rPr>
        <w:t>carceral violence</w:t>
      </w:r>
      <w:r>
        <w:t xml:space="preserve">. </w:t>
      </w:r>
    </w:p>
    <w:p w14:paraId="38E0CA82" w14:textId="77777777" w:rsidR="00AB003A" w:rsidRPr="006B791B" w:rsidRDefault="00AB003A" w:rsidP="00AB003A">
      <w:pPr>
        <w:rPr>
          <w:b/>
          <w:sz w:val="26"/>
        </w:rPr>
      </w:pPr>
      <w:r w:rsidRPr="006B791B">
        <w:rPr>
          <w:rStyle w:val="Style13ptBold"/>
        </w:rPr>
        <w:t xml:space="preserve">Heiner </w:t>
      </w:r>
      <w:r>
        <w:rPr>
          <w:rStyle w:val="Style13ptBold"/>
        </w:rPr>
        <w:t xml:space="preserve">03, </w:t>
      </w:r>
      <w:r w:rsidRPr="006B791B">
        <w:rPr>
          <w:szCs w:val="16"/>
        </w:rPr>
        <w:t>Brady, graduated from Brown University with a B.A. in Modem Culture and Media, with a focus in Marxist studies. His writing appears in States of Confinement and the feminist journal Differences, Commentary: Social Death and the Relationship Between Abolition and Reform, Social Justice Vol. 30, No. 2 (2003)</w:t>
      </w:r>
    </w:p>
    <w:p w14:paraId="22C5B9FD" w14:textId="77777777" w:rsidR="00AB003A" w:rsidRDefault="00AB003A" w:rsidP="00AB003A">
      <w:pPr>
        <w:rPr>
          <w:sz w:val="16"/>
        </w:rPr>
      </w:pPr>
      <w:r w:rsidRPr="00EE4D15">
        <w:rPr>
          <w:sz w:val="16"/>
        </w:rPr>
        <w:t xml:space="preserve">However, we must acknowledge that </w:t>
      </w:r>
      <w:r w:rsidRPr="00F12FD7">
        <w:rPr>
          <w:rStyle w:val="StyleUnderline"/>
          <w:highlight w:val="yellow"/>
        </w:rPr>
        <w:t>the</w:t>
      </w:r>
      <w:r w:rsidRPr="00EE4D15">
        <w:rPr>
          <w:sz w:val="16"/>
        </w:rPr>
        <w:t xml:space="preserve"> </w:t>
      </w:r>
      <w:r w:rsidRPr="00F12FD7">
        <w:rPr>
          <w:highlight w:val="yellow"/>
          <w:u w:val="single"/>
        </w:rPr>
        <w:t xml:space="preserve">line between reformist </w:t>
      </w:r>
      <w:r w:rsidRPr="00602336">
        <w:rPr>
          <w:u w:val="single"/>
        </w:rPr>
        <w:t xml:space="preserve">practices </w:t>
      </w:r>
      <w:r w:rsidRPr="00F12FD7">
        <w:rPr>
          <w:highlight w:val="yellow"/>
          <w:u w:val="single"/>
        </w:rPr>
        <w:t xml:space="preserve">and abolitionist </w:t>
      </w:r>
      <w:r w:rsidRPr="00602336">
        <w:rPr>
          <w:u w:val="single"/>
        </w:rPr>
        <w:t xml:space="preserve">practices </w:t>
      </w:r>
      <w:r w:rsidRPr="00F12FD7">
        <w:rPr>
          <w:highlight w:val="yellow"/>
          <w:u w:val="single"/>
        </w:rPr>
        <w:t>is not</w:t>
      </w:r>
      <w:r w:rsidRPr="006B791B">
        <w:rPr>
          <w:u w:val="single"/>
        </w:rPr>
        <w:t xml:space="preserve"> a </w:t>
      </w:r>
      <w:r w:rsidRPr="00F12FD7">
        <w:rPr>
          <w:highlight w:val="yellow"/>
          <w:u w:val="single"/>
        </w:rPr>
        <w:t>definitive</w:t>
      </w:r>
      <w:r w:rsidRPr="006B791B">
        <w:rPr>
          <w:u w:val="single"/>
        </w:rPr>
        <w:t xml:space="preserve"> one</w:t>
      </w:r>
      <w:r w:rsidRPr="00EE4D15">
        <w:rPr>
          <w:sz w:val="16"/>
        </w:rPr>
        <w:t xml:space="preserve">. For example, </w:t>
      </w:r>
      <w:r w:rsidRPr="004F023F">
        <w:rPr>
          <w:u w:val="single"/>
        </w:rPr>
        <w:t>though the ultimate goal of an abolitionist movement is the total negation of the capitalist state-form</w:t>
      </w:r>
      <w:r w:rsidRPr="006B791B">
        <w:rPr>
          <w:u w:val="single"/>
        </w:rPr>
        <w:t xml:space="preserve">, this </w:t>
      </w:r>
      <w:r w:rsidRPr="00F12FD7">
        <w:rPr>
          <w:highlight w:val="yellow"/>
          <w:u w:val="single"/>
        </w:rPr>
        <w:t xml:space="preserve">long-term objective must not prevent </w:t>
      </w:r>
      <w:r w:rsidRPr="00602336">
        <w:rPr>
          <w:u w:val="single"/>
        </w:rPr>
        <w:t>us from engaging in a h</w:t>
      </w:r>
      <w:r w:rsidRPr="006B791B">
        <w:rPr>
          <w:u w:val="single"/>
        </w:rPr>
        <w:t xml:space="preserve">ost of </w:t>
      </w:r>
      <w:r w:rsidRPr="00F12FD7">
        <w:rPr>
          <w:highlight w:val="yellow"/>
          <w:u w:val="single"/>
        </w:rPr>
        <w:t>immediate</w:t>
      </w:r>
      <w:r w:rsidRPr="006B791B">
        <w:rPr>
          <w:u w:val="single"/>
        </w:rPr>
        <w:t xml:space="preserve"> </w:t>
      </w:r>
      <w:r w:rsidRPr="00F12FD7">
        <w:rPr>
          <w:highlight w:val="yellow"/>
          <w:u w:val="single"/>
        </w:rPr>
        <w:t>struggles to secure</w:t>
      </w:r>
      <w:r w:rsidRPr="006B791B">
        <w:rPr>
          <w:u w:val="single"/>
        </w:rPr>
        <w:t xml:space="preserve"> the </w:t>
      </w:r>
      <w:r w:rsidRPr="004F023F">
        <w:rPr>
          <w:u w:val="single"/>
        </w:rPr>
        <w:t xml:space="preserve">survival and </w:t>
      </w:r>
      <w:r w:rsidRPr="00F12FD7">
        <w:rPr>
          <w:highlight w:val="yellow"/>
          <w:u w:val="single"/>
        </w:rPr>
        <w:t>quality of life</w:t>
      </w:r>
      <w:r w:rsidRPr="006B791B">
        <w:rPr>
          <w:u w:val="single"/>
        </w:rPr>
        <w:t xml:space="preserve"> of those currently imprisoned</w:t>
      </w:r>
      <w:r w:rsidRPr="00EE4D15">
        <w:rPr>
          <w:sz w:val="16"/>
        </w:rPr>
        <w:t xml:space="preserve">. </w:t>
      </w:r>
      <w:r w:rsidRPr="006B791B">
        <w:rPr>
          <w:u w:val="single"/>
        </w:rPr>
        <w:t xml:space="preserve">We must not allow our expansive vision to blind us to the immediate struggles of those presently locked down by the </w:t>
      </w:r>
      <w:r w:rsidRPr="00602336">
        <w:rPr>
          <w:u w:val="single"/>
        </w:rPr>
        <w:t>system. A movement that fails to engage in these types of struggles is at odds with the interests of tsose on the inside</w:t>
      </w:r>
      <w:r w:rsidRPr="00602336">
        <w:rPr>
          <w:sz w:val="16"/>
        </w:rPr>
        <w:t xml:space="preserve"> – those for whom these immediate struggles are of utmost urg</w:t>
      </w:r>
      <w:r w:rsidRPr="00EE4D15">
        <w:rPr>
          <w:sz w:val="16"/>
        </w:rPr>
        <w:t xml:space="preserve">ency.2 </w:t>
      </w:r>
      <w:r w:rsidRPr="00F12FD7">
        <w:rPr>
          <w:highlight w:val="yellow"/>
          <w:u w:val="single"/>
        </w:rPr>
        <w:t>A properly</w:t>
      </w:r>
      <w:r w:rsidRPr="006B791B">
        <w:rPr>
          <w:u w:val="single"/>
        </w:rPr>
        <w:t xml:space="preserve"> radical/</w:t>
      </w:r>
      <w:r w:rsidRPr="00F12FD7">
        <w:rPr>
          <w:highlight w:val="yellow"/>
          <w:u w:val="single"/>
        </w:rPr>
        <w:t>abolitionist movement</w:t>
      </w:r>
      <w:r w:rsidRPr="006B791B">
        <w:rPr>
          <w:u w:val="single"/>
        </w:rPr>
        <w:t xml:space="preserve"> </w:t>
      </w:r>
      <w:r w:rsidRPr="00F12FD7">
        <w:rPr>
          <w:highlight w:val="yellow"/>
          <w:u w:val="single"/>
        </w:rPr>
        <w:t>must</w:t>
      </w:r>
      <w:r w:rsidRPr="006B791B">
        <w:rPr>
          <w:u w:val="single"/>
        </w:rPr>
        <w:t xml:space="preserve"> work incessantly to </w:t>
      </w:r>
      <w:r w:rsidRPr="00F12FD7">
        <w:rPr>
          <w:highlight w:val="yellow"/>
          <w:u w:val="single"/>
        </w:rPr>
        <w:t>suture the divide</w:t>
      </w:r>
      <w:r w:rsidRPr="006B791B">
        <w:rPr>
          <w:u w:val="single"/>
        </w:rPr>
        <w:t xml:space="preserve"> (both actual and virtual) between the inside and the outside of the prison, and, more generally, between the local and the global</w:t>
      </w:r>
      <w:r w:rsidRPr="00EE4D15">
        <w:rPr>
          <w:sz w:val="16"/>
        </w:rPr>
        <w:t>.</w:t>
      </w:r>
    </w:p>
    <w:p w14:paraId="457FAD2C" w14:textId="77777777" w:rsidR="00AB003A" w:rsidRPr="00AB003A" w:rsidRDefault="00AB003A" w:rsidP="00AB003A"/>
    <w:sectPr w:rsidR="00AB003A" w:rsidRPr="00AB00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0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03A"/>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C7B81D"/>
  <w14:defaultImageDpi w14:val="300"/>
  <w15:docId w15:val="{FC84F648-3E63-564C-A7E1-E2D70E1B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03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00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0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B00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B00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00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03A"/>
  </w:style>
  <w:style w:type="character" w:customStyle="1" w:styleId="Heading1Char">
    <w:name w:val="Heading 1 Char"/>
    <w:aliases w:val="Pocket Char"/>
    <w:basedOn w:val="DefaultParagraphFont"/>
    <w:link w:val="Heading1"/>
    <w:uiPriority w:val="9"/>
    <w:rsid w:val="00AB00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03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B003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B00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003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AB003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AB003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003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B003A"/>
    <w:rPr>
      <w:color w:val="auto"/>
      <w:u w:val="none"/>
    </w:rPr>
  </w:style>
  <w:style w:type="paragraph" w:styleId="DocumentMap">
    <w:name w:val="Document Map"/>
    <w:basedOn w:val="Normal"/>
    <w:link w:val="DocumentMapChar"/>
    <w:uiPriority w:val="99"/>
    <w:semiHidden/>
    <w:unhideWhenUsed/>
    <w:rsid w:val="00AB00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03A"/>
    <w:rPr>
      <w:rFonts w:ascii="Lucida Grande" w:hAnsi="Lucida Grande" w:cs="Lucida Grande"/>
    </w:rPr>
  </w:style>
  <w:style w:type="paragraph" w:customStyle="1" w:styleId="textbold">
    <w:name w:val="text bold"/>
    <w:basedOn w:val="Normal"/>
    <w:link w:val="Emphasis"/>
    <w:uiPriority w:val="20"/>
    <w:qFormat/>
    <w:rsid w:val="00AB003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B00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work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 Type="http://schemas.openxmlformats.org/officeDocument/2006/relationships/settings" Target="settings.xml"/><Relationship Id="rId71" Type="http://schemas.openxmlformats.org/officeDocument/2006/relationships/hyperlink" Target="https://www.merriam-webster.com/dictionary/wor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14389</Words>
  <Characters>82022</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2021-11-06T18:53:00Z</dcterms:created>
  <dcterms:modified xsi:type="dcterms:W3CDTF">2021-11-06T18:54:00Z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