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E804E" w14:textId="77777777" w:rsidR="003006EC" w:rsidRDefault="003006EC" w:rsidP="003006EC">
      <w:pPr>
        <w:pStyle w:val="Heading2"/>
      </w:pPr>
      <w:r>
        <w:t>I. Vaccine Apartheid</w:t>
      </w:r>
    </w:p>
    <w:p w14:paraId="27BCE89C" w14:textId="77777777" w:rsidR="003006EC" w:rsidRPr="00BB588A" w:rsidRDefault="003006EC" w:rsidP="003006EC">
      <w:pPr>
        <w:pStyle w:val="Heading4"/>
        <w:rPr>
          <w:rFonts w:cs="Calibri"/>
          <w:color w:val="FF0000"/>
        </w:rPr>
      </w:pPr>
      <w:r w:rsidRPr="00BB588A">
        <w:rPr>
          <w:rFonts w:cs="Calibri"/>
        </w:rPr>
        <w:t xml:space="preserve">A TRIPS waiver for covid vaccines will not pass in the squo. Baschuk 7/26 </w:t>
      </w:r>
    </w:p>
    <w:p w14:paraId="15346BF6" w14:textId="77777777" w:rsidR="003006EC" w:rsidRPr="00BB588A" w:rsidRDefault="003006EC" w:rsidP="003006EC">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171E7431" w14:textId="77777777" w:rsidR="003006EC" w:rsidRPr="003C7242" w:rsidRDefault="003006EC" w:rsidP="003006EC">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065C3BA5" w14:textId="77777777" w:rsidR="003006EC" w:rsidRPr="00161F0C" w:rsidRDefault="003006EC" w:rsidP="003006EC">
      <w:pPr>
        <w:pStyle w:val="Heading4"/>
      </w:pPr>
      <w:r>
        <w:t>The only way to solve the pandemic is global vaccination, but current production is woefully short.</w:t>
      </w:r>
    </w:p>
    <w:p w14:paraId="1B68D321" w14:textId="77777777" w:rsidR="003006EC" w:rsidRPr="00E16557" w:rsidRDefault="003006EC" w:rsidP="003006EC">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F785695" w14:textId="77777777" w:rsidR="003006EC" w:rsidRPr="002C3011" w:rsidRDefault="003006EC" w:rsidP="003006EC">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669E5171" w14:textId="77777777" w:rsidR="003006EC" w:rsidRPr="00161F0C" w:rsidRDefault="003006EC" w:rsidP="003006EC">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62A7488C" w14:textId="77777777" w:rsidR="003006EC" w:rsidRPr="00161F0C" w:rsidRDefault="003006EC" w:rsidP="003006EC">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4696FD4C" w14:textId="77777777" w:rsidR="003006EC" w:rsidRPr="00161F0C" w:rsidRDefault="003006EC" w:rsidP="003006EC">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29802FAB" w14:textId="77777777" w:rsidR="003006EC" w:rsidRPr="00E16557" w:rsidRDefault="003006EC" w:rsidP="003006EC">
      <w:pPr>
        <w:pStyle w:val="Heading4"/>
      </w:pPr>
      <w:r w:rsidRPr="00E16557">
        <w:t>Compulsory licensing is not sufficient – drug company resistance, IP thickets, and devolved decision-making.</w:t>
      </w:r>
    </w:p>
    <w:p w14:paraId="35B16B8B" w14:textId="77777777" w:rsidR="003006EC" w:rsidRPr="00E16557" w:rsidRDefault="003006EC" w:rsidP="003006EC">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727784B7" w14:textId="77777777" w:rsidR="003006EC" w:rsidRPr="002F264B" w:rsidRDefault="003006EC" w:rsidP="003006EC">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6E2B5CC9" w14:textId="77777777" w:rsidR="003006EC" w:rsidRPr="007108BA" w:rsidRDefault="003006EC" w:rsidP="003006EC">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1093720D" w14:textId="77777777" w:rsidR="003006EC" w:rsidRPr="007108BA" w:rsidRDefault="003006EC" w:rsidP="003006EC">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038B06E9" w14:textId="77777777" w:rsidR="003006EC" w:rsidRPr="00DC78EB" w:rsidRDefault="003006EC" w:rsidP="003006EC">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0794D63D" w14:textId="77777777" w:rsidR="003006EC" w:rsidRDefault="003006EC" w:rsidP="003006EC">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73EBA179" w14:textId="77777777" w:rsidR="003006EC" w:rsidRPr="00076CD9" w:rsidRDefault="003006EC" w:rsidP="003006EC">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319E8B74" w14:textId="77777777" w:rsidR="003006EC" w:rsidRPr="00076CD9" w:rsidRDefault="003006EC" w:rsidP="003006EC">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2A58BB95" w14:textId="77777777" w:rsidR="003006EC" w:rsidRPr="000A3F40" w:rsidRDefault="003006EC" w:rsidP="003006EC">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2920FFD3" w14:textId="77777777" w:rsidR="003006EC" w:rsidRPr="00DC78EB" w:rsidRDefault="003006EC" w:rsidP="003006EC">
      <w:pPr>
        <w:rPr>
          <w:sz w:val="12"/>
        </w:rPr>
      </w:pPr>
    </w:p>
    <w:p w14:paraId="7202FA12" w14:textId="77777777" w:rsidR="003006EC" w:rsidRPr="00DC78EB" w:rsidRDefault="003006EC" w:rsidP="003006EC">
      <w:pPr>
        <w:rPr>
          <w:sz w:val="12"/>
        </w:rPr>
      </w:pPr>
    </w:p>
    <w:p w14:paraId="77407C1F" w14:textId="77777777" w:rsidR="003006EC" w:rsidRDefault="003006EC" w:rsidP="003006EC">
      <w:pPr>
        <w:pStyle w:val="Heading2"/>
      </w:pPr>
      <w:r>
        <w:lastRenderedPageBreak/>
        <w:t>II. Solvency</w:t>
      </w:r>
    </w:p>
    <w:p w14:paraId="7FE6AD90" w14:textId="77777777" w:rsidR="003006EC" w:rsidRPr="00E16557" w:rsidRDefault="003006EC" w:rsidP="003006EC">
      <w:pPr>
        <w:pStyle w:val="Heading4"/>
      </w:pPr>
      <w:r>
        <w:t>Plan text: The member nations of the World Trade Organization ought to waive intellectual property protections for Covid-19 related medicines.</w:t>
      </w:r>
    </w:p>
    <w:p w14:paraId="4F9D7AB4" w14:textId="77777777" w:rsidR="003006EC" w:rsidRPr="00E16557" w:rsidRDefault="003006EC" w:rsidP="003006EC">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67791BF0" w14:textId="77777777" w:rsidR="003006EC" w:rsidRPr="00DC5CFA" w:rsidRDefault="003006EC" w:rsidP="003006EC">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2C31AA25" w14:textId="77777777" w:rsidR="003006EC" w:rsidRPr="00E16557" w:rsidRDefault="003006EC" w:rsidP="003006EC">
      <w:pPr>
        <w:pStyle w:val="Heading4"/>
      </w:pPr>
      <w:r w:rsidRPr="00E16557">
        <w:t>A waiver would increase leverage over pharma and provide legal certainty needed to spur critical production.</w:t>
      </w:r>
    </w:p>
    <w:p w14:paraId="08590CC2" w14:textId="77777777" w:rsidR="003006EC" w:rsidRPr="00E16557" w:rsidRDefault="003006EC" w:rsidP="003006EC">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5B4B349C" w14:textId="77777777" w:rsidR="003006EC" w:rsidRPr="00D308C4" w:rsidRDefault="003006EC" w:rsidP="003006EC">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6F2E1F1C" w14:textId="77777777" w:rsidR="003006EC" w:rsidRPr="00E16557" w:rsidRDefault="003006EC" w:rsidP="003006EC">
      <w:pPr>
        <w:pStyle w:val="Heading4"/>
      </w:pPr>
      <w:r>
        <w:lastRenderedPageBreak/>
        <w:t>Legal certainty unlocks global production.</w:t>
      </w:r>
    </w:p>
    <w:p w14:paraId="576C583A" w14:textId="77777777" w:rsidR="003006EC" w:rsidRPr="00E16557" w:rsidRDefault="003006EC" w:rsidP="003006EC">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2818800" w14:textId="77777777" w:rsidR="003006EC" w:rsidRPr="0061477E" w:rsidRDefault="003006EC" w:rsidP="003006EC">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6E4B6D85" w14:textId="77777777" w:rsidR="003006EC" w:rsidRPr="007108BA" w:rsidRDefault="003006EC" w:rsidP="003006EC">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5EB57B87" w14:textId="77777777" w:rsidR="003006EC" w:rsidRPr="007108BA" w:rsidRDefault="003006EC" w:rsidP="003006EC">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7350DFC1" w14:textId="77777777" w:rsidR="003006EC" w:rsidRPr="00F828E6" w:rsidRDefault="003006EC" w:rsidP="003006EC">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 xml:space="preserve">expressed </w:t>
      </w:r>
      <w:r w:rsidRPr="007C0DCB">
        <w:rPr>
          <w:rStyle w:val="Emphasis"/>
          <w:highlight w:val="yellow"/>
        </w:rPr>
        <w:lastRenderedPageBreak/>
        <w:t>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0A4D6AB" w14:textId="77777777" w:rsidR="003006EC" w:rsidRDefault="003006EC" w:rsidP="003006EC">
      <w:pPr>
        <w:pStyle w:val="Heading2"/>
      </w:pPr>
      <w:r>
        <w:lastRenderedPageBreak/>
        <w:t>III. Framing</w:t>
      </w:r>
    </w:p>
    <w:p w14:paraId="4ECC12CC" w14:textId="77777777" w:rsidR="003006EC" w:rsidRDefault="003006EC" w:rsidP="003006EC">
      <w:pPr>
        <w:pStyle w:val="Heading4"/>
      </w:pPr>
      <w:r>
        <w:t>The Aff challenges dehumanizing cultural frames that allow us to ignore human suffering. Recognition of common vulnerability is key to a politics that rejects violence, oppression, and indifference.</w:t>
      </w:r>
    </w:p>
    <w:p w14:paraId="05F9EA31" w14:textId="77777777" w:rsidR="003006EC" w:rsidRPr="00896404" w:rsidRDefault="003006EC" w:rsidP="003006EC">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5F99FCB7" w14:textId="77777777" w:rsidR="003006EC" w:rsidRPr="005F464B" w:rsidRDefault="003006EC" w:rsidP="003006EC">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w:t>
      </w:r>
      <w:r w:rsidRPr="0038093A">
        <w:rPr>
          <w:rFonts w:eastAsia="Times New Roman" w:cs="Times New Roman"/>
          <w:sz w:val="12"/>
        </w:rPr>
        <w:t xml:space="preserve">lives considered as "unreal"? Does violence effect that unreality? Does violence take place on the condition of that unreality?¶ If violence is done </w:t>
      </w:r>
      <w:r w:rsidRPr="0038093A">
        <w:rPr>
          <w:sz w:val="12"/>
        </w:rPr>
        <w:t>against those who are unreal, then, from the perspective of violence, it fails to injure or negate those lives since those lives are already negated. But they have a strange way of remaining animated and so must be negated again (and again).</w:t>
      </w:r>
      <w:r w:rsidRPr="0038093A">
        <w:rPr>
          <w:rFonts w:eastAsia="Times New Roman" w:cs="Times New Roman"/>
          <w:sz w:val="2"/>
        </w:rPr>
        <w:t xml:space="preserve"> </w:t>
      </w:r>
      <w:r w:rsidRPr="0038093A">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w:t>
      </w:r>
      <w:r w:rsidRPr="005F464B">
        <w:rPr>
          <w:rFonts w:eastAsia="Times New Roman" w:cs="Times New Roman"/>
          <w:sz w:val="12"/>
        </w:rPr>
        <w:t xml:space="preserv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3180EB0C" w14:textId="77777777" w:rsidR="003006EC" w:rsidRDefault="003006EC" w:rsidP="003006EC">
      <w:pPr>
        <w:spacing w:after="0" w:line="240" w:lineRule="auto"/>
        <w:ind w:left="720" w:right="720"/>
        <w:rPr>
          <w:rFonts w:eastAsia="Times New Roman" w:cs="Times New Roman"/>
          <w:sz w:val="24"/>
        </w:rPr>
      </w:pPr>
    </w:p>
    <w:p w14:paraId="39C5FAC9" w14:textId="77777777" w:rsidR="003006EC" w:rsidRPr="003C5A91" w:rsidRDefault="003006EC" w:rsidP="003006EC">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7B32B92C" w14:textId="77777777" w:rsidR="003006EC" w:rsidRPr="003C5A91" w:rsidRDefault="003006EC" w:rsidP="003006EC">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63F6CA1D" w14:textId="77777777" w:rsidR="003006EC" w:rsidRPr="00DA48B2" w:rsidRDefault="003006EC" w:rsidP="003006EC">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0DB4A191" w14:textId="77777777" w:rsidR="003006EC" w:rsidRDefault="003006EC" w:rsidP="003006EC">
      <w:pPr>
        <w:pStyle w:val="Heading2"/>
        <w:rPr>
          <w:rFonts w:eastAsia="MS Gothic"/>
        </w:rPr>
      </w:pPr>
      <w:r>
        <w:rPr>
          <w:rFonts w:eastAsia="MS Gothic"/>
        </w:rPr>
        <w:lastRenderedPageBreak/>
        <w:t>Underview</w:t>
      </w:r>
    </w:p>
    <w:p w14:paraId="65A6E1C9" w14:textId="77777777" w:rsidR="003006EC" w:rsidRPr="003C5A91" w:rsidRDefault="003006EC" w:rsidP="003006EC">
      <w:pPr>
        <w:keepNext/>
        <w:keepLines/>
        <w:spacing w:before="40" w:after="0"/>
        <w:outlineLvl w:val="3"/>
        <w:rPr>
          <w:rFonts w:eastAsia="MS Gothic"/>
          <w:b/>
          <w:iCs/>
          <w:sz w:val="26"/>
        </w:rPr>
      </w:pPr>
      <w:r w:rsidRPr="003C5A91">
        <w:rPr>
          <w:rFonts w:eastAsia="MS Gothic"/>
          <w:b/>
          <w:iCs/>
          <w:sz w:val="26"/>
        </w:rPr>
        <w:t>Their disads will surely be ridiculous.</w:t>
      </w:r>
    </w:p>
    <w:p w14:paraId="4E30B901" w14:textId="77777777" w:rsidR="003006EC" w:rsidRPr="003C5A91" w:rsidRDefault="003006EC" w:rsidP="003006EC">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3E36452A" w14:textId="77777777" w:rsidR="003006EC" w:rsidRPr="003C5A91" w:rsidRDefault="003006EC" w:rsidP="003006EC">
      <w:pPr>
        <w:rPr>
          <w:rFonts w:eastAsia="Cambria"/>
        </w:rPr>
      </w:pPr>
    </w:p>
    <w:p w14:paraId="43082204" w14:textId="77777777" w:rsidR="003006EC" w:rsidRPr="003C5A91" w:rsidRDefault="003006EC" w:rsidP="003006EC">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2A0DD16A" w14:textId="77777777" w:rsidR="003006EC" w:rsidRPr="003C5A91" w:rsidRDefault="003006EC" w:rsidP="003006EC">
      <w:pPr>
        <w:rPr>
          <w:rFonts w:eastAsia="Cambria"/>
        </w:rPr>
      </w:pPr>
    </w:p>
    <w:p w14:paraId="6F27A0CD" w14:textId="77777777" w:rsidR="003006EC" w:rsidRPr="003C5A91" w:rsidRDefault="003006EC" w:rsidP="003006EC">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5E50DBBF" w14:textId="77777777" w:rsidR="003006EC" w:rsidRPr="003C5A91" w:rsidRDefault="003006EC" w:rsidP="003006EC">
      <w:pPr>
        <w:rPr>
          <w:rFonts w:eastAsia="Cambria"/>
        </w:rPr>
      </w:pPr>
    </w:p>
    <w:p w14:paraId="5F0B1137" w14:textId="77777777" w:rsidR="003006EC" w:rsidRPr="003C5A91" w:rsidRDefault="003006EC" w:rsidP="003006EC">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46A05B39" w14:textId="77777777" w:rsidR="003006EC" w:rsidRPr="003C5A91" w:rsidRDefault="003006EC" w:rsidP="003006EC">
      <w:pPr>
        <w:rPr>
          <w:rFonts w:eastAsia="Cambria"/>
        </w:rPr>
      </w:pPr>
    </w:p>
    <w:p w14:paraId="10D8774C" w14:textId="77777777" w:rsidR="003006EC" w:rsidRDefault="003006EC" w:rsidP="003006EC">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5B654D10" w14:textId="77777777" w:rsidR="003006EC" w:rsidRDefault="003006EC" w:rsidP="003006EC">
      <w:pPr>
        <w:pStyle w:val="Heading4"/>
      </w:pPr>
    </w:p>
    <w:p w14:paraId="584A5054" w14:textId="77777777" w:rsidR="003006EC" w:rsidRPr="006213BA" w:rsidRDefault="003006EC" w:rsidP="003006EC">
      <w:pPr>
        <w:pStyle w:val="Heading4"/>
      </w:pPr>
      <w:r w:rsidRPr="006213BA">
        <w:t>Scholarly discourse and engagement with politics is key to effective structural reform - critique is insufficient.</w:t>
      </w:r>
    </w:p>
    <w:p w14:paraId="35F88779" w14:textId="77777777" w:rsidR="003006EC" w:rsidRPr="00AD1EE8" w:rsidRDefault="003006EC" w:rsidP="003006EC">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1A720872" w14:textId="77777777" w:rsidR="003006EC" w:rsidRDefault="003006EC" w:rsidP="003006EC">
      <w:pPr>
        <w:ind w:left="720"/>
        <w:rPr>
          <w:rFonts w:eastAsia="Cambria"/>
          <w:sz w:val="8"/>
        </w:rPr>
      </w:pPr>
    </w:p>
    <w:p w14:paraId="23BACEF0" w14:textId="77777777" w:rsidR="003006EC" w:rsidRPr="00AD1EE8" w:rsidRDefault="003006EC" w:rsidP="003006EC">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w:t>
      </w:r>
      <w:r w:rsidRPr="00AD1EE8">
        <w:rPr>
          <w:rFonts w:eastAsia="Cambria"/>
          <w:sz w:val="8"/>
        </w:rPr>
        <w:lastRenderedPageBreak/>
        <w:t xml:space="preserve">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50A198A4" w14:textId="77777777" w:rsidR="003006EC" w:rsidRPr="006213BA" w:rsidRDefault="003006EC" w:rsidP="003006EC">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6269A20B" w14:textId="77777777" w:rsidR="003006EC" w:rsidRPr="006213BA" w:rsidRDefault="003006EC" w:rsidP="003006EC">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097A715E" w14:textId="77777777" w:rsidR="003006EC" w:rsidRPr="006213BA" w:rsidRDefault="003006EC" w:rsidP="003006EC">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395BCFCE" w14:textId="77777777" w:rsidR="003006EC" w:rsidRPr="006213BA" w:rsidRDefault="003006EC" w:rsidP="003006EC">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123FF592" w14:textId="77777777" w:rsidR="003006EC" w:rsidRPr="006213BA" w:rsidRDefault="003006EC" w:rsidP="003006EC">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3ABC8C73" w14:textId="77777777" w:rsidR="003006EC" w:rsidRPr="00724829" w:rsidRDefault="003006EC" w:rsidP="003006EC">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w:t>
      </w:r>
      <w:r w:rsidRPr="00542864">
        <w:rPr>
          <w:rFonts w:eastAsia="Cambria"/>
          <w:b/>
          <w:iCs/>
          <w:highlight w:val="yellow"/>
          <w:u w:val="single"/>
        </w:rPr>
        <w:lastRenderedPageBreak/>
        <w:t xml:space="preserve">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It invites 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6E64EA45" w14:textId="77777777" w:rsidR="003006EC" w:rsidRPr="00542864" w:rsidRDefault="003006EC" w:rsidP="003006EC">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307C58BF" w14:textId="77777777" w:rsidR="003006EC" w:rsidRPr="00542864" w:rsidRDefault="003006EC" w:rsidP="003006EC">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2D655EA5" w14:textId="77777777" w:rsidR="003006EC" w:rsidRPr="00542864" w:rsidRDefault="003006EC" w:rsidP="003006EC">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24ECAFD1" w14:textId="77777777" w:rsidR="003006EC" w:rsidRPr="00542864" w:rsidRDefault="003006EC" w:rsidP="003006EC">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2721B088" w14:textId="77777777" w:rsidR="003006EC" w:rsidRPr="00837646" w:rsidRDefault="003006EC" w:rsidP="003006EC">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49219FEE" w14:textId="023E88C9" w:rsidR="00E42E4C" w:rsidRDefault="003006EC" w:rsidP="003006EC">
      <w:pPr>
        <w:pStyle w:val="Heading1"/>
      </w:pPr>
      <w:r>
        <w:lastRenderedPageBreak/>
        <w:t>1ar cards</w:t>
      </w:r>
    </w:p>
    <w:p w14:paraId="34124B35" w14:textId="7534BC23" w:rsidR="003006EC" w:rsidRDefault="003006EC" w:rsidP="003006EC">
      <w:pPr>
        <w:pStyle w:val="Heading2"/>
      </w:pPr>
      <w:r>
        <w:lastRenderedPageBreak/>
        <w:t>China biotech DA</w:t>
      </w:r>
    </w:p>
    <w:p w14:paraId="307181EA" w14:textId="77777777" w:rsidR="00D76D06" w:rsidRDefault="00D76D06" w:rsidP="00D76D06">
      <w:pPr>
        <w:pStyle w:val="Heading4"/>
        <w:numPr>
          <w:ilvl w:val="0"/>
          <w:numId w:val="12"/>
        </w:numPr>
        <w:tabs>
          <w:tab w:val="num" w:pos="360"/>
        </w:tabs>
        <w:ind w:left="0" w:firstLine="0"/>
      </w:pPr>
      <w:r>
        <w:t>Nonunique- China is already developing mRNA vaccine technology and signed contracts with IP holders of the COVID vaccine.</w:t>
      </w:r>
    </w:p>
    <w:p w14:paraId="0D91C3A7" w14:textId="77777777" w:rsidR="00D76D06" w:rsidRDefault="00D76D06" w:rsidP="00D76D06">
      <w:r w:rsidRPr="00A17034">
        <w:rPr>
          <w:rStyle w:val="Style13ptBold"/>
        </w:rPr>
        <w:t xml:space="preserve">Public Citizen </w:t>
      </w:r>
      <w:r>
        <w:rPr>
          <w:rStyle w:val="Style13ptBold"/>
        </w:rPr>
        <w:t>4</w:t>
      </w:r>
      <w:r w:rsidRPr="00A17034">
        <w:rPr>
          <w:rStyle w:val="Style13ptBold"/>
        </w:rPr>
        <w:t>/</w:t>
      </w:r>
      <w:r>
        <w:rPr>
          <w:rStyle w:val="Style13ptBold"/>
        </w:rPr>
        <w:t>12</w:t>
      </w:r>
      <w:r w:rsidRPr="00A17034">
        <w:rPr>
          <w:rStyle w:val="Style13ptBold"/>
        </w:rPr>
        <w:t xml:space="preserve"> - </w:t>
      </w:r>
      <w:r>
        <w:t>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t>
      </w:r>
      <w:r w:rsidRPr="00AB79B6">
        <w:t>Waiver of WTO Protections for Big Pharma Will Help U.S. Economic Recovery and Boost U.S. Employment</w:t>
      </w:r>
      <w:r>
        <w:t xml:space="preserve">,” </w:t>
      </w:r>
      <w:r w:rsidRPr="009105DC">
        <w:rPr>
          <w:i/>
        </w:rPr>
        <w:t>Public Citizen Global Trade Watch Series</w:t>
      </w:r>
      <w:r>
        <w:t>.  April 12, 2021. Accessed Aug. 12, 2021. &lt;</w:t>
      </w:r>
      <w:r w:rsidRPr="00AB79B6">
        <w:t xml:space="preserve"> https://www.citizen.org/article/waiver-of-wto-protections-for-big-pharma-will-help-u-s-economic-recovery-and-boost-u-s-employment/</w:t>
      </w:r>
      <w:r>
        <w:t>&gt; AT</w:t>
      </w:r>
    </w:p>
    <w:p w14:paraId="2C0BA8BF" w14:textId="77777777" w:rsidR="00D76D06" w:rsidRPr="00B80A06" w:rsidRDefault="00D76D06" w:rsidP="00D76D06">
      <w:pPr>
        <w:ind w:left="360"/>
        <w:rPr>
          <w:u w:val="single"/>
        </w:rPr>
      </w:pPr>
      <w:r w:rsidRPr="001B3085">
        <w:rPr>
          <w:sz w:val="12"/>
        </w:rPr>
        <w:t xml:space="preserve">As support for the waiver grows, Big Pharma’s latest redirect effort is to reframe the COVID vaccine and treatments debate as a U.S. v. China fight, when in reality the lineup is 100 nations supporting a waiver versus a few WTO members opposing. </w:t>
      </w:r>
      <w:r w:rsidRPr="001B3085">
        <w:rPr>
          <w:u w:val="single"/>
        </w:rPr>
        <w:t>Given the lack of access to COVID-19 vaccines and treatments in most of the developing world poses dire health and economic threats</w:t>
      </w:r>
      <w:r w:rsidRPr="001B3085">
        <w:rPr>
          <w:sz w:val="12"/>
        </w:rPr>
        <w:t xml:space="preserve"> to the United States and people worldwide, </w:t>
      </w:r>
      <w:r w:rsidRPr="001B3085">
        <w:rPr>
          <w:u w:val="single"/>
        </w:rPr>
        <w:t>namely of the emergence of a vaccine-resistant or more lethal or infectious variant</w:t>
      </w:r>
      <w:r w:rsidRPr="001B3085">
        <w:rPr>
          <w:sz w:val="12"/>
        </w:rPr>
        <w:t xml:space="preserve">, pharmaceutical interests are trying to redirect the debate. Their latest U.S. argument is that the waiver would help China take “U.S. mRNA technology” and produce mRNA vaccines exploiting U.S. tech. The reality is that </w:t>
      </w:r>
      <w:r w:rsidRPr="001B3085">
        <w:rPr>
          <w:highlight w:val="yellow"/>
          <w:u w:val="single"/>
        </w:rPr>
        <w:t>mRNA research has been done for decades</w:t>
      </w:r>
      <w:r w:rsidRPr="001B3085">
        <w:rPr>
          <w:sz w:val="12"/>
        </w:rPr>
        <w:t xml:space="preserve"> in developing and developed nations all over the </w:t>
      </w:r>
      <w:r w:rsidRPr="001B3085">
        <w:rPr>
          <w:u w:val="single"/>
        </w:rPr>
        <w:t>world and is not something that U.S. firms “own.”</w:t>
      </w:r>
      <w:r w:rsidRPr="001B3085">
        <w:rPr>
          <w:sz w:val="12"/>
        </w:rPr>
        <w:t xml:space="preserve"> • </w:t>
      </w:r>
      <w:r w:rsidRPr="001B3085">
        <w:rPr>
          <w:highlight w:val="yellow"/>
          <w:u w:val="single"/>
        </w:rPr>
        <w:t>China</w:t>
      </w:r>
      <w:r w:rsidRPr="001B3085">
        <w:rPr>
          <w:u w:val="single"/>
        </w:rPr>
        <w:t xml:space="preserve"> already </w:t>
      </w:r>
      <w:r w:rsidRPr="001B3085">
        <w:rPr>
          <w:highlight w:val="yellow"/>
          <w:u w:val="single"/>
        </w:rPr>
        <w:t>has</w:t>
      </w:r>
      <w:r w:rsidRPr="001B3085">
        <w:rPr>
          <w:u w:val="single"/>
        </w:rPr>
        <w:t xml:space="preserve"> </w:t>
      </w:r>
      <w:r w:rsidRPr="001B3085">
        <w:rPr>
          <w:highlight w:val="yellow"/>
          <w:u w:val="single"/>
        </w:rPr>
        <w:t>been developing its own COVID-19 mRNA vaccine</w:t>
      </w:r>
      <w:r w:rsidRPr="001B3085">
        <w:rPr>
          <w:sz w:val="12"/>
        </w:rPr>
        <w:t xml:space="preserve">, one that can be stored at refrigerator temperature. Clinical trials on it started in late 2020. </w:t>
      </w:r>
      <w:r w:rsidRPr="001B3085">
        <w:rPr>
          <w:highlight w:val="yellow"/>
          <w:u w:val="single"/>
        </w:rPr>
        <w:t>Three</w:t>
      </w:r>
      <w:r w:rsidRPr="001B3085">
        <w:rPr>
          <w:u w:val="single"/>
        </w:rPr>
        <w:t xml:space="preserve"> </w:t>
      </w:r>
      <w:r w:rsidRPr="001B3085">
        <w:rPr>
          <w:highlight w:val="yellow"/>
          <w:u w:val="single"/>
        </w:rPr>
        <w:t>Chinese firms</w:t>
      </w:r>
      <w:r w:rsidRPr="001B3085">
        <w:rPr>
          <w:u w:val="single"/>
        </w:rPr>
        <w:t xml:space="preserve"> </w:t>
      </w:r>
      <w:r w:rsidRPr="001B3085">
        <w:rPr>
          <w:highlight w:val="yellow"/>
          <w:u w:val="single"/>
        </w:rPr>
        <w:t>are</w:t>
      </w:r>
      <w:r w:rsidRPr="001B3085">
        <w:rPr>
          <w:u w:val="single"/>
        </w:rPr>
        <w:t xml:space="preserve"> </w:t>
      </w:r>
      <w:r w:rsidRPr="001B3085">
        <w:rPr>
          <w:highlight w:val="yellow"/>
          <w:u w:val="single"/>
        </w:rPr>
        <w:t>building</w:t>
      </w:r>
      <w:r w:rsidRPr="001B3085">
        <w:rPr>
          <w:u w:val="single"/>
        </w:rPr>
        <w:t xml:space="preserve"> </w:t>
      </w:r>
      <w:r w:rsidRPr="001B3085">
        <w:rPr>
          <w:highlight w:val="yellow"/>
          <w:u w:val="single"/>
        </w:rPr>
        <w:t>a manufacturing plant for that vaccine</w:t>
      </w:r>
      <w:r w:rsidRPr="001B3085">
        <w:rPr>
          <w:u w:val="single"/>
        </w:rPr>
        <w:t>.</w:t>
      </w:r>
      <w:r w:rsidRPr="001B3085">
        <w:rPr>
          <w:sz w:val="12"/>
        </w:rPr>
        <w:t xml:space="preserve"> As well, </w:t>
      </w:r>
      <w:r w:rsidRPr="001B3085">
        <w:rPr>
          <w:highlight w:val="yellow"/>
          <w:u w:val="single"/>
        </w:rPr>
        <w:t>BioNTech</w:t>
      </w:r>
      <w:r w:rsidRPr="001B3085">
        <w:rPr>
          <w:sz w:val="12"/>
        </w:rPr>
        <w:t xml:space="preserve">, which is the IP holder of the mRNA innovations underlying the Pfizer vaccine, </w:t>
      </w:r>
      <w:r w:rsidRPr="001B3085">
        <w:rPr>
          <w:highlight w:val="yellow"/>
          <w:u w:val="single"/>
        </w:rPr>
        <w:t>already</w:t>
      </w:r>
      <w:r w:rsidRPr="001B3085">
        <w:rPr>
          <w:u w:val="single"/>
        </w:rPr>
        <w:t xml:space="preserve"> </w:t>
      </w:r>
      <w:r w:rsidRPr="001B3085">
        <w:rPr>
          <w:highlight w:val="yellow"/>
          <w:u w:val="single"/>
        </w:rPr>
        <w:t>has a contract with Chinese Fosun Pharmaceuticals</w:t>
      </w:r>
      <w:r w:rsidRPr="001B3085">
        <w:rPr>
          <w:sz w:val="12"/>
        </w:rPr>
        <w:t xml:space="preserve"> to make the Pfizer/BioNtech mRNA vaccines in China. </w:t>
      </w:r>
      <w:r w:rsidRPr="001B3085">
        <w:rPr>
          <w:u w:val="single"/>
        </w:rPr>
        <w:t>• Research on the mRNA platform has been largely government-financed.</w:t>
      </w:r>
      <w:r w:rsidRPr="001B3085">
        <w:rPr>
          <w:sz w:val="12"/>
        </w:rPr>
        <w:t xml:space="preserve"> The S. National Institutes of Health even owns some of the IP underlying the Moderna vaccine, while BioNTech’s innovations (which Pfizer has licensed) were supported by the German government and also EU funding. This research and that undertaken in China and other nations has been widely shared in academic journals. The </w:t>
      </w:r>
      <w:r w:rsidRPr="001B3085">
        <w:rPr>
          <w:highlight w:val="yellow"/>
          <w:u w:val="single"/>
        </w:rPr>
        <w:t>government-funded scientists already are building off of each other’s work</w:t>
      </w:r>
    </w:p>
    <w:p w14:paraId="29511F7C" w14:textId="77777777" w:rsidR="00D76D06" w:rsidRDefault="00D76D06" w:rsidP="00D76D06">
      <w:pPr>
        <w:pStyle w:val="Heading4"/>
        <w:numPr>
          <w:ilvl w:val="0"/>
          <w:numId w:val="12"/>
        </w:numPr>
        <w:tabs>
          <w:tab w:val="num" w:pos="360"/>
        </w:tabs>
        <w:ind w:left="0" w:firstLine="0"/>
      </w:pPr>
      <w:r>
        <w:t xml:space="preserve">Bioterrorism is unlikely – technical difficulties mean that even a successful attack wouldn’t create a pandemic scenario </w:t>
      </w:r>
    </w:p>
    <w:p w14:paraId="2831A932" w14:textId="77777777" w:rsidR="00D76D06" w:rsidRPr="0087183F" w:rsidRDefault="00D76D06" w:rsidP="00D76D06">
      <w:r w:rsidRPr="00907FC6">
        <w:rPr>
          <w:b/>
          <w:bCs/>
          <w:sz w:val="24"/>
          <w:szCs w:val="28"/>
        </w:rPr>
        <w:t>Blum and Neumann 2020</w:t>
      </w:r>
      <w:r w:rsidRPr="00907FC6">
        <w:rPr>
          <w:sz w:val="24"/>
          <w:szCs w:val="28"/>
        </w:rPr>
        <w:t xml:space="preserve"> </w:t>
      </w:r>
      <w:r>
        <w:t xml:space="preserve">[Marc-Michael Blum, Chemical Weapons Expert and head of the Organisation for the Prohibition of Chemical Weapons Laboratory, and Peter Neumann, </w:t>
      </w:r>
      <w:r w:rsidRPr="00907FC6">
        <w:t>Professor of Security Studies at the Department of War Studies</w:t>
      </w:r>
      <w:r>
        <w:t xml:space="preserve"> at</w:t>
      </w:r>
      <w:r w:rsidRPr="00907FC6">
        <w:t xml:space="preserve"> King’s College London</w:t>
      </w:r>
      <w:r>
        <w:t xml:space="preserve">. June 22, 2020, “Corona and Bioterrorism: How Serious is the Threat?” War On The Rocks, </w:t>
      </w:r>
      <w:hyperlink r:id="rId46" w:history="1">
        <w:r w:rsidRPr="00184A61">
          <w:rPr>
            <w:rStyle w:val="Hyperlink"/>
          </w:rPr>
          <w:t>https://warontherocks.com/2020/06/corona-and-bioterrorism-how-serious-is-the-threat/</w:t>
        </w:r>
      </w:hyperlink>
      <w:r>
        <w:t xml:space="preserve">] </w:t>
      </w:r>
    </w:p>
    <w:p w14:paraId="64774737" w14:textId="02BDC580" w:rsidR="00D76D06" w:rsidRPr="00D76D06" w:rsidRDefault="00D76D06" w:rsidP="00D76D06">
      <w:pPr>
        <w:rPr>
          <w:u w:val="single"/>
        </w:rPr>
      </w:pPr>
      <w:r w:rsidRPr="00560FFA">
        <w:rPr>
          <w:sz w:val="16"/>
        </w:rPr>
        <w:t xml:space="preserve">Technical Challenges </w:t>
      </w:r>
      <w:r w:rsidRPr="00560FFA">
        <w:rPr>
          <w:rStyle w:val="StyleUnderline"/>
        </w:rPr>
        <w:t xml:space="preserve">Ivins’ case helps to explain why </w:t>
      </w:r>
      <w:r w:rsidRPr="003266AE">
        <w:rPr>
          <w:rStyle w:val="StyleUnderline"/>
          <w:highlight w:val="yellow"/>
        </w:rPr>
        <w:t>so many would-be bioterrorists have failed. At a technical level, launching a</w:t>
      </w:r>
      <w:r w:rsidRPr="00560FFA">
        <w:rPr>
          <w:rStyle w:val="StyleUnderline"/>
        </w:rPr>
        <w:t xml:space="preserve"> sophisticated, </w:t>
      </w:r>
      <w:r w:rsidRPr="003266AE">
        <w:rPr>
          <w:rStyle w:val="StyleUnderline"/>
          <w:highlight w:val="yellow"/>
        </w:rPr>
        <w:t>large-scale bioterrorist attack involves a toxin or a pathogen</w:t>
      </w:r>
      <w:r w:rsidRPr="00560FFA">
        <w:rPr>
          <w:rStyle w:val="StyleUnderline"/>
        </w:rPr>
        <w:t xml:space="preserve"> — generally a bacterium or a virus </w:t>
      </w:r>
      <w:r w:rsidRPr="003266AE">
        <w:rPr>
          <w:rStyle w:val="StyleUnderline"/>
          <w:highlight w:val="yellow"/>
        </w:rPr>
        <w:t>— which needs to be isolated and disseminated. But this is more difficult than it seems</w:t>
      </w:r>
      <w:r w:rsidRPr="00560FFA">
        <w:rPr>
          <w:rStyle w:val="StyleUnderline"/>
        </w:rPr>
        <w:t>. As well as advanced training in biology or chemistry</w:t>
      </w:r>
      <w:r w:rsidRPr="003266AE">
        <w:rPr>
          <w:rStyle w:val="StyleUnderline"/>
          <w:highlight w:val="yellow"/>
        </w:rPr>
        <w:t>, isolating the agent requires significant experience</w:t>
      </w:r>
      <w:r w:rsidRPr="00560FFA">
        <w:rPr>
          <w:rStyle w:val="StyleUnderline"/>
        </w:rPr>
        <w:t>.</w:t>
      </w:r>
      <w:r w:rsidRPr="00560FFA">
        <w:rPr>
          <w:sz w:val="16"/>
        </w:rPr>
        <w:t xml:space="preserve"> It also has to be done in a safe, contained environment, to stop it from spreading within the terrorist group. Contrary to what al-Qaeda said in one of its online magazines, you can’t just make a (biological) weapon “in the kitchen of your mom!” In addition, there is the challenge of dissemination. </w:t>
      </w:r>
      <w:r w:rsidRPr="003266AE">
        <w:rPr>
          <w:rStyle w:val="StyleUnderline"/>
          <w:highlight w:val="yellow"/>
        </w:rPr>
        <w:t>Unless the agent is super-contagious, a powerful biological attack relies on a large number of initial infections in perfect conditions</w:t>
      </w:r>
      <w:r w:rsidRPr="00560FFA">
        <w:rPr>
          <w:sz w:val="16"/>
        </w:rPr>
        <w:t xml:space="preserve">. In the case of the bacterium anthrax, for example, only spores of a particular size are likely to be effective in certain kinds of weather. State-sponsored programs often needed years of testing </w:t>
      </w:r>
      <w:r w:rsidRPr="00560FFA">
        <w:rPr>
          <w:sz w:val="16"/>
        </w:rPr>
        <w:lastRenderedPageBreak/>
        <w:t xml:space="preserve">and experimentation to understand how their weapons could be used. </w:t>
      </w:r>
      <w:r w:rsidRPr="00560FFA">
        <w:rPr>
          <w:rStyle w:val="StyleUnderline"/>
        </w:rPr>
        <w:t xml:space="preserve">Though not impossible, </w:t>
      </w:r>
      <w:r w:rsidRPr="003266AE">
        <w:rPr>
          <w:rStyle w:val="StyleUnderline"/>
          <w:highlight w:val="yellow"/>
        </w:rPr>
        <w:t xml:space="preserve">it is unlikely that terrorist groups possess the resources, stable environment, and patience to do likewise. </w:t>
      </w:r>
      <w:r w:rsidRPr="003266AE">
        <w:rPr>
          <w:sz w:val="16"/>
        </w:rPr>
        <w:t xml:space="preserve">Doomsday Scenarios </w:t>
      </w:r>
      <w:r w:rsidRPr="003266AE">
        <w:rPr>
          <w:rStyle w:val="StyleUnderline"/>
          <w:highlight w:val="yellow"/>
        </w:rPr>
        <w:t>Even if terrorists somehow succeeded, it is nearly inconceivable that the resulting “weapon” would be as powerful as the recent coronavirus</w:t>
      </w:r>
      <w:r w:rsidRPr="00560FFA">
        <w:rPr>
          <w:rStyle w:val="StyleUnderline"/>
        </w:rPr>
        <w:t>, SARS-CoV-2.</w:t>
      </w:r>
      <w:r w:rsidRPr="00560FFA">
        <w:rPr>
          <w:sz w:val="16"/>
        </w:rPr>
        <w:t xml:space="preserve"> One of its uniquely devastating features has been that people are infectious while experiencing no symptoms. As it spread across the globe, there was no treatment, no vaccine, an incomplete understanding of its pathological modes of action, and no easy, cheap and widely available testing. It was the viral equivalent of a “zero-day exploit” — a cyber-attack that happens before any patch is available. </w:t>
      </w:r>
      <w:r w:rsidRPr="003266AE">
        <w:rPr>
          <w:rStyle w:val="StyleUnderline"/>
          <w:highlight w:val="yellow"/>
        </w:rPr>
        <w:t>None of the viruses on the U.S. Centers for Disease Control and Prevention’s list of the most dangerous biological agents could be easily “weaponized</w:t>
      </w:r>
      <w:r w:rsidRPr="00560FFA">
        <w:rPr>
          <w:rStyle w:val="StyleUnderline"/>
        </w:rPr>
        <w:t>” or would have the same, devastating effects as SARS-CoV-2.</w:t>
      </w:r>
      <w:r w:rsidRPr="00560FFA">
        <w:rPr>
          <w:sz w:val="16"/>
        </w:rPr>
        <w:t xml:space="preserve"> Pathogenic viruses such as smallpox, Ebola, Marburg, and Lassa are extremely hard to find, isolate, and spread. Botulinum and ricin are dangerous toxins, but not contagious, while Tularemia cannot be transmitted from human to human. The plague is, of course, capable of causing pandemics, but most countries are nowadays well prepared for this particular virus, and will be able to limit — and cope with — localized outbreaks. This leaves only anthrax, a soil bacterium which is relatively easy to obtain. Even so, isolating a highly pathogenic strain is difficult. </w:t>
      </w:r>
      <w:r w:rsidRPr="00560FFA">
        <w:rPr>
          <w:rStyle w:val="StyleUnderline"/>
        </w:rPr>
        <w:t xml:space="preserve">More importantly, </w:t>
      </w:r>
      <w:r w:rsidRPr="003266AE">
        <w:rPr>
          <w:rStyle w:val="StyleUnderline"/>
          <w:highlight w:val="yellow"/>
        </w:rPr>
        <w:t>anthrax is not contagious</w:t>
      </w:r>
      <w:r w:rsidRPr="003266AE">
        <w:rPr>
          <w:rStyle w:val="StyleUnderline"/>
        </w:rPr>
        <w:t xml:space="preserve">, </w:t>
      </w:r>
      <w:r w:rsidRPr="003266AE">
        <w:rPr>
          <w:rStyle w:val="StyleUnderline"/>
          <w:highlight w:val="yellow"/>
        </w:rPr>
        <w:t>and</w:t>
      </w:r>
      <w:r w:rsidRPr="00560FFA">
        <w:rPr>
          <w:rStyle w:val="StyleUnderline"/>
        </w:rPr>
        <w:t xml:space="preserve"> while its spores are durable and affected areas can be hard to de-contaminate, it </w:t>
      </w:r>
      <w:r w:rsidRPr="003266AE">
        <w:rPr>
          <w:rStyle w:val="StyleUnderline"/>
          <w:highlight w:val="yellow"/>
        </w:rPr>
        <w:t>is unable to spread on its own</w:t>
      </w:r>
      <w:r w:rsidRPr="003266AE">
        <w:rPr>
          <w:rStyle w:val="StyleUnderline"/>
        </w:rPr>
        <w:t>.</w:t>
      </w:r>
      <w:r w:rsidRPr="00560FFA">
        <w:rPr>
          <w:sz w:val="16"/>
        </w:rPr>
        <w:t xml:space="preserve"> Regarding SARS-CoV-2, it is important to distinguish between the possibility that the virus occurred naturally and escaped from a laboratory, and the idea that it was engineered for maximum infectiousness and deliberately released. The first remains a possibility, although other explanations are equally — if not more — plausible, while the second has been debunked by a comprehensive examination in the journal Nature Medicine, which concluded that SARS-CoV-2 was “not a laboratory construct or a purposefully manipulated virus.” The chances that terrorists would be capable of engineering a virus such as SARS-CoV-2 without access to a state’s resources are virtually zero. If anything, the possibility of a lab escape — however remote — highlights the importance of biosafety. While governments have paid much attention to laboratories with the highest biosafety level (level 4), work on bat-born coronaviruses is regularly performed at lower levels (level 3, and even level 2), and should instead be subject to similar safety requirements.</w:t>
      </w:r>
    </w:p>
    <w:p w14:paraId="03227F3B" w14:textId="77777777" w:rsidR="003006EC" w:rsidRPr="003006EC" w:rsidRDefault="003006EC" w:rsidP="003006EC"/>
    <w:sectPr w:rsidR="003006EC" w:rsidRPr="003006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87E85"/>
    <w:multiLevelType w:val="hybridMultilevel"/>
    <w:tmpl w:val="9808F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06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6EC"/>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D0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386E35"/>
  <w14:defaultImageDpi w14:val="300"/>
  <w15:docId w15:val="{8EED15E0-92D8-8141-9CD6-4BC51C0F3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06E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006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06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06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9"/>
    <w:unhideWhenUsed/>
    <w:qFormat/>
    <w:rsid w:val="003006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06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06EC"/>
  </w:style>
  <w:style w:type="character" w:customStyle="1" w:styleId="Heading1Char">
    <w:name w:val="Heading 1 Char"/>
    <w:aliases w:val="Pocket Char"/>
    <w:basedOn w:val="DefaultParagraphFont"/>
    <w:link w:val="Heading1"/>
    <w:uiPriority w:val="9"/>
    <w:rsid w:val="003006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06E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06E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006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06EC"/>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3006EC"/>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3006E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006E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3006EC"/>
    <w:rPr>
      <w:color w:val="auto"/>
      <w:u w:val="none"/>
    </w:rPr>
  </w:style>
  <w:style w:type="paragraph" w:styleId="DocumentMap">
    <w:name w:val="Document Map"/>
    <w:basedOn w:val="Normal"/>
    <w:link w:val="DocumentMapChar"/>
    <w:uiPriority w:val="99"/>
    <w:semiHidden/>
    <w:unhideWhenUsed/>
    <w:rsid w:val="003006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06EC"/>
    <w:rPr>
      <w:rFonts w:ascii="Lucida Grande" w:hAnsi="Lucida Grande" w:cs="Lucida Grande"/>
    </w:rPr>
  </w:style>
  <w:style w:type="paragraph" w:customStyle="1" w:styleId="textbold">
    <w:name w:val="text bold"/>
    <w:basedOn w:val="Normal"/>
    <w:link w:val="Emphasis"/>
    <w:uiPriority w:val="20"/>
    <w:qFormat/>
    <w:rsid w:val="003006E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hyperlink" Target="https://warontherocks.com/2020/06/corona-and-bioterrorism-how-serious-is-the-threat/" TargetMode="Externa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12165</Words>
  <Characters>69344</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2021-09-18T20:55:00Z</dcterms:created>
  <dcterms:modified xsi:type="dcterms:W3CDTF">2021-09-18T20:56:00Z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