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86294" w14:textId="77777777" w:rsidR="00E95919" w:rsidRPr="003714CF" w:rsidRDefault="00E95919" w:rsidP="00E95919">
      <w:pPr>
        <w:pStyle w:val="Heading1"/>
        <w:rPr>
          <w:rFonts w:cs="Calibri"/>
        </w:rPr>
      </w:pPr>
      <w:r w:rsidRPr="003714CF">
        <w:rPr>
          <w:rFonts w:cs="Calibri"/>
        </w:rPr>
        <w:t>AC</w:t>
      </w:r>
    </w:p>
    <w:p w14:paraId="7BFA8F18" w14:textId="77777777" w:rsidR="00E95919" w:rsidRPr="00AE1703" w:rsidRDefault="00E95919" w:rsidP="00E95919">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565088EC" w14:textId="77777777" w:rsidR="00E95919" w:rsidRPr="00CA1BD9" w:rsidRDefault="00E95919" w:rsidP="00E95919">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6AA1B3A7" w14:textId="77777777" w:rsidR="00E95919" w:rsidRPr="008B349A" w:rsidRDefault="00E95919" w:rsidP="00E95919">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5875F96A" w14:textId="77777777" w:rsidR="00E95919" w:rsidRDefault="00E95919" w:rsidP="00E95919"/>
    <w:p w14:paraId="40EE38FD" w14:textId="77777777" w:rsidR="00E95919" w:rsidRPr="003714CF" w:rsidRDefault="00E95919" w:rsidP="00E95919">
      <w:pPr>
        <w:pStyle w:val="Heading3"/>
        <w:rPr>
          <w:rFonts w:cs="Calibri"/>
        </w:rPr>
      </w:pPr>
      <w:r w:rsidRPr="003714CF">
        <w:rPr>
          <w:rFonts w:cs="Calibri"/>
        </w:rPr>
        <w:lastRenderedPageBreak/>
        <w:t>Advantage 1: Space Debris</w:t>
      </w:r>
    </w:p>
    <w:p w14:paraId="0E0D27D1" w14:textId="77777777" w:rsidR="00E95919" w:rsidRPr="003714CF" w:rsidRDefault="00E95919" w:rsidP="00E95919">
      <w:pPr>
        <w:pStyle w:val="Heading4"/>
        <w:rPr>
          <w:rFonts w:cs="Calibri"/>
        </w:rPr>
      </w:pPr>
      <w:r w:rsidRPr="003714CF">
        <w:rPr>
          <w:rFonts w:cs="Calibri"/>
        </w:rPr>
        <w:t xml:space="preserve">Increasing space debris levels inevitably set off a chain of collisions. </w:t>
      </w:r>
    </w:p>
    <w:p w14:paraId="29BD319A" w14:textId="77777777" w:rsidR="00E95919" w:rsidRPr="003714CF" w:rsidRDefault="00E95919" w:rsidP="00E95919">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5A24AF05" w14:textId="77777777" w:rsidR="00E95919" w:rsidRPr="003714CF" w:rsidRDefault="00E95919" w:rsidP="00E95919">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4C5B36FF" w14:textId="77777777" w:rsidR="00E95919" w:rsidRPr="003714CF" w:rsidRDefault="00E95919" w:rsidP="00E95919">
      <w:pPr>
        <w:pStyle w:val="Heading4"/>
        <w:rPr>
          <w:rFonts w:cs="Calibri"/>
        </w:rPr>
      </w:pPr>
      <w:r w:rsidRPr="003714CF">
        <w:rPr>
          <w:rFonts w:cs="Calibri"/>
        </w:rPr>
        <w:t>Collisions make orbit unusable, causing nuclear war, mass starvation, and economic destruction. Jonson 13</w:t>
      </w:r>
    </w:p>
    <w:p w14:paraId="6259A8DB" w14:textId="77777777" w:rsidR="00E95919" w:rsidRPr="003714CF" w:rsidRDefault="00E95919" w:rsidP="00E95919">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24AFB9B2" w14:textId="77777777" w:rsidR="00E95919" w:rsidRPr="003714CF" w:rsidRDefault="00E95919" w:rsidP="00E95919">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47396DE" w14:textId="77777777" w:rsidR="00E95919" w:rsidRPr="003714CF" w:rsidRDefault="00E95919" w:rsidP="00E95919">
      <w:pPr>
        <w:rPr>
          <w:sz w:val="12"/>
        </w:rPr>
      </w:pPr>
    </w:p>
    <w:p w14:paraId="616F74C6" w14:textId="77777777" w:rsidR="00E95919" w:rsidRDefault="00E95919" w:rsidP="00E95919">
      <w:pPr>
        <w:pStyle w:val="Heading3"/>
        <w:rPr>
          <w:rFonts w:cs="Calibri"/>
        </w:rPr>
      </w:pPr>
      <w:r w:rsidRPr="003714CF">
        <w:rPr>
          <w:rFonts w:cs="Calibri"/>
        </w:rPr>
        <w:lastRenderedPageBreak/>
        <w:t>Advantage 2: Corporate Colonialism</w:t>
      </w:r>
    </w:p>
    <w:p w14:paraId="0BDFBDA1" w14:textId="77777777" w:rsidR="00E95919" w:rsidRPr="002401A3" w:rsidRDefault="00E95919" w:rsidP="00E95919">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17A79F8" w14:textId="77777777" w:rsidR="00E95919" w:rsidRPr="002401A3" w:rsidRDefault="00E95919" w:rsidP="00E95919">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2A5E693" w14:textId="77777777" w:rsidR="00E95919" w:rsidRPr="004F3D18" w:rsidRDefault="00E95919" w:rsidP="00E95919">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618B7A2E" w14:textId="77777777" w:rsidR="00E95919" w:rsidRPr="003714CF" w:rsidRDefault="00E95919" w:rsidP="00E95919">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3EDB1C64" w14:textId="77777777" w:rsidR="00E95919" w:rsidRPr="003714CF" w:rsidRDefault="00E95919" w:rsidP="00E95919">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76DCEE75" w14:textId="77777777" w:rsidR="00E95919" w:rsidRPr="003714CF" w:rsidRDefault="00E95919" w:rsidP="00E95919">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14B4FF4F" w14:textId="77777777" w:rsidR="00E95919" w:rsidRPr="003714CF" w:rsidRDefault="00E95919" w:rsidP="00E95919">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7EB33676" w14:textId="77777777" w:rsidR="00E95919" w:rsidRPr="003714CF" w:rsidRDefault="00E95919" w:rsidP="00E95919">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3C3D58FC" w14:textId="77777777" w:rsidR="00E95919" w:rsidRPr="003714CF" w:rsidRDefault="00E95919" w:rsidP="00E95919">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88B88CD" w14:textId="77777777" w:rsidR="00E95919" w:rsidRPr="002401A3" w:rsidRDefault="00E95919" w:rsidP="00E95919">
      <w:pPr>
        <w:pStyle w:val="Heading3"/>
        <w:rPr>
          <w:rFonts w:cs="Calibri"/>
        </w:rPr>
      </w:pPr>
      <w:r w:rsidRPr="002401A3">
        <w:rPr>
          <w:rFonts w:cs="Calibri"/>
        </w:rPr>
        <w:lastRenderedPageBreak/>
        <w:t>Plan</w:t>
      </w:r>
      <w:r>
        <w:rPr>
          <w:rFonts w:cs="Calibri"/>
        </w:rPr>
        <w:t>/Solvency</w:t>
      </w:r>
    </w:p>
    <w:p w14:paraId="3C0BDE5D" w14:textId="77777777" w:rsidR="00E95919" w:rsidRPr="00E14A91" w:rsidRDefault="00E95919" w:rsidP="00E95919">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2E5E70F9" w14:textId="77777777" w:rsidR="00E95919" w:rsidRPr="001A6991" w:rsidRDefault="00E95919" w:rsidP="00E95919">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7820DC77" w14:textId="77777777" w:rsidR="00E95919" w:rsidRDefault="00E95919" w:rsidP="00E95919">
      <w:pPr>
        <w:pStyle w:val="Heading4"/>
      </w:pPr>
      <w:r>
        <w:t>The aff:</w:t>
      </w:r>
    </w:p>
    <w:p w14:paraId="1FB6C388" w14:textId="77777777" w:rsidR="00E95919" w:rsidRPr="003955A7" w:rsidRDefault="00E95919" w:rsidP="00E95919">
      <w:pPr>
        <w:pStyle w:val="Heading4"/>
        <w:numPr>
          <w:ilvl w:val="0"/>
          <w:numId w:val="12"/>
        </w:numPr>
        <w:tabs>
          <w:tab w:val="num" w:pos="360"/>
        </w:tabs>
        <w:ind w:left="0" w:firstLine="0"/>
      </w:pPr>
      <w:r>
        <w:t>solves debris and space colonialism by ensuring the sustainable and equitable use of outer space resources.</w:t>
      </w:r>
    </w:p>
    <w:p w14:paraId="41780D73" w14:textId="77777777" w:rsidR="00E95919" w:rsidRDefault="00E95919" w:rsidP="00E95919">
      <w:pPr>
        <w:pStyle w:val="ListParagraph"/>
        <w:numPr>
          <w:ilvl w:val="0"/>
          <w:numId w:val="12"/>
        </w:numPr>
        <w:rPr>
          <w:rStyle w:val="Style13ptBold"/>
        </w:rPr>
      </w:pPr>
      <w:r>
        <w:rPr>
          <w:rStyle w:val="Style13ptBold"/>
        </w:rPr>
        <w:t>prevents circumvention by aligning the interests of state parties.</w:t>
      </w:r>
    </w:p>
    <w:p w14:paraId="35A8D4D6" w14:textId="77777777" w:rsidR="00E95919" w:rsidRPr="005D41A1" w:rsidRDefault="00E95919" w:rsidP="00E95919">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28F9EA57" w14:textId="77777777" w:rsidR="00E95919" w:rsidRDefault="00E95919" w:rsidP="00E95919">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169FC1DB" w14:textId="77777777" w:rsidR="00E95919" w:rsidRPr="009C185C" w:rsidRDefault="00E95919" w:rsidP="00E95919">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w:t>
      </w:r>
      <w:r w:rsidRPr="008D4F27">
        <w:rPr>
          <w:rStyle w:val="Emphasis"/>
        </w:rPr>
        <w:t xml:space="preserve">the </w:t>
      </w:r>
      <w:r w:rsidRPr="001640BB">
        <w:rPr>
          <w:rStyle w:val="StyleUnderline"/>
        </w:rPr>
        <w:t xml:space="preserve">interests inherent </w:t>
      </w:r>
      <w:r w:rsidRPr="00470960">
        <w:rPr>
          <w:rStyle w:val="StyleUnderline"/>
        </w:rPr>
        <w:t>in</w:t>
      </w:r>
      <w:r w:rsidRPr="00470960">
        <w:rPr>
          <w:rStyle w:val="Emphasis"/>
        </w:rPr>
        <w:t xml:space="preserve"> </w:t>
      </w:r>
      <w:r w:rsidRPr="008D4F27">
        <w:rPr>
          <w:rStyle w:val="Emphasis"/>
          <w:highlight w:val="yellow"/>
        </w:rPr>
        <w:t>a</w:t>
      </w:r>
      <w:r w:rsidRPr="00867C6E">
        <w:rPr>
          <w:rStyle w:val="Emphasis"/>
          <w:highlight w:val="yellow"/>
        </w:rPr>
        <w:t xml:space="preserve">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09DCB585" w14:textId="77777777" w:rsidR="00E95919" w:rsidRPr="003714CF" w:rsidRDefault="00E95919" w:rsidP="00E95919">
      <w:pPr>
        <w:pStyle w:val="Heading4"/>
        <w:rPr>
          <w:rFonts w:cs="Calibri"/>
        </w:rPr>
      </w:pPr>
      <w:r w:rsidRPr="003714CF">
        <w:rPr>
          <w:rFonts w:cs="Calibri"/>
        </w:rPr>
        <w:t>Treating space as a commons solves orbital debris. States already agree to a limited regime of this type.</w:t>
      </w:r>
    </w:p>
    <w:p w14:paraId="732C6350" w14:textId="77777777" w:rsidR="00E95919" w:rsidRPr="003714CF" w:rsidRDefault="00E95919" w:rsidP="00E95919">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08EAF684" w14:textId="77777777" w:rsidR="00E95919" w:rsidRPr="003714CF" w:rsidRDefault="00E95919" w:rsidP="00E95919">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8FFE292" w14:textId="77777777" w:rsidR="00E95919" w:rsidRPr="004A2A85" w:rsidRDefault="00E95919" w:rsidP="00E95919">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4BA3D2DB" w14:textId="77777777" w:rsidR="00E95919" w:rsidRDefault="00E95919" w:rsidP="00E95919">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66DCF0E6" w14:textId="77777777" w:rsidR="00E95919" w:rsidRDefault="00E95919" w:rsidP="00E95919">
      <w:pPr>
        <w:ind w:left="720"/>
        <w:rPr>
          <w:rStyle w:val="StyleUnderline"/>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w:t>
      </w:r>
    </w:p>
    <w:p w14:paraId="4512A37C" w14:textId="77777777" w:rsidR="00E95919" w:rsidRDefault="00E95919" w:rsidP="00E95919">
      <w:pPr>
        <w:ind w:left="720"/>
        <w:rPr>
          <w:rStyle w:val="StyleUnderline"/>
        </w:rPr>
      </w:pPr>
    </w:p>
    <w:p w14:paraId="7716B684" w14:textId="77777777" w:rsidR="00E95919" w:rsidRDefault="00E95919" w:rsidP="00E95919">
      <w:pPr>
        <w:ind w:left="720"/>
        <w:rPr>
          <w:rStyle w:val="StyleUnderline"/>
        </w:rPr>
      </w:pPr>
    </w:p>
    <w:p w14:paraId="3D64EA6D" w14:textId="77777777" w:rsidR="00E95919" w:rsidRPr="00130884" w:rsidRDefault="00E95919" w:rsidP="00E95919">
      <w:pPr>
        <w:ind w:left="720"/>
        <w:rPr>
          <w:rStyle w:val="Style13ptBold"/>
          <w:iCs/>
          <w:sz w:val="22"/>
          <w:highlight w:val="yellow"/>
          <w:u w:val="single"/>
        </w:rPr>
      </w:pP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w:t>
      </w:r>
      <w:r w:rsidRPr="00916813">
        <w:rPr>
          <w:sz w:val="16"/>
          <w:szCs w:val="16"/>
        </w:rPr>
        <w:lastRenderedPageBreak/>
        <w:t>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w:t>
      </w:r>
      <w:r>
        <w:rPr>
          <w:sz w:val="16"/>
          <w:szCs w:val="16"/>
        </w:rPr>
        <w:lastRenderedPageBreak/>
        <w:t xml:space="preserve">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w:t>
      </w:r>
      <w:r>
        <w:rPr>
          <w:sz w:val="16"/>
          <w:szCs w:val="16"/>
        </w:rPr>
        <w:lastRenderedPageBreak/>
        <w:t xml:space="preserve">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w:t>
      </w:r>
      <w:r w:rsidRPr="00B67E72">
        <w:rPr>
          <w:rStyle w:val="Emphasis"/>
        </w:rPr>
        <w:lastRenderedPageBreak/>
        <w:t>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638236D4" w14:textId="77777777" w:rsidR="00E95919" w:rsidRPr="00325CBE" w:rsidRDefault="00E95919" w:rsidP="00E95919">
      <w:pPr>
        <w:pStyle w:val="Heading4"/>
        <w:rPr>
          <w:rStyle w:val="Style13ptBold"/>
          <w:b/>
          <w:bCs w:val="0"/>
        </w:rPr>
      </w:pPr>
      <w:r w:rsidRPr="00325CBE">
        <w:rPr>
          <w:rStyle w:val="Style13ptBold"/>
          <w:b/>
          <w:bCs w:val="0"/>
        </w:rPr>
        <w:t xml:space="preserve">Development of space resources is still possible with a commons model. Property rights are not necessary. Existing models governing commons encourage responsible development, numerous examples prove. </w:t>
      </w:r>
    </w:p>
    <w:p w14:paraId="157E5E0D" w14:textId="77777777" w:rsidR="00E95919" w:rsidRPr="009B1840" w:rsidRDefault="00E95919" w:rsidP="00E95919">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2BEAD5F1" w14:textId="77777777" w:rsidR="00E95919" w:rsidRPr="00895F70" w:rsidRDefault="00E95919" w:rsidP="00E95919">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 xml:space="preserve">How such eventual exploitation occurs, and under what precise national and international regulatory and licensing regimes, is thus still a matter </w:t>
      </w:r>
      <w:r w:rsidRPr="00895F70">
        <w:rPr>
          <w:rStyle w:val="StyleUnderline"/>
        </w:rPr>
        <w:lastRenderedPageBreak/>
        <w:t>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6B1E4162" w14:textId="3C4804CB" w:rsidR="00E95919" w:rsidRPr="004E07C1" w:rsidRDefault="007D00C3" w:rsidP="007D00C3">
      <w:pPr>
        <w:pStyle w:val="Heading1"/>
      </w:pPr>
      <w:r>
        <w:lastRenderedPageBreak/>
        <w:t>1ar cards</w:t>
      </w:r>
    </w:p>
    <w:p w14:paraId="3F2AA5DC" w14:textId="771C7B3A" w:rsidR="00E42E4C" w:rsidRDefault="00E95919" w:rsidP="00E95919">
      <w:pPr>
        <w:pStyle w:val="Heading2"/>
      </w:pPr>
      <w:r>
        <w:lastRenderedPageBreak/>
        <w:t>Asteroid mining DA</w:t>
      </w:r>
    </w:p>
    <w:p w14:paraId="7881B098" w14:textId="77777777" w:rsidR="00E95919" w:rsidRPr="000B73E9" w:rsidRDefault="00E95919" w:rsidP="00E95919">
      <w:pPr>
        <w:pStyle w:val="Heading4"/>
        <w:numPr>
          <w:ilvl w:val="1"/>
          <w:numId w:val="13"/>
        </w:numPr>
        <w:tabs>
          <w:tab w:val="num" w:pos="360"/>
        </w:tabs>
        <w:ind w:left="0" w:firstLine="0"/>
        <w:rPr>
          <w:rFonts w:cs="Calibri"/>
        </w:rPr>
      </w:pPr>
      <w:r w:rsidRPr="000B73E9">
        <w:rPr>
          <w:rFonts w:cs="Calibri"/>
        </w:rPr>
        <w:t>Resource extraction should not be considered appropriation – treaties and legal doctrines prove. Wrench 19</w:t>
      </w:r>
    </w:p>
    <w:p w14:paraId="2260B028" w14:textId="77777777" w:rsidR="00E95919" w:rsidRPr="000B73E9" w:rsidRDefault="00E95919" w:rsidP="00E95919">
      <w:r w:rsidRPr="000B73E9">
        <w:t xml:space="preserve">Wrench ’19 - John G. Wrench [attorney at the Institute for Justice], “Non-Appropriation, No Problem: The Outer Space Treaty Is Ready for Asteroid Mining,” 51 Case W. Res. J. Int'l L. 437 (2019)Available at: </w:t>
      </w:r>
      <w:hyperlink r:id="rId48" w:history="1">
        <w:r w:rsidRPr="000B73E9">
          <w:rPr>
            <w:rStyle w:val="Hyperlink"/>
          </w:rPr>
          <w:t>https://scholarlycommons.law.case.edu/jil/vol51/iss1/11</w:t>
        </w:r>
      </w:hyperlink>
      <w:r w:rsidRPr="000B73E9">
        <w:t xml:space="preserve">  AT</w:t>
      </w:r>
    </w:p>
    <w:p w14:paraId="7252A899" w14:textId="77777777" w:rsidR="00E95919" w:rsidRDefault="00E95919" w:rsidP="00E95919">
      <w:pPr>
        <w:rPr>
          <w:sz w:val="12"/>
        </w:rPr>
      </w:pPr>
      <w:r w:rsidRPr="000B73E9">
        <w:rPr>
          <w:sz w:val="12"/>
        </w:rPr>
        <w:t xml:space="preserve">II. </w:t>
      </w:r>
      <w:r w:rsidRPr="000B73E9">
        <w:rPr>
          <w:rStyle w:val="StyleUnderline"/>
        </w:rPr>
        <w:t>Legal Regimes Distinguishing Resource Extraction from Appropriation¶</w:t>
      </w:r>
      <w:r w:rsidRPr="000B73E9">
        <w:rPr>
          <w:sz w:val="12"/>
        </w:rPr>
        <w:t xml:space="preserve"> Although the OST does not provide a comprehensive guideline for resource extraction in outer space, its foundational logic provides a workable distinction between ownership and use. This part explores three property regimes developed under the same fundamental constraints as the non-appropriation principle: the United Nations Convention on the Law of the Sea (“UNCLOS”), the Antarctica Treaty System, and the prior appropriation doctrine as applied in United States water law.63 Under each regime, parties may establish some form of ownership in extracted resources despite being restricted from claiming sovereignty over the underlying land. ¶ 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 ¶ A. The Law(s) of the Sea: UNCLOS and the Seabed Act ¶ International and national maritime laws addressing resource extraction deal with many of the same obstacles present in outer space. Like outer space, “[t]he seabed is rich in minerals…[c]ollecting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“promot[ing] the peaceful uses of the seas and oceans,” and the “efficient utilization” of the resources therein.65 Although international law forms the backbone of seabed mining regulations, individual nations have concurrently developed their own regulations. ¶ 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 ¶ 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 ¶ 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 ¶ 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 ¶ 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 ¶ 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 ¶ </w:t>
      </w:r>
      <w:r w:rsidRPr="000B73E9">
        <w:rPr>
          <w:rStyle w:val="StyleUnderline"/>
        </w:rPr>
        <w:t xml:space="preserve">The laws regulating resource extraction in the sea share major traits with the non-appropriation principle, as UNCLOS and </w:t>
      </w:r>
      <w:r w:rsidRPr="000B73E9">
        <w:rPr>
          <w:rStyle w:val="StyleUnderline"/>
          <w:highlight w:val="yellow"/>
        </w:rPr>
        <w:t>the Seabed Act allow parties to establish property rights in extracted resources without violating the non-appropriation principle</w:t>
      </w:r>
      <w:r w:rsidRPr="000B73E9">
        <w:rPr>
          <w:rStyle w:val="StyleUnderline"/>
        </w:rPr>
        <w:t xml:space="preserve">. First, under both regimes, </w:t>
      </w:r>
      <w:r w:rsidRPr="000B73E9">
        <w:rPr>
          <w:rStyle w:val="StyleUnderline"/>
          <w:highlight w:val="yellow"/>
        </w:rPr>
        <w:t>parties extract minerals without laying claim to underlying land.</w:t>
      </w:r>
      <w:r w:rsidRPr="000B73E9">
        <w:rPr>
          <w:rStyle w:val="StyleUnderline"/>
        </w:rPr>
        <w:t>89 Secondly, UNCLOS’s requirement for development plans and the Seabed Act’s licensing-system place some pressure on parties to extract resources or forfeit their rights.90 This feature prevents parties from sleeping on a license, thereby encouraging productive use of land</w:t>
      </w:r>
      <w:r w:rsidRPr="000B73E9">
        <w:rPr>
          <w:sz w:val="12"/>
        </w:rPr>
        <w:t xml:space="preserve">.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 ¶ Even if the United States’ framework under the Seabed Act were adopted as a model for resource extraction in space, it comports with the non-appropriation principle. The United States’ conceptual distinction between land ownership and resource extraction is a gauge for whether it would accept a similar arrangement for space law.91 And, while the United States is only one of many members of the international community, it is difficult to conceive of a successful international agreement without the involvement of the major spacefaring nations. ¶ B. The Antarctic Treaty System ¶ 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 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 ¶ </w:t>
      </w:r>
      <w:r w:rsidRPr="000B73E9">
        <w:rPr>
          <w:rStyle w:val="StyleUnderline"/>
        </w:rPr>
        <w:t>The international community originally attempted to establish a legal regime for Antarctica that distinguished between sovereign claims and resource extraction</w:t>
      </w:r>
      <w:r w:rsidRPr="000B73E9">
        <w:rPr>
          <w:sz w:val="12"/>
        </w:rPr>
        <w:t xml:space="preserve">. The Convention on the Regulation of Antarctic Mineral Resource Act (“CRAMRA”) was the first venture to provide a foundation for an international property regime in Antarctica.99 </w:t>
      </w:r>
      <w:r w:rsidRPr="000B73E9">
        <w:rPr>
          <w:rStyle w:val="StyleUnderline"/>
        </w:rPr>
        <w:t xml:space="preserve">CRAMRA defined, as a means to regulate resource mining, three categories of resource-related activity: “prospecting”, “exploration”, and </w:t>
      </w:r>
      <w:r w:rsidRPr="000B73E9">
        <w:rPr>
          <w:rStyle w:val="StyleUnderline"/>
        </w:rPr>
        <w:lastRenderedPageBreak/>
        <w:t>“development.”</w:t>
      </w:r>
      <w:r w:rsidRPr="000B73E9">
        <w:rPr>
          <w:sz w:val="12"/>
        </w:rPr>
        <w:t xml:space="preserve">100 The Regulatory Committee, one of several institutions established under CRAMRA, was responsible for considering permit applications for the “exploration and development” of mineral resources.101 </w:t>
      </w:r>
      <w:r w:rsidRPr="000B73E9">
        <w:rPr>
          <w:rStyle w:val="StyleUnderline"/>
        </w:rPr>
        <w:t>Unlike exploration and development, prospecting does not require the authorization of any of the institutions.102</w:t>
      </w:r>
      <w:r w:rsidRPr="000B73E9">
        <w:rPr>
          <w:sz w:val="12"/>
        </w:rPr>
        <w:t xml:space="preserve"> ¶ 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 ¶ 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 ¶ Antarctic resource extraction is currently regulated under the Protocol on Environmental Protection to the Antarctic Treaty, also known as the “Madrid Protocol”.111 Concluded in 1991, the Madrid Protocol prohibits “…[a]ny activity relating to mineral resources, other than scientific research…”112 Parties to the Madrid Protocol are able to reconsider the ban on commercial resource mining in 2048 and have reaffirmed the moratorium as recently as 2016.113 ¶ Although it was not ultimately adopted, CRAMRA’s negotiation provides insight into the international community’s willingness to create a resource extraction regime starting from a premise that ownership and use are distinct. Although CRAMRA permitted nations to extract resources, extraction explicitly could not amount to ownership of the underlying land.114 From that premise, CRAMRA does not grant property rights to parties who have merely used sensing technologies on the land, requiring more significant labor through activities like drilling or dredging.115 ¶ While the Madrid Protocol removes commercial resource extraction as an option, it allows nations to extract scientific samples without requiring—or permitting—claims of sovereignty.116 Because the Madrid Protocol “neither modif[ies]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 ¶ C. The Prior Appropriation Doctrine ¶ The prior appropriation doctrine is a system developed in the American West to simplify miners’ water claims, granting rights to use the water to whoever made beneficial use of it first.119 The prior appropriation doctrine is useful for analyzing the law of outer space in both functional and abstract ways. First, scientists expect that water will be necessary for creating fuel and breathable air in outer space.120 ¶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 ¶ </w:t>
      </w:r>
      <w:r w:rsidRPr="000B73E9">
        <w:rPr>
          <w:rStyle w:val="StyleUnderline"/>
        </w:rPr>
        <w:t xml:space="preserve">The prior appropriation doctrine grew out of the chaos and grit that embodied the mining rush to the Western United States.124 The unpredictable availability of water, combined with the need for a simple adjudicative system, led </w:t>
      </w:r>
      <w:r w:rsidRPr="000B73E9">
        <w:rPr>
          <w:rStyle w:val="StyleUnderline"/>
          <w:highlight w:val="yellow"/>
        </w:rPr>
        <w:t>early miners and farmers to adopt an “intuitive common sense” system of rules to resolve water claims</w:t>
      </w:r>
      <w:r w:rsidRPr="000B73E9">
        <w:rPr>
          <w:rStyle w:val="StyleUnderline"/>
        </w:rPr>
        <w:t xml:space="preserve">.125 Essentially, the first claimant to make actual beneficial use of the water has senior rights to later users.126 </w:t>
      </w:r>
      <w:r w:rsidRPr="000B73E9">
        <w:rPr>
          <w:rStyle w:val="StyleUnderline"/>
          <w:highlight w:val="yellow"/>
        </w:rPr>
        <w:t>Claimants do not own the land,</w:t>
      </w:r>
      <w:r w:rsidRPr="000B73E9">
        <w:rPr>
          <w:rStyle w:val="StyleUnderline"/>
        </w:rPr>
        <w:t xml:space="preserve"> however, </w:t>
      </w:r>
      <w:r w:rsidRPr="000B73E9">
        <w:rPr>
          <w:rStyle w:val="StyleUnderline"/>
          <w:highlight w:val="yellow"/>
        </w:rPr>
        <w:t>but rather the right to use the water</w:t>
      </w:r>
      <w:r w:rsidRPr="000B73E9">
        <w:rPr>
          <w:sz w:val="12"/>
        </w:rPr>
        <w:t>.1</w:t>
      </w:r>
    </w:p>
    <w:p w14:paraId="681AED04" w14:textId="77777777" w:rsidR="00E95919" w:rsidRDefault="00E95919" w:rsidP="00E95919">
      <w:pPr>
        <w:rPr>
          <w:sz w:val="12"/>
        </w:rPr>
      </w:pPr>
    </w:p>
    <w:p w14:paraId="6C03A0F8" w14:textId="77777777" w:rsidR="00E95919" w:rsidRDefault="00E95919" w:rsidP="00E95919">
      <w:pPr>
        <w:rPr>
          <w:sz w:val="12"/>
        </w:rPr>
      </w:pPr>
    </w:p>
    <w:p w14:paraId="62434739" w14:textId="77777777" w:rsidR="00E95919" w:rsidRDefault="00E95919" w:rsidP="00E95919">
      <w:pPr>
        <w:rPr>
          <w:sz w:val="12"/>
        </w:rPr>
      </w:pPr>
    </w:p>
    <w:p w14:paraId="4A103CBC" w14:textId="77777777" w:rsidR="00E95919" w:rsidRPr="000B73E9" w:rsidRDefault="00E95919" w:rsidP="00E95919">
      <w:pPr>
        <w:rPr>
          <w:sz w:val="12"/>
        </w:rPr>
      </w:pPr>
      <w:r w:rsidRPr="000B73E9">
        <w:rPr>
          <w:sz w:val="12"/>
        </w:rPr>
        <w:t xml:space="preserve">27 Consequently, claimants may transfer their rights to the use but the public ultimately owns the water.128 Each of these features is explored below. ¶ 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 ¶ 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“antispeculation” is derived from the era’s intensely anti-monopoly sentiment, favoring the distribution of water rights to those who could make actual use of the land.134 Therefore, claimants must define the location and expected scope of their use to establish or transfer rights.135 ¶ 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 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 ¶ …[T]he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parens patriae capacity and maintaining the use regimen on the river system; and fourth, the promotion of efficiency and prudence of the kind expected of a trustee.147 ¶ The prior appropriation doctrine serves as a unique example for space law because of how it conceptualizes land ownership. </w:t>
      </w:r>
      <w:r w:rsidRPr="000B73E9">
        <w:rPr>
          <w:rStyle w:val="StyleUnderline"/>
          <w:highlight w:val="yellow"/>
        </w:rPr>
        <w:t>Underlying land is available for use not because it is “unowned,” but because it is owned by a community</w:t>
      </w:r>
      <w:r w:rsidRPr="000B73E9">
        <w:rPr>
          <w:rStyle w:val="StyleUnderline"/>
        </w:rPr>
        <w:t xml:space="preserve"> who has the right to make productive use of it.148 Because the community owns the land, claimants have an obligation to use the land properly and the government is responsible for stewardship</w:t>
      </w:r>
      <w:r w:rsidRPr="000B73E9">
        <w:rPr>
          <w:sz w:val="12"/>
        </w:rPr>
        <w:t xml:space="preserve">.149 This framing fits neatly with proponents of the idea that outer space is collectively “owned” by the international community. Regardless, stewardship and government ownership do not necessarily displace the potential for productive use. ¶ Parties do not violate the non-appropriation principle simply by extracting—or as here, diverting—resources from the land. At no point does extraction equate to a sovereign claim over the land.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w:t>
      </w:r>
      <w:r w:rsidRPr="000B73E9">
        <w:rPr>
          <w:sz w:val="12"/>
        </w:rPr>
        <w:lastRenderedPageBreak/>
        <w:t xml:space="preserve">in resources independent from land-ownership, while promoting beneficial use.¶ Conclusion ¶ </w:t>
      </w:r>
      <w:r w:rsidRPr="000B73E9">
        <w:rPr>
          <w:rStyle w:val="StyleUnderline"/>
          <w:highlight w:val="yellow"/>
        </w:rPr>
        <w:t>The non-appropriation doctrine restricts parties from making sovereign claims over underlying land</w:t>
      </w:r>
      <w:r w:rsidRPr="000B73E9">
        <w:rPr>
          <w:rStyle w:val="StyleUnderline"/>
        </w:rPr>
        <w:t xml:space="preserve">—the same restriction embedded in each of previous section’s legal regimes. </w:t>
      </w:r>
      <w:r w:rsidRPr="000B73E9">
        <w:rPr>
          <w:rStyle w:val="StyleUnderline"/>
          <w:highlight w:val="yellow"/>
        </w:rPr>
        <w:t>Without violating the nonappropriation principle, those regimes grant parties the right to extract resources from land they do not own</w:t>
      </w:r>
      <w:r w:rsidRPr="000B73E9">
        <w:rPr>
          <w:rStyle w:val="StyleUnderline"/>
        </w:rPr>
        <w:t>, transfer that right, and limit wasteful use</w:t>
      </w:r>
      <w:r w:rsidRPr="000B73E9">
        <w:rPr>
          <w:sz w:val="12"/>
        </w:rPr>
        <w:t>. Each system similarly vests an entity with the authority to regulate and enforce those rules. With some tailoring,</w:t>
      </w:r>
      <w:r w:rsidRPr="000B73E9">
        <w:rPr>
          <w:rStyle w:val="StyleUnderline"/>
        </w:rPr>
        <w:t xml:space="preserve"> </w:t>
      </w:r>
      <w:r w:rsidRPr="000B73E9">
        <w:rPr>
          <w:rStyle w:val="StyleUnderline"/>
          <w:highlight w:val="yellow"/>
        </w:rPr>
        <w:t>those rules could graft onto</w:t>
      </w:r>
      <w:r w:rsidRPr="000B73E9">
        <w:rPr>
          <w:rStyle w:val="StyleUnderline"/>
        </w:rPr>
        <w:t xml:space="preserve"> the uniqueness of </w:t>
      </w:r>
      <w:r w:rsidRPr="000B73E9">
        <w:rPr>
          <w:rStyle w:val="StyleUnderline"/>
          <w:highlight w:val="yellow"/>
        </w:rPr>
        <w:t>outer space resource extraction</w:t>
      </w:r>
      <w:r w:rsidRPr="000B73E9">
        <w:rPr>
          <w:rStyle w:val="StyleUnderline"/>
        </w:rPr>
        <w:t>.</w:t>
      </w:r>
    </w:p>
    <w:p w14:paraId="1AB04CDE" w14:textId="77777777" w:rsidR="00E95919" w:rsidRPr="00E95919" w:rsidRDefault="00E95919" w:rsidP="00E95919"/>
    <w:sectPr w:rsidR="00E95919" w:rsidRPr="00E959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8C29E3"/>
    <w:multiLevelType w:val="hybridMultilevel"/>
    <w:tmpl w:val="B7FCC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3B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BED"/>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0C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91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023CF4"/>
  <w14:defaultImageDpi w14:val="300"/>
  <w15:docId w15:val="{A750D22F-9FD3-7A4E-9E0A-280F29B97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59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83B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3B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83B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183B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3B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BED"/>
  </w:style>
  <w:style w:type="character" w:customStyle="1" w:styleId="Heading1Char">
    <w:name w:val="Heading 1 Char"/>
    <w:aliases w:val="Pocket Char"/>
    <w:basedOn w:val="DefaultParagraphFont"/>
    <w:link w:val="Heading1"/>
    <w:uiPriority w:val="9"/>
    <w:rsid w:val="00183B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3BE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83BE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183B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3BE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83BE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183BE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83BE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83BED"/>
    <w:rPr>
      <w:color w:val="auto"/>
      <w:u w:val="none"/>
    </w:rPr>
  </w:style>
  <w:style w:type="paragraph" w:styleId="DocumentMap">
    <w:name w:val="Document Map"/>
    <w:basedOn w:val="Normal"/>
    <w:link w:val="DocumentMapChar"/>
    <w:uiPriority w:val="99"/>
    <w:semiHidden/>
    <w:unhideWhenUsed/>
    <w:rsid w:val="00183B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3BED"/>
    <w:rPr>
      <w:rFonts w:ascii="Lucida Grande" w:hAnsi="Lucida Grande" w:cs="Lucida Grande"/>
    </w:rPr>
  </w:style>
  <w:style w:type="paragraph" w:customStyle="1" w:styleId="Emphasis1">
    <w:name w:val="Emphasis1"/>
    <w:basedOn w:val="Normal"/>
    <w:link w:val="Emphasis"/>
    <w:autoRedefine/>
    <w:uiPriority w:val="20"/>
    <w:qFormat/>
    <w:rsid w:val="00E9591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959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E95919"/>
    <w:pPr>
      <w:ind w:left="720"/>
      <w:contextualSpacing/>
    </w:pPr>
  </w:style>
  <w:style w:type="character" w:styleId="CommentReference">
    <w:name w:val="annotation reference"/>
    <w:basedOn w:val="DefaultParagraphFont"/>
    <w:uiPriority w:val="99"/>
    <w:semiHidden/>
    <w:unhideWhenUsed/>
    <w:rsid w:val="00E95919"/>
    <w:rPr>
      <w:sz w:val="16"/>
      <w:szCs w:val="16"/>
    </w:rPr>
  </w:style>
  <w:style w:type="paragraph" w:styleId="CommentText">
    <w:name w:val="annotation text"/>
    <w:basedOn w:val="Normal"/>
    <w:link w:val="CommentTextChar"/>
    <w:uiPriority w:val="99"/>
    <w:semiHidden/>
    <w:unhideWhenUsed/>
    <w:rsid w:val="00E95919"/>
    <w:pPr>
      <w:spacing w:line="240" w:lineRule="auto"/>
    </w:pPr>
    <w:rPr>
      <w:sz w:val="20"/>
      <w:szCs w:val="20"/>
    </w:rPr>
  </w:style>
  <w:style w:type="character" w:customStyle="1" w:styleId="CommentTextChar">
    <w:name w:val="Comment Text Char"/>
    <w:basedOn w:val="DefaultParagraphFont"/>
    <w:link w:val="CommentText"/>
    <w:uiPriority w:val="99"/>
    <w:semiHidden/>
    <w:rsid w:val="00E95919"/>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fontTable" Target="fontTable.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hyperlink" Target="https://scholarlycommons.law.case.edu/jil/vol51/iss1/1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29</Pages>
  <Words>23608</Words>
  <Characters>134568</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3</cp:revision>
  <dcterms:created xsi:type="dcterms:W3CDTF">2022-02-06T19:48:00Z</dcterms:created>
  <dcterms:modified xsi:type="dcterms:W3CDTF">2022-02-06T19:51:00Z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