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DC390" w14:textId="77777777" w:rsidR="00D02FFA" w:rsidRPr="003714CF" w:rsidRDefault="00D02FFA" w:rsidP="00D02FFA">
      <w:pPr>
        <w:pStyle w:val="Heading1"/>
        <w:rPr>
          <w:rFonts w:cs="Calibri"/>
        </w:rPr>
      </w:pPr>
      <w:r w:rsidRPr="003714CF">
        <w:rPr>
          <w:rFonts w:cs="Calibri"/>
        </w:rPr>
        <w:t>AC</w:t>
      </w:r>
    </w:p>
    <w:p w14:paraId="06F44BAD" w14:textId="77777777" w:rsidR="00D02FFA" w:rsidRPr="00AE1703" w:rsidRDefault="00D02FFA" w:rsidP="00D02FFA">
      <w:pPr>
        <w:pStyle w:val="Heading4"/>
        <w:rPr>
          <w:b w:val="0"/>
          <w:bCs w:val="0"/>
        </w:rPr>
      </w:pPr>
      <w:r w:rsidRPr="00AE1703">
        <w:rPr>
          <w:rStyle w:val="Style13ptBold"/>
          <w:b/>
          <w:bCs w:val="0"/>
        </w:rPr>
        <w:t>Ambiguities in the OST that allow private appropriation have kicked off a race to develop space, setting the stage for a debris crisis and the domination of space by unaccountable billionaires. Current laws fail due to lax rules and forum shopping.</w:t>
      </w:r>
    </w:p>
    <w:p w14:paraId="6507CF96" w14:textId="77777777" w:rsidR="00D02FFA" w:rsidRPr="00CA1BD9" w:rsidRDefault="00D02FFA" w:rsidP="00D02FFA">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77B39FFB" w14:textId="77777777" w:rsidR="00D02FFA" w:rsidRPr="008B349A" w:rsidRDefault="00D02FFA" w:rsidP="00D02FFA">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410D4F01" w14:textId="77777777" w:rsidR="00D02FFA" w:rsidRDefault="00D02FFA" w:rsidP="00D02FFA"/>
    <w:p w14:paraId="369CA5B7" w14:textId="77777777" w:rsidR="00D02FFA" w:rsidRPr="003714CF" w:rsidRDefault="00D02FFA" w:rsidP="00D02FFA">
      <w:pPr>
        <w:pStyle w:val="Heading3"/>
        <w:rPr>
          <w:rFonts w:cs="Calibri"/>
        </w:rPr>
      </w:pPr>
      <w:r w:rsidRPr="003714CF">
        <w:rPr>
          <w:rFonts w:cs="Calibri"/>
        </w:rPr>
        <w:lastRenderedPageBreak/>
        <w:t>Advantage 1: Space Debris</w:t>
      </w:r>
    </w:p>
    <w:p w14:paraId="328E3AD8" w14:textId="77777777" w:rsidR="00D02FFA" w:rsidRPr="003714CF" w:rsidRDefault="00D02FFA" w:rsidP="00D02FFA">
      <w:pPr>
        <w:pStyle w:val="Heading4"/>
        <w:rPr>
          <w:rFonts w:cs="Calibri"/>
        </w:rPr>
      </w:pPr>
      <w:r w:rsidRPr="003714CF">
        <w:rPr>
          <w:rFonts w:cs="Calibri"/>
        </w:rPr>
        <w:t xml:space="preserve">Increasing space debris levels inevitably set off a chain of collisions. </w:t>
      </w:r>
    </w:p>
    <w:p w14:paraId="15743063" w14:textId="77777777" w:rsidR="00D02FFA" w:rsidRPr="003714CF" w:rsidRDefault="00D02FFA" w:rsidP="00D02FFA">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2570F71F" w14:textId="77777777" w:rsidR="00D02FFA" w:rsidRDefault="00D02FFA" w:rsidP="00D02FFA">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79C519BB" w14:textId="77777777" w:rsidR="00D02FFA" w:rsidRPr="003714CF" w:rsidRDefault="00D02FFA" w:rsidP="00D02FFA">
      <w:pPr>
        <w:rPr>
          <w:sz w:val="10"/>
        </w:rPr>
      </w:pPr>
    </w:p>
    <w:p w14:paraId="197900FD" w14:textId="77777777" w:rsidR="00D02FFA" w:rsidRPr="003714CF" w:rsidRDefault="00D02FFA" w:rsidP="00D02FFA">
      <w:pPr>
        <w:pStyle w:val="Heading4"/>
        <w:rPr>
          <w:rFonts w:cs="Calibri"/>
        </w:rPr>
      </w:pPr>
      <w:r w:rsidRPr="003714CF">
        <w:rPr>
          <w:rFonts w:cs="Calibri"/>
        </w:rPr>
        <w:t>Collisions make orbit unusable, causing nuclear war, mass starvation, and economic destruction. Jonson 13</w:t>
      </w:r>
    </w:p>
    <w:p w14:paraId="5227ACAC" w14:textId="77777777" w:rsidR="00D02FFA" w:rsidRPr="003714CF" w:rsidRDefault="00D02FFA" w:rsidP="00D02FFA">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57181641" w14:textId="77777777" w:rsidR="00D02FFA" w:rsidRPr="003714CF" w:rsidRDefault="00D02FFA" w:rsidP="00D02FFA">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w:t>
      </w:r>
      <w:r w:rsidRPr="003714CF">
        <w:rPr>
          <w:sz w:val="12"/>
        </w:rPr>
        <w:lastRenderedPageBreak/>
        <w:t xml:space="preserve">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w:t>
      </w:r>
      <w:r w:rsidRPr="003714CF">
        <w:rPr>
          <w:rStyle w:val="StyleUnderline"/>
        </w:rPr>
        <w:lastRenderedPageBreak/>
        <w:t xml:space="preserve">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521A984C" w14:textId="77777777" w:rsidR="00D02FFA" w:rsidRPr="003714CF" w:rsidRDefault="00D02FFA" w:rsidP="00D02FFA">
      <w:pPr>
        <w:rPr>
          <w:sz w:val="12"/>
        </w:rPr>
      </w:pPr>
    </w:p>
    <w:p w14:paraId="61518FE5" w14:textId="77777777" w:rsidR="00D02FFA" w:rsidRDefault="00D02FFA" w:rsidP="00D02FFA">
      <w:pPr>
        <w:pStyle w:val="Heading3"/>
        <w:rPr>
          <w:rFonts w:cs="Calibri"/>
        </w:rPr>
      </w:pPr>
      <w:r w:rsidRPr="003714CF">
        <w:rPr>
          <w:rFonts w:cs="Calibri"/>
        </w:rPr>
        <w:lastRenderedPageBreak/>
        <w:t>Advantage 2: Corporate Colonialism</w:t>
      </w:r>
    </w:p>
    <w:p w14:paraId="110A40CD" w14:textId="77777777" w:rsidR="00D02FFA" w:rsidRPr="002401A3" w:rsidRDefault="00D02FFA" w:rsidP="00D02FFA">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5164AE92" w14:textId="77777777" w:rsidR="00D02FFA" w:rsidRPr="002401A3" w:rsidRDefault="00D02FFA" w:rsidP="00D02FFA">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1E89F66D" w14:textId="77777777" w:rsidR="00D02FFA" w:rsidRPr="004F3D18" w:rsidRDefault="00D02FFA" w:rsidP="00D02FFA">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2DBF6FD7" w14:textId="77777777" w:rsidR="00D02FFA" w:rsidRPr="003714CF" w:rsidRDefault="00D02FFA" w:rsidP="00D02FFA">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24326672" w14:textId="77777777" w:rsidR="00D02FFA" w:rsidRPr="003714CF" w:rsidRDefault="00D02FFA" w:rsidP="00D02FFA">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3C90E700" w14:textId="77777777" w:rsidR="00D02FFA" w:rsidRPr="003714CF" w:rsidRDefault="00D02FFA" w:rsidP="00D02FFA">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1DFABEB3" w14:textId="77777777" w:rsidR="00D02FFA" w:rsidRPr="003714CF" w:rsidRDefault="00D02FFA" w:rsidP="00D02FFA">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37728862" w14:textId="77777777" w:rsidR="00D02FFA" w:rsidRPr="003714CF" w:rsidRDefault="00D02FFA" w:rsidP="00D02FFA">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3FE6E9A6" w14:textId="77777777" w:rsidR="00D02FFA" w:rsidRPr="003714CF" w:rsidRDefault="00D02FFA" w:rsidP="00D02FFA">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89E5B2D" w14:textId="77777777" w:rsidR="00D02FFA" w:rsidRPr="002401A3" w:rsidRDefault="00D02FFA" w:rsidP="00D02FFA">
      <w:pPr>
        <w:pStyle w:val="Heading3"/>
        <w:rPr>
          <w:rFonts w:cs="Calibri"/>
        </w:rPr>
      </w:pPr>
      <w:r w:rsidRPr="002401A3">
        <w:rPr>
          <w:rFonts w:cs="Calibri"/>
        </w:rPr>
        <w:lastRenderedPageBreak/>
        <w:t>Plan</w:t>
      </w:r>
      <w:r>
        <w:rPr>
          <w:rFonts w:cs="Calibri"/>
        </w:rPr>
        <w:t>/Solvency</w:t>
      </w:r>
    </w:p>
    <w:p w14:paraId="0E1C86F9" w14:textId="77777777" w:rsidR="00D02FFA" w:rsidRPr="00E14A91" w:rsidRDefault="00D02FFA" w:rsidP="00D02FFA">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7772A5B7" w14:textId="77777777" w:rsidR="00D02FFA" w:rsidRPr="001A6991" w:rsidRDefault="00D02FFA" w:rsidP="00D02FFA">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044C6495" w14:textId="77777777" w:rsidR="00D02FFA" w:rsidRDefault="00D02FFA" w:rsidP="00D02FFA">
      <w:pPr>
        <w:pStyle w:val="Heading4"/>
      </w:pPr>
      <w:r>
        <w:t>The aff:</w:t>
      </w:r>
    </w:p>
    <w:p w14:paraId="01BB486D" w14:textId="77777777" w:rsidR="00D02FFA" w:rsidRPr="003955A7" w:rsidRDefault="00D02FFA" w:rsidP="00D02FFA">
      <w:pPr>
        <w:pStyle w:val="Heading4"/>
        <w:numPr>
          <w:ilvl w:val="0"/>
          <w:numId w:val="12"/>
        </w:numPr>
        <w:tabs>
          <w:tab w:val="num" w:pos="360"/>
        </w:tabs>
        <w:ind w:left="0" w:firstLine="0"/>
      </w:pPr>
      <w:r>
        <w:t>solves debris and space colonialism by ensuring the sustainable and equitable use of outer space resources.</w:t>
      </w:r>
    </w:p>
    <w:p w14:paraId="08D63C17" w14:textId="77777777" w:rsidR="00D02FFA" w:rsidRDefault="00D02FFA" w:rsidP="00D02FFA">
      <w:pPr>
        <w:pStyle w:val="ListParagraph"/>
        <w:numPr>
          <w:ilvl w:val="0"/>
          <w:numId w:val="12"/>
        </w:numPr>
        <w:rPr>
          <w:rStyle w:val="Style13ptBold"/>
        </w:rPr>
      </w:pPr>
      <w:r>
        <w:rPr>
          <w:rStyle w:val="Style13ptBold"/>
        </w:rPr>
        <w:t>prevents circumvention by aligning the interests of state parties.</w:t>
      </w:r>
    </w:p>
    <w:p w14:paraId="1DCC0491" w14:textId="77777777" w:rsidR="00D02FFA" w:rsidRPr="005D41A1" w:rsidRDefault="00D02FFA" w:rsidP="00D02FFA">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36D800B7" w14:textId="77777777" w:rsidR="00D02FFA" w:rsidRDefault="00D02FFA" w:rsidP="00D02FFA">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17A0331A" w14:textId="77777777" w:rsidR="00D02FFA" w:rsidRPr="009C185C" w:rsidRDefault="00D02FFA" w:rsidP="00D02FFA">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w:t>
      </w:r>
      <w:r w:rsidRPr="008D4F27">
        <w:rPr>
          <w:rStyle w:val="Emphasis"/>
        </w:rPr>
        <w:t xml:space="preserve">the </w:t>
      </w:r>
      <w:r w:rsidRPr="001640BB">
        <w:rPr>
          <w:rStyle w:val="StyleUnderline"/>
        </w:rPr>
        <w:t xml:space="preserve">interests inherent </w:t>
      </w:r>
      <w:r w:rsidRPr="00470960">
        <w:rPr>
          <w:rStyle w:val="StyleUnderline"/>
        </w:rPr>
        <w:t>in</w:t>
      </w:r>
      <w:r w:rsidRPr="00470960">
        <w:rPr>
          <w:rStyle w:val="Emphasis"/>
        </w:rPr>
        <w:t xml:space="preserve"> </w:t>
      </w:r>
      <w:r w:rsidRPr="008D4F27">
        <w:rPr>
          <w:rStyle w:val="Emphasis"/>
          <w:highlight w:val="yellow"/>
        </w:rPr>
        <w:t>a</w:t>
      </w:r>
      <w:r w:rsidRPr="00867C6E">
        <w:rPr>
          <w:rStyle w:val="Emphasis"/>
          <w:highlight w:val="yellow"/>
        </w:rPr>
        <w:t xml:space="preserve">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77D53AAB" w14:textId="77777777" w:rsidR="00D02FFA" w:rsidRPr="00744C0D" w:rsidRDefault="00D02FFA" w:rsidP="00D02FFA">
      <w:pPr>
        <w:pStyle w:val="Heading4"/>
        <w:rPr>
          <w:rFonts w:cs="Calibri"/>
        </w:rPr>
      </w:pPr>
      <w:r w:rsidRPr="00744C0D">
        <w:rPr>
          <w:rFonts w:cs="Calibri"/>
        </w:rPr>
        <w:t>Treating space as a commons solves orbital debris. Current non-binding agreements are not enough.</w:t>
      </w:r>
    </w:p>
    <w:p w14:paraId="4A38A43D" w14:textId="77777777" w:rsidR="00D02FFA" w:rsidRPr="003714CF" w:rsidRDefault="00D02FFA" w:rsidP="00D02FFA">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7A018436" w14:textId="77777777" w:rsidR="00D02FFA" w:rsidRPr="003714CF" w:rsidRDefault="00D02FFA" w:rsidP="00D02FFA">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w:t>
      </w:r>
      <w:r w:rsidRPr="003714CF">
        <w:rPr>
          <w:sz w:val="12"/>
          <w:szCs w:val="12"/>
        </w:rPr>
        <w:lastRenderedPageBreak/>
        <w:t xml:space="preserve">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w:t>
      </w:r>
      <w:r w:rsidRPr="00257E1A">
        <w:rPr>
          <w:sz w:val="12"/>
        </w:rPr>
        <w:t xml:space="preserve">. </w:t>
      </w:r>
      <w:r w:rsidRPr="00257E1A">
        <w:rPr>
          <w:rStyle w:val="StyleUnderline"/>
        </w:rPr>
        <w:t>The costs of adapting to</w:t>
      </w:r>
      <w:r w:rsidRPr="00257E1A">
        <w:rPr>
          <w:sz w:val="12"/>
        </w:rPr>
        <w:t xml:space="preserve"> increasingly </w:t>
      </w:r>
      <w:r w:rsidRPr="00257E1A">
        <w:rPr>
          <w:rStyle w:val="StyleUnderline"/>
        </w:rPr>
        <w:t>polluted orbits would be immense, and the opportunity costs would be even higher</w:t>
      </w:r>
      <w:r w:rsidRPr="00257E1A">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57E1A">
        <w:rPr>
          <w:rStyle w:val="StyleUnderline"/>
        </w:rPr>
        <w:t>borne by all space actors, including emerging states</w:t>
      </w:r>
      <w:r w:rsidRPr="008D7D08">
        <w:rPr>
          <w:rStyle w:val="StyleUnderline"/>
        </w:rPr>
        <w:t xml:space="preserve">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w:t>
      </w:r>
      <w:r w:rsidRPr="00257E1A">
        <w:rPr>
          <w:rStyle w:val="StyleUnderline"/>
        </w:rPr>
        <w:t xml:space="preserve">deployments and </w:t>
      </w:r>
      <w:r w:rsidRPr="00867C6E">
        <w:rPr>
          <w:rStyle w:val="StyleUnderline"/>
          <w:highlight w:val="yellow"/>
        </w:rPr>
        <w:t xml:space="preserve">operations in geosynchronous orbits and manages radiofrequency spectrum assignments </w:t>
      </w:r>
      <w:r w:rsidRPr="00257E1A">
        <w:rPr>
          <w:rStyle w:val="StyleUnderline"/>
        </w:rPr>
        <w:t>in other regions of space</w:t>
      </w:r>
      <w:r w:rsidRPr="00257E1A">
        <w:rPr>
          <w:sz w:val="12"/>
        </w:rPr>
        <w:t xml:space="preserve"> to</w:t>
      </w:r>
      <w:r w:rsidRPr="003714CF">
        <w:rPr>
          <w:sz w:val="12"/>
        </w:rPr>
        <w:t xml:space="preserve">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2739F378" w14:textId="77777777" w:rsidR="00D02FFA" w:rsidRPr="004A2A85" w:rsidRDefault="00D02FFA" w:rsidP="00D02FFA">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753E1324" w14:textId="77777777" w:rsidR="00D02FFA" w:rsidRDefault="00D02FFA" w:rsidP="00D02FFA">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69713008" w14:textId="77777777" w:rsidR="00D02FFA" w:rsidRPr="00130884" w:rsidRDefault="00D02FFA" w:rsidP="00D02FFA">
      <w:pPr>
        <w:ind w:left="720"/>
        <w:rPr>
          <w:rStyle w:val="Style13ptBold"/>
          <w:iCs/>
          <w:sz w:val="22"/>
          <w:highlight w:val="yellow"/>
          <w:u w:val="single"/>
        </w:rPr>
      </w:pPr>
      <w:r w:rsidRPr="00FB2583">
        <w:rPr>
          <w:sz w:val="16"/>
        </w:rPr>
        <w:t xml:space="preserve">Using ‘commons’ as a noun, thus, implies a methodological break with this reification of common things, as well as with the logic underlying the classification of </w:t>
      </w:r>
      <w:r w:rsidRPr="00A34BAB">
        <w:rPr>
          <w:sz w:val="16"/>
        </w:rPr>
        <w:t xml:space="preserve">goods in economic theory. </w:t>
      </w:r>
      <w:r w:rsidRPr="00A34BAB">
        <w:rPr>
          <w:rStyle w:val="Emphasis"/>
        </w:rPr>
        <w:t>A ‘commons’ is</w:t>
      </w:r>
      <w:r w:rsidRPr="00A34BAB">
        <w:rPr>
          <w:rStyle w:val="StyleUnderline"/>
        </w:rPr>
        <w:t xml:space="preserve"> first and foremost an </w:t>
      </w:r>
      <w:r w:rsidRPr="00A34BAB">
        <w:rPr>
          <w:rStyle w:val="Emphasis"/>
        </w:rPr>
        <w:t>institutional</w:t>
      </w:r>
      <w:r w:rsidRPr="00A34BAB">
        <w:rPr>
          <w:rStyle w:val="StyleUnderline"/>
        </w:rPr>
        <w:t xml:space="preserve"> affair and, more specifically, an institutional space </w:t>
      </w:r>
      <w:r w:rsidRPr="00A34BAB">
        <w:rPr>
          <w:rStyle w:val="Emphasis"/>
        </w:rPr>
        <w:t xml:space="preserve">defined by collectively </w:t>
      </w:r>
      <w:r w:rsidRPr="00A34BAB">
        <w:rPr>
          <w:rStyle w:val="Emphasis"/>
        </w:rPr>
        <w:lastRenderedPageBreak/>
        <w:t xml:space="preserve">developed </w:t>
      </w:r>
      <w:r w:rsidRPr="00A34BAB">
        <w:rPr>
          <w:rStyle w:val="StyleUnderline"/>
        </w:rPr>
        <w:t>practical</w:t>
      </w:r>
      <w:r w:rsidRPr="00A34BAB">
        <w:rPr>
          <w:rStyle w:val="Emphasis"/>
        </w:rPr>
        <w:t xml:space="preserve"> rules</w:t>
      </w:r>
      <w:r w:rsidRPr="00A34BAB">
        <w:rPr>
          <w:rStyle w:val="StyleUnderline"/>
        </w:rPr>
        <w:t>.</w:t>
      </w:r>
      <w:r w:rsidRPr="00A34BAB">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A34BAB">
        <w:rPr>
          <w:rStyle w:val="StyleUnderline"/>
        </w:rPr>
        <w:t xml:space="preserve">By contrast, any good that is capable of being purchased and sold, is not in itself a commons. This means that a commons is a good only under the condition that it is not a possession or an acquisition. In other words, once it is instituted, </w:t>
      </w:r>
      <w:r w:rsidRPr="00A34BAB">
        <w:rPr>
          <w:rStyle w:val="Emphasis"/>
        </w:rPr>
        <w:t xml:space="preserve">a commons is inalienable and inappropriable. </w:t>
      </w:r>
      <w:r w:rsidRPr="00A34BAB">
        <w:rPr>
          <w:rStyle w:val="StyleUnderline"/>
        </w:rPr>
        <w:t>It creates a space within which</w:t>
      </w:r>
      <w:r w:rsidRPr="00A34BAB">
        <w:rPr>
          <w:rStyle w:val="Emphasis"/>
        </w:rPr>
        <w:t xml:space="preserve"> use prevails over ownership.</w:t>
      </w:r>
      <w:r w:rsidRPr="00A34BAB">
        <w:rPr>
          <w:rStyle w:val="StyleUnderline"/>
        </w:rPr>
        <w:t xml:space="preserve"> It is, thus, not a resource in itself – even when it is related to one. In this way we understand a commons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A34BAB">
        <w:rPr>
          <w:sz w:val="16"/>
        </w:rPr>
        <w:t xml:space="preserve"> This activity is not external to the commons, but instead inherent in it.</w:t>
      </w:r>
      <w:r w:rsidRPr="00A34BAB">
        <w:rPr>
          <w:rStyle w:val="StyleUnderline"/>
        </w:rPr>
        <w:t xml:space="preserve"> ¶</w:t>
      </w:r>
      <w:r w:rsidRPr="00A34BAB">
        <w:rPr>
          <w:sz w:val="16"/>
        </w:rPr>
        <w:t xml:space="preserve"> </w:t>
      </w:r>
      <w:r w:rsidRPr="00A34BAB">
        <w:rPr>
          <w:rStyle w:val="StyleUnderline"/>
        </w:rPr>
        <w:t xml:space="preserve">If we take this to be the definition of every common, then a third implication is that </w:t>
      </w:r>
      <w:r w:rsidRPr="00A34BAB">
        <w:rPr>
          <w:rStyle w:val="Emphasis"/>
        </w:rPr>
        <w:t xml:space="preserve">a common, </w:t>
      </w:r>
      <w:r w:rsidRPr="00A34BAB">
        <w:rPr>
          <w:rStyle w:val="StyleUnderline"/>
        </w:rPr>
        <w:t>regardless of its specific designation,</w:t>
      </w:r>
      <w:r w:rsidRPr="00A34BAB">
        <w:rPr>
          <w:rStyle w:val="Emphasis"/>
        </w:rPr>
        <w:t xml:space="preserve"> requires</w:t>
      </w:r>
      <w:r w:rsidRPr="00A34BAB">
        <w:rPr>
          <w:rStyle w:val="StyleUnderline"/>
        </w:rPr>
        <w:t xml:space="preserve"> self-government or </w:t>
      </w:r>
      <w:r w:rsidRPr="00A34BAB">
        <w:rPr>
          <w:rStyle w:val="Emphasis"/>
        </w:rPr>
        <w:t xml:space="preserve">democratic government. The very act of establishing </w:t>
      </w:r>
      <w:r w:rsidRPr="00A34BAB">
        <w:rPr>
          <w:rStyle w:val="StyleUnderline"/>
        </w:rPr>
        <w:t xml:space="preserve">a common is in and of itself a </w:t>
      </w:r>
      <w:r w:rsidRPr="00A34BAB">
        <w:rPr>
          <w:rStyle w:val="Emphasis"/>
        </w:rPr>
        <w:t xml:space="preserve">democratic </w:t>
      </w:r>
      <w:r w:rsidRPr="00A34BAB">
        <w:rPr>
          <w:rStyle w:val="StyleUnderline"/>
        </w:rPr>
        <w:t>act</w:t>
      </w:r>
      <w:r w:rsidRPr="00A34BAB">
        <w:rPr>
          <w:rStyle w:val="Emphasis"/>
        </w:rPr>
        <w:t>.</w:t>
      </w:r>
      <w:r w:rsidRPr="00A34BAB">
        <w:rPr>
          <w:rStyle w:val="StyleUnderline"/>
        </w:rPr>
        <w:t xml:space="preserve"> The act of </w:t>
      </w:r>
      <w:r w:rsidRPr="00A34BAB">
        <w:rPr>
          <w:rStyle w:val="Emphasis"/>
        </w:rPr>
        <w:t>governing a common</w:t>
      </w:r>
      <w:r w:rsidRPr="00A34BAB">
        <w:rPr>
          <w:rStyle w:val="StyleUnderline"/>
        </w:rPr>
        <w:t xml:space="preserve"> </w:t>
      </w:r>
      <w:r w:rsidRPr="00A34BAB">
        <w:rPr>
          <w:rStyle w:val="Emphasis"/>
        </w:rPr>
        <w:t xml:space="preserve">is </w:t>
      </w:r>
      <w:r w:rsidRPr="00A34BAB">
        <w:rPr>
          <w:rStyle w:val="StyleUnderline"/>
        </w:rPr>
        <w:t>nothing more than the continuation of the</w:t>
      </w:r>
      <w:r w:rsidRPr="00A34BAB">
        <w:rPr>
          <w:rStyle w:val="Emphasis"/>
        </w:rPr>
        <w:t xml:space="preserve"> democratic </w:t>
      </w:r>
      <w:r w:rsidRPr="00A34BAB">
        <w:rPr>
          <w:rStyle w:val="StyleUnderline"/>
        </w:rPr>
        <w:t>act; it is thus a sort of continuation of the institution.</w:t>
      </w:r>
      <w:r w:rsidRPr="00A34BAB">
        <w:rPr>
          <w:sz w:val="16"/>
        </w:rPr>
        <w:t xml:space="preserve"> </w:t>
      </w:r>
      <w:r w:rsidRPr="00A34BAB">
        <w:rPr>
          <w:rStyle w:val="StyleUnderline"/>
        </w:rPr>
        <w:t xml:space="preserve">It consists of reviving this institution </w:t>
      </w:r>
      <w:r w:rsidRPr="00A34BAB">
        <w:rPr>
          <w:rStyle w:val="Emphasis"/>
        </w:rPr>
        <w:t>by critically assessing its</w:t>
      </w:r>
      <w:r w:rsidRPr="00A34BAB">
        <w:rPr>
          <w:rStyle w:val="StyleUnderline"/>
        </w:rPr>
        <w:t xml:space="preserve"> collective </w:t>
      </w:r>
      <w:r w:rsidRPr="00A34BAB">
        <w:rPr>
          <w:rStyle w:val="Emphasis"/>
        </w:rPr>
        <w:t>rules</w:t>
      </w:r>
      <w:r w:rsidRPr="00A34BAB">
        <w:rPr>
          <w:rStyle w:val="StyleUnderline"/>
        </w:rPr>
        <w:t xml:space="preserve">, whenever the situation demands it. As such, the governance of the common can only proceed from the principle of democracy – the </w:t>
      </w:r>
      <w:r w:rsidRPr="00A34BAB">
        <w:rPr>
          <w:rStyle w:val="Emphasis"/>
        </w:rPr>
        <w:t>non-democratic governance</w:t>
      </w:r>
      <w:r w:rsidRPr="00A34BAB">
        <w:rPr>
          <w:rStyle w:val="StyleUnderline"/>
        </w:rPr>
        <w:t xml:space="preserve"> of a common </w:t>
      </w:r>
      <w:r w:rsidRPr="00A34BAB">
        <w:rPr>
          <w:rStyle w:val="Emphasis"/>
        </w:rPr>
        <w:t>would threaten</w:t>
      </w:r>
      <w:r w:rsidRPr="00A34BAB">
        <w:t>,</w:t>
      </w:r>
      <w:r w:rsidRPr="00A34BAB">
        <w:rPr>
          <w:rStyle w:val="StyleUnderline"/>
        </w:rPr>
        <w:t xml:space="preserve"> in the short-term, </w:t>
      </w:r>
      <w:r w:rsidRPr="00A34BAB">
        <w:rPr>
          <w:rStyle w:val="Emphasis"/>
        </w:rPr>
        <w:t>the very existence of this common.</w:t>
      </w:r>
      <w:r w:rsidRPr="00A34BAB">
        <w:rPr>
          <w:rStyle w:val="StyleUnderline"/>
        </w:rPr>
        <w:t xml:space="preserve"> I call this the principle of the common, this time in the singular form.</w:t>
      </w:r>
      <w:r w:rsidRPr="00A34BAB">
        <w:rPr>
          <w:sz w:val="16"/>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w:t>
      </w:r>
      <w:r w:rsidRPr="00FB2583">
        <w:rPr>
          <w:sz w:val="16"/>
        </w:rPr>
        <w:t xml:space="preserve">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w:t>
      </w:r>
      <w:r w:rsidRPr="00916813">
        <w:rPr>
          <w:sz w:val="16"/>
        </w:rPr>
        <w:lastRenderedPageBreak/>
        <w:t xml:space="preserve">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 xml:space="preserve">A first </w:t>
      </w:r>
      <w:r w:rsidRPr="00A34BAB">
        <w:rPr>
          <w:rStyle w:val="Emphasis"/>
        </w:rPr>
        <w:t>example</w:t>
      </w:r>
      <w:r w:rsidRPr="00A34BAB">
        <w:rPr>
          <w:rStyle w:val="StyleUnderline"/>
        </w:rPr>
        <w:t xml:space="preserve"> will allow us to highlight this logic of limitlessness by examining the delegation of tasks between the state and private enterprises. </w:t>
      </w:r>
      <w:r w:rsidRPr="00A34BAB">
        <w:rPr>
          <w:sz w:val="16"/>
        </w:rPr>
        <w:t xml:space="preserve">On 25 November 2015, just a few days before the opening of the 21st Conference of the Parties (COP) of the Framework Convention on Climate Change in Paris, </w:t>
      </w:r>
      <w:r w:rsidRPr="00A34BAB">
        <w:rPr>
          <w:rStyle w:val="StyleUnderline"/>
        </w:rPr>
        <w:t xml:space="preserve">Barack </w:t>
      </w:r>
      <w:r w:rsidRPr="00A34BAB">
        <w:rPr>
          <w:rStyle w:val="Emphasis"/>
        </w:rPr>
        <w:t>Obama passed</w:t>
      </w:r>
      <w:r w:rsidRPr="00A34BAB">
        <w:rPr>
          <w:rStyle w:val="StyleUnderline"/>
        </w:rPr>
        <w:t xml:space="preserve"> law H.R.2262, which provided </w:t>
      </w:r>
      <w:r w:rsidRPr="00A34BAB">
        <w:rPr>
          <w:rStyle w:val="Emphasis"/>
        </w:rPr>
        <w:t>authorization for private American companies to use natural resources from outer space</w:t>
      </w:r>
      <w:r w:rsidRPr="00A34BAB">
        <w:rPr>
          <w:sz w:val="16"/>
        </w:rPr>
        <w:t xml:space="preserve"> (US Congress, 2015). </w:t>
      </w:r>
      <w:r w:rsidRPr="00A34BAB">
        <w:rPr>
          <w:rStyle w:val="StyleUnderline"/>
        </w:rPr>
        <w:t xml:space="preserve">As we know, </w:t>
      </w:r>
      <w:r w:rsidRPr="00A34BAB">
        <w:rPr>
          <w:rStyle w:val="Emphasis"/>
        </w:rPr>
        <w:t>the</w:t>
      </w:r>
      <w:r w:rsidRPr="00A34BAB">
        <w:rPr>
          <w:rStyle w:val="StyleUnderline"/>
        </w:rPr>
        <w:t xml:space="preserve"> 1967 </w:t>
      </w:r>
      <w:r w:rsidRPr="00A34BAB">
        <w:rPr>
          <w:rStyle w:val="Emphasis"/>
        </w:rPr>
        <w:t>Outer Space Treaty established the</w:t>
      </w:r>
      <w:r w:rsidRPr="00A34BAB">
        <w:rPr>
          <w:rStyle w:val="StyleUnderline"/>
        </w:rPr>
        <w:t xml:space="preserve"> legal </w:t>
      </w:r>
      <w:r w:rsidRPr="00A34BAB">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w:t>
      </w:r>
      <w:r w:rsidRPr="00E60491">
        <w:rPr>
          <w:rStyle w:val="StyleUnderline"/>
        </w:rPr>
        <w:lastRenderedPageBreak/>
        <w:t xml:space="preserve">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w:t>
      </w:r>
      <w:r w:rsidRPr="00916813">
        <w:rPr>
          <w:sz w:val="16"/>
          <w:szCs w:val="16"/>
        </w:rPr>
        <w:lastRenderedPageBreak/>
        <w:t>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w:t>
      </w:r>
      <w:r>
        <w:rPr>
          <w:sz w:val="16"/>
          <w:szCs w:val="16"/>
        </w:rPr>
        <w:lastRenderedPageBreak/>
        <w:t xml:space="preserve">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t>
      </w:r>
      <w:r w:rsidRPr="00592BA1">
        <w:rPr>
          <w:rStyle w:val="StyleUnderline"/>
        </w:rPr>
        <w:lastRenderedPageBreak/>
        <w:t xml:space="preserve">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lastRenderedPageBreak/>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364C88BC" w14:textId="77777777" w:rsidR="00D02FFA" w:rsidRPr="00AE7D26" w:rsidRDefault="00D02FFA" w:rsidP="00D02FFA">
      <w:pPr>
        <w:pStyle w:val="Heading4"/>
        <w:rPr>
          <w:rFonts w:cs="Calibri"/>
        </w:rPr>
      </w:pPr>
      <w:r w:rsidRPr="00744C0D">
        <w:rPr>
          <w:rFonts w:cs="Calibri"/>
        </w:rPr>
        <w:t xml:space="preserve">Since the national appropriation is banned by the OST, banning private appropriation would ipso facto result in space being a </w:t>
      </w:r>
      <w:r w:rsidRPr="00744C0D">
        <w:rPr>
          <w:rFonts w:cs="Calibri"/>
          <w:u w:val="single"/>
        </w:rPr>
        <w:t>global commons</w:t>
      </w:r>
      <w:r w:rsidRPr="00744C0D">
        <w:rPr>
          <w:rFonts w:cs="Calibri"/>
        </w:rPr>
        <w:t xml:space="preserve">, so the plan is </w:t>
      </w:r>
      <w:r w:rsidRPr="00744C0D">
        <w:rPr>
          <w:rFonts w:cs="Calibri"/>
          <w:u w:val="single"/>
        </w:rPr>
        <w:t>not extra T</w:t>
      </w:r>
      <w:r w:rsidRPr="00744C0D">
        <w:rPr>
          <w:rFonts w:cs="Calibri"/>
        </w:rPr>
        <w:t xml:space="preserve"> and is </w:t>
      </w:r>
      <w:r w:rsidRPr="00744C0D">
        <w:rPr>
          <w:rFonts w:cs="Calibri"/>
          <w:u w:val="single"/>
        </w:rPr>
        <w:t>normal means.</w:t>
      </w:r>
    </w:p>
    <w:p w14:paraId="3126685E" w14:textId="77777777" w:rsidR="00D02FFA" w:rsidRPr="00744C0D" w:rsidRDefault="00D02FFA" w:rsidP="00D02FFA">
      <w:r w:rsidRPr="00744C0D">
        <w:rPr>
          <w:rStyle w:val="Style13ptBold"/>
        </w:rPr>
        <w:t>Neto 21</w:t>
      </w:r>
      <w:r w:rsidRPr="00744C0D">
        <w:t xml:space="preserve"> [Bittencourt Neto, Olava de O. “Chapter 1: Outer Space as a Global Commons and the Role of Space Law,” A Research Agenda for Space Policy, Edward Elgar Publishing, Cheltenham, UK, 2021. https://www.elgaronline.com/view/edcoll/9781800374737/9781800374737.00009.xml] CT</w:t>
      </w:r>
    </w:p>
    <w:p w14:paraId="297EB059" w14:textId="77777777" w:rsidR="00D02FFA" w:rsidRPr="002B74BE" w:rsidRDefault="00D02FFA" w:rsidP="00D02FFA">
      <w:pPr>
        <w:ind w:left="720"/>
        <w:rPr>
          <w:sz w:val="16"/>
        </w:rPr>
      </w:pPr>
      <w:r w:rsidRPr="00744C0D">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w:t>
      </w:r>
      <w:r w:rsidRPr="00257E1A">
        <w:rPr>
          <w:sz w:val="16"/>
        </w:rPr>
        <w:t xml:space="preserve">applications and services, while outer space and orbital slots have become more congested with an increasing space debris population. </w:t>
      </w:r>
      <w:r w:rsidRPr="00257E1A">
        <w:rPr>
          <w:rStyle w:val="StyleUnderline"/>
        </w:rPr>
        <w:t xml:space="preserve">The </w:t>
      </w:r>
      <w:r w:rsidRPr="00257E1A">
        <w:rPr>
          <w:rStyle w:val="Emphasis"/>
        </w:rPr>
        <w:t>commercialization</w:t>
      </w:r>
      <w:r w:rsidRPr="00257E1A">
        <w:rPr>
          <w:rStyle w:val="StyleUnderline"/>
        </w:rPr>
        <w:t xml:space="preserve"> of space activities </w:t>
      </w:r>
      <w:r w:rsidRPr="00257E1A">
        <w:rPr>
          <w:rStyle w:val="Emphasis"/>
        </w:rPr>
        <w:t>has denounced a growing interest in private</w:t>
      </w:r>
      <w:r w:rsidRPr="00257E1A">
        <w:rPr>
          <w:rStyle w:val="StyleUnderline"/>
        </w:rPr>
        <w:t xml:space="preserve">, non-governmental </w:t>
      </w:r>
      <w:r w:rsidRPr="00257E1A">
        <w:rPr>
          <w:rStyle w:val="Emphasis"/>
        </w:rPr>
        <w:t>uses of</w:t>
      </w:r>
      <w:r w:rsidRPr="00257E1A">
        <w:rPr>
          <w:rStyle w:val="StyleUnderline"/>
        </w:rPr>
        <w:t xml:space="preserve"> outer </w:t>
      </w:r>
      <w:r w:rsidRPr="00257E1A">
        <w:rPr>
          <w:rStyle w:val="Emphasis"/>
        </w:rPr>
        <w:t>space</w:t>
      </w:r>
      <w:r w:rsidRPr="00257E1A">
        <w:rPr>
          <w:rStyle w:val="StyleUnderline"/>
        </w:rPr>
        <w:t>, including space resources.</w:t>
      </w:r>
      <w:r w:rsidRPr="00257E1A">
        <w:rPr>
          <w:sz w:val="16"/>
        </w:rPr>
        <w:t xml:space="preserve"> As such, outer space continues to prove itself as a strategic domain from scientific, economic, and security standpoints. </w:t>
      </w:r>
      <w:r w:rsidRPr="00257E1A">
        <w:rPr>
          <w:rStyle w:val="StyleUnderline"/>
        </w:rPr>
        <w:t xml:space="preserve">As far as international law is concerned, novel </w:t>
      </w:r>
      <w:r w:rsidRPr="00257E1A">
        <w:rPr>
          <w:rStyle w:val="Emphasis"/>
        </w:rPr>
        <w:t xml:space="preserve">debates have emerged about the ontological nature of </w:t>
      </w:r>
      <w:r w:rsidRPr="00257E1A">
        <w:rPr>
          <w:rStyle w:val="StyleUnderline"/>
        </w:rPr>
        <w:t xml:space="preserve">outer </w:t>
      </w:r>
      <w:r w:rsidRPr="00257E1A">
        <w:rPr>
          <w:rStyle w:val="Emphasis"/>
        </w:rPr>
        <w:t>space</w:t>
      </w:r>
      <w:r w:rsidRPr="00257E1A">
        <w:rPr>
          <w:rStyle w:val="StyleUnderline"/>
        </w:rPr>
        <w:t xml:space="preserve">. Incredibly vast, magnificent, and complex by nature, it constitutes a unique domain, unlike anywhere else on Earth. </w:t>
      </w:r>
      <w:r w:rsidRPr="00257E1A">
        <w:rPr>
          <w:sz w:val="16"/>
        </w:rPr>
        <w:t>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w:t>
      </w:r>
      <w:r w:rsidRPr="00744C0D">
        <w:rPr>
          <w:sz w:val="16"/>
        </w:rPr>
        <w:t xml:space="preserve">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(Bittencourt, 2015). Given the evolving nature of space activities and economy, the legal status of outer space has led to intensive debates in various fora. </w:t>
      </w:r>
      <w:r w:rsidRPr="00744C0D">
        <w:rPr>
          <w:rStyle w:val="StyleUnderline"/>
        </w:rPr>
        <w:t xml:space="preserve">By constituting </w:t>
      </w:r>
      <w:r w:rsidRPr="00744C0D">
        <w:rPr>
          <w:rStyle w:val="Emphasis"/>
          <w:highlight w:val="yellow"/>
        </w:rPr>
        <w:t>a resource domain to which all nations have access, but to which none</w:t>
      </w:r>
      <w:r w:rsidRPr="00744C0D">
        <w:rPr>
          <w:rStyle w:val="StyleUnderline"/>
        </w:rPr>
        <w:t xml:space="preserve"> has the right to </w:t>
      </w:r>
      <w:r w:rsidRPr="00744C0D">
        <w:rPr>
          <w:rStyle w:val="Emphasis"/>
          <w:highlight w:val="yellow"/>
        </w:rPr>
        <w:t>claim sovereignty,</w:t>
      </w:r>
      <w:r w:rsidRPr="00744C0D">
        <w:rPr>
          <w:rStyle w:val="StyleUnderline"/>
        </w:rPr>
        <w:t xml:space="preserve"> outer </w:t>
      </w:r>
      <w:r w:rsidRPr="00744C0D">
        <w:rPr>
          <w:rStyle w:val="Emphasis"/>
          <w:highlight w:val="yellow"/>
        </w:rPr>
        <w:t>space may be understood as</w:t>
      </w:r>
      <w:r w:rsidRPr="00744C0D">
        <w:rPr>
          <w:rStyle w:val="StyleUnderline"/>
        </w:rPr>
        <w:t xml:space="preserve"> an example of </w:t>
      </w:r>
      <w:r w:rsidRPr="00744C0D">
        <w:rPr>
          <w:rStyle w:val="Emphasis"/>
          <w:highlight w:val="yellow"/>
        </w:rPr>
        <w:t xml:space="preserve">global commons </w:t>
      </w:r>
      <w:r w:rsidRPr="00744C0D">
        <w:rPr>
          <w:rStyle w:val="StyleUnderline"/>
        </w:rPr>
        <w:t xml:space="preserve">– similarly to the high seas, deep seabed, and Antarctica </w:t>
      </w:r>
      <w:r w:rsidRPr="00744C0D">
        <w:rPr>
          <w:sz w:val="16"/>
        </w:rPr>
        <w:t xml:space="preserve">(Buck, 1998, p. 6). Therefore, outer space and its natural resources, including those located at the Moon and other celestial bodies, are not subject to national appropriation by any means. </w:t>
      </w:r>
      <w:r w:rsidRPr="00744C0D">
        <w:rPr>
          <w:rStyle w:val="StyleUnderline"/>
        </w:rPr>
        <w:t>The legal status of outer space as a global commons is of extraordinary importance and relevance for space law and space policy.</w:t>
      </w:r>
      <w:r w:rsidRPr="00744C0D">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r>
        <w:rPr>
          <w:sz w:val="16"/>
        </w:rPr>
        <w:t xml:space="preserve">¶ </w:t>
      </w:r>
      <w:r w:rsidRPr="00744C0D">
        <w:rPr>
          <w:sz w:val="16"/>
          <w:szCs w:val="16"/>
        </w:rPr>
        <w:t>2. Key problems and conflicts</w:t>
      </w:r>
      <w:r>
        <w:rPr>
          <w:sz w:val="16"/>
          <w:szCs w:val="16"/>
        </w:rPr>
        <w:t xml:space="preserve">¶ </w:t>
      </w:r>
      <w:r w:rsidRPr="00744C0D">
        <w:rPr>
          <w:rStyle w:val="Emphasis"/>
          <w:highlight w:val="yellow"/>
        </w:rPr>
        <w:t>In space law</w:t>
      </w:r>
      <w:r w:rsidRPr="00744C0D">
        <w:rPr>
          <w:rStyle w:val="StyleUnderline"/>
        </w:rPr>
        <w:t xml:space="preserve"> as in space policy, </w:t>
      </w:r>
      <w:r w:rsidRPr="00744C0D">
        <w:rPr>
          <w:rStyle w:val="Emphasis"/>
          <w:highlight w:val="yellow"/>
        </w:rPr>
        <w:t>words matter. By legally classifying outer space as a global commons,</w:t>
      </w:r>
      <w:r w:rsidRPr="00744C0D">
        <w:rPr>
          <w:rStyle w:val="StyleUnderline"/>
        </w:rPr>
        <w:t xml:space="preserve"> relevant political </w:t>
      </w:r>
      <w:r w:rsidRPr="00744C0D">
        <w:rPr>
          <w:rStyle w:val="Emphasis"/>
          <w:highlight w:val="yellow"/>
        </w:rPr>
        <w:t>consequences</w:t>
      </w:r>
      <w:r w:rsidRPr="00257E1A">
        <w:rPr>
          <w:rStyle w:val="Emphasis"/>
        </w:rPr>
        <w:t xml:space="preserve">, both national and international, naturally </w:t>
      </w:r>
      <w:r w:rsidRPr="00744C0D">
        <w:rPr>
          <w:rStyle w:val="Emphasis"/>
          <w:highlight w:val="yellow"/>
        </w:rPr>
        <w:t>ensue</w:t>
      </w:r>
      <w:r w:rsidRPr="00744C0D">
        <w:rPr>
          <w:rStyle w:val="StyleUnderline"/>
        </w:rPr>
        <w:t>.</w:t>
      </w:r>
      <w:r w:rsidRPr="00744C0D">
        <w:rPr>
          <w:sz w:val="16"/>
        </w:rPr>
        <w:t xml:space="preserve"> In order to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r>
        <w:rPr>
          <w:sz w:val="16"/>
        </w:rPr>
        <w:t xml:space="preserve">¶ </w:t>
      </w:r>
      <w:r w:rsidRPr="00744C0D">
        <w:rPr>
          <w:sz w:val="16"/>
          <w:szCs w:val="16"/>
        </w:rPr>
        <w:t>Global Commons Concept</w:t>
      </w:r>
      <w:r>
        <w:rPr>
          <w:sz w:val="16"/>
          <w:szCs w:val="16"/>
        </w:rPr>
        <w:t xml:space="preserve">¶ </w:t>
      </w:r>
      <w:r w:rsidRPr="00744C0D">
        <w:rPr>
          <w:sz w:val="16"/>
        </w:rPr>
        <w:t xml:space="preserve">Legally defining “global commons” has proved to be a challenge, leading to incompatible views. </w:t>
      </w:r>
      <w:r w:rsidRPr="00744C0D">
        <w:rPr>
          <w:rStyle w:val="Emphasis"/>
          <w:highlight w:val="yellow"/>
        </w:rPr>
        <w:t>Global commons are</w:t>
      </w:r>
      <w:r w:rsidRPr="00744C0D">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744C0D">
        <w:rPr>
          <w:sz w:val="16"/>
        </w:rPr>
        <w:t xml:space="preserve">More specifically, reference should be made to the notions of res nullius and res communis, applicable to domains not subjected to rights of a specific subject. Res nullius is understood as encompassing things belonging to no one or areas </w:t>
      </w:r>
      <w:r w:rsidRPr="00744C0D">
        <w:rPr>
          <w:sz w:val="16"/>
        </w:rPr>
        <w:lastRenderedPageBreak/>
        <w:t xml:space="preserve">free to be acquired by occupatio.1 Terrae nullius, a derivative international law concept, is applicable to unclaimed areas that may be occupied by states (Rose, 2003; Shaw, 2017, p. 372). </w:t>
      </w:r>
      <w:r w:rsidRPr="00744C0D">
        <w:rPr>
          <w:rStyle w:val="Emphasis"/>
          <w:highlight w:val="yellow"/>
        </w:rPr>
        <w:t>Not subjected to exclusive sovereignty</w:t>
      </w:r>
      <w:r w:rsidRPr="00744C0D">
        <w:rPr>
          <w:rStyle w:val="StyleUnderline"/>
        </w:rPr>
        <w:t xml:space="preserve">, global commons </w:t>
      </w:r>
      <w:r w:rsidRPr="00744C0D">
        <w:rPr>
          <w:rStyle w:val="Emphasis"/>
          <w:highlight w:val="yellow"/>
        </w:rPr>
        <w:t>may either be unowned</w:t>
      </w:r>
      <w:r w:rsidRPr="00744C0D">
        <w:rPr>
          <w:rStyle w:val="StyleUnderline"/>
        </w:rPr>
        <w:t xml:space="preserve"> resource </w:t>
      </w:r>
      <w:r w:rsidRPr="00744C0D">
        <w:rPr>
          <w:rStyle w:val="Emphasis"/>
          <w:highlight w:val="yellow"/>
        </w:rPr>
        <w:t>domains, or deemed as belonging to the international community in totum</w:t>
      </w:r>
      <w:r w:rsidRPr="00744C0D">
        <w:rPr>
          <w:sz w:val="16"/>
        </w:rPr>
        <w:t xml:space="preserve">. </w:t>
      </w:r>
      <w:r w:rsidRPr="00744C0D">
        <w:rPr>
          <w:rStyle w:val="StyleUnderline"/>
        </w:rPr>
        <w:t xml:space="preserve">Soroos explains that unowned domains can be regarded as commons if generally understood that </w:t>
      </w:r>
      <w:r w:rsidRPr="00744C0D">
        <w:rPr>
          <w:rStyle w:val="Emphasis"/>
          <w:highlight w:val="yellow"/>
        </w:rPr>
        <w:t>they cannot be claimed by any individual actor,</w:t>
      </w:r>
      <w:r w:rsidRPr="00744C0D">
        <w:rPr>
          <w:rStyle w:val="StyleUnderline"/>
        </w:rPr>
        <w:t xml:space="preserve"> neither partially nor as a whole. </w:t>
      </w:r>
      <w:r w:rsidRPr="00744C0D">
        <w:rPr>
          <w:rStyle w:val="Emphasis"/>
          <w:highlight w:val="yellow"/>
        </w:rPr>
        <w:t>A regulatory scheme may</w:t>
      </w:r>
      <w:r w:rsidRPr="00744C0D">
        <w:rPr>
          <w:rStyle w:val="Emphasis"/>
        </w:rPr>
        <w:t xml:space="preserve"> </w:t>
      </w:r>
      <w:r w:rsidRPr="00744C0D">
        <w:rPr>
          <w:rStyle w:val="StyleUnderline"/>
        </w:rPr>
        <w:t xml:space="preserve">eventually </w:t>
      </w:r>
      <w:r w:rsidRPr="00744C0D">
        <w:rPr>
          <w:rStyle w:val="Emphasis"/>
          <w:highlight w:val="yellow"/>
        </w:rPr>
        <w:t>be accorded by users, to reflect shared interests</w:t>
      </w:r>
      <w:r w:rsidRPr="00744C0D">
        <w:rPr>
          <w:rStyle w:val="StyleUnderline"/>
        </w:rPr>
        <w:t>. On the other hand, domains considered as belonging to the international community presume that all states are their partial owners, therefore legitimized to take part in the decision-making processes related to its uses</w:t>
      </w:r>
      <w:r w:rsidRPr="00744C0D">
        <w:rPr>
          <w:sz w:val="16"/>
        </w:rPr>
        <w:t xml:space="preserve"> (Soroos, 2001, p. 45).</w:t>
      </w:r>
    </w:p>
    <w:p w14:paraId="7C4003C5" w14:textId="0EDC5F7C" w:rsidR="00D02FFA" w:rsidRPr="00D02FFA" w:rsidRDefault="00D02FFA" w:rsidP="00D02FFA">
      <w:pPr>
        <w:pStyle w:val="Heading1"/>
      </w:pPr>
      <w:r w:rsidRPr="00D02FFA">
        <w:lastRenderedPageBreak/>
        <w:t>1ar</w:t>
      </w:r>
    </w:p>
    <w:p w14:paraId="53B3A4BF" w14:textId="614954F1" w:rsidR="00E42E4C" w:rsidRDefault="00FD1F51" w:rsidP="00FD1F51">
      <w:pPr>
        <w:pStyle w:val="Heading2"/>
      </w:pPr>
      <w:r>
        <w:lastRenderedPageBreak/>
        <w:t>UNOOSA CP</w:t>
      </w:r>
    </w:p>
    <w:p w14:paraId="72AAB70C" w14:textId="77777777" w:rsidR="00FD1F51" w:rsidRPr="00744C0D" w:rsidRDefault="00FD1F51" w:rsidP="00FD1F51">
      <w:pPr>
        <w:pStyle w:val="Heading4"/>
        <w:numPr>
          <w:ilvl w:val="0"/>
          <w:numId w:val="13"/>
        </w:numPr>
        <w:tabs>
          <w:tab w:val="num" w:pos="360"/>
        </w:tabs>
        <w:ind w:left="0" w:firstLine="0"/>
        <w:rPr>
          <w:rFonts w:cs="Calibri"/>
        </w:rPr>
      </w:pPr>
      <w:r w:rsidRPr="00744C0D">
        <w:rPr>
          <w:rFonts w:cs="Calibri"/>
        </w:rPr>
        <w:t>Solvency deficit - cleanup not sufficient; the only way to solve is by not putting the new satellites up there in the first place.</w:t>
      </w:r>
    </w:p>
    <w:p w14:paraId="1A3D495D" w14:textId="77777777" w:rsidR="00FD1F51" w:rsidRPr="00744C0D" w:rsidRDefault="00FD1F51" w:rsidP="00FD1F51">
      <w:r w:rsidRPr="00744C0D">
        <w:t xml:space="preserve">Leonard </w:t>
      </w:r>
      <w:r w:rsidRPr="00744C0D">
        <w:rPr>
          <w:b/>
          <w:bCs/>
          <w:sz w:val="26"/>
          <w:szCs w:val="26"/>
        </w:rPr>
        <w:t>David, 21</w:t>
      </w:r>
      <w:r w:rsidRPr="00744C0D">
        <w:t xml:space="preserve"> - ("Space Junk Removal Is Not Going Smoothly," Scientific American, 4-14-2021, 12-8-2021https://www.scientificamerican.com/article/space-junk-removal-is-not-going-smoothly/)//AW</w:t>
      </w:r>
    </w:p>
    <w:p w14:paraId="3C342DF5" w14:textId="77777777" w:rsidR="00FD1F51" w:rsidRPr="00744C0D" w:rsidRDefault="00FD1F51" w:rsidP="00FD1F51">
      <w:pPr>
        <w:rPr>
          <w:u w:val="single"/>
        </w:rPr>
      </w:pPr>
      <w:r w:rsidRPr="00744C0D">
        <w:rPr>
          <w:sz w:val="12"/>
        </w:rPr>
        <w:t>A Space Age “</w:t>
      </w:r>
      <w:r w:rsidRPr="00744C0D">
        <w:rPr>
          <w:highlight w:val="yellow"/>
          <w:u w:val="single"/>
        </w:rPr>
        <w:t>tragedy of</w:t>
      </w:r>
      <w:r w:rsidRPr="00744C0D">
        <w:rPr>
          <w:u w:val="single"/>
        </w:rPr>
        <w:t xml:space="preserve"> the </w:t>
      </w:r>
      <w:r w:rsidRPr="00744C0D">
        <w:rPr>
          <w:highlight w:val="yellow"/>
          <w:u w:val="single"/>
        </w:rPr>
        <w:t>commons</w:t>
      </w:r>
      <w:r w:rsidRPr="00744C0D">
        <w:rPr>
          <w:sz w:val="12"/>
        </w:rPr>
        <w:t xml:space="preserve">” </w:t>
      </w:r>
      <w:r w:rsidRPr="00744C0D">
        <w:rPr>
          <w:u w:val="single"/>
        </w:rPr>
        <w:t xml:space="preserve">is </w:t>
      </w:r>
      <w:r w:rsidRPr="00744C0D">
        <w:rPr>
          <w:highlight w:val="yellow"/>
          <w:u w:val="single"/>
        </w:rPr>
        <w:t>unfolding</w:t>
      </w:r>
      <w:r w:rsidRPr="00744C0D">
        <w:rPr>
          <w:sz w:val="12"/>
        </w:rPr>
        <w:t xml:space="preserve"> right under our nose—or, really, right over our head—and </w:t>
      </w:r>
      <w:r w:rsidRPr="00744C0D">
        <w:rPr>
          <w:highlight w:val="yellow"/>
          <w:u w:val="single"/>
        </w:rPr>
        <w:t>no consensus</w:t>
      </w:r>
      <w:r w:rsidRPr="00744C0D">
        <w:rPr>
          <w:sz w:val="12"/>
        </w:rPr>
        <w:t xml:space="preserve"> yet </w:t>
      </w:r>
      <w:r w:rsidRPr="00744C0D">
        <w:rPr>
          <w:highlight w:val="yellow"/>
          <w:u w:val="single"/>
        </w:rPr>
        <w:t>exists</w:t>
      </w:r>
      <w:r w:rsidRPr="00744C0D">
        <w:rPr>
          <w:u w:val="single"/>
        </w:rPr>
        <w:t xml:space="preserve"> on how to stop it.</w:t>
      </w:r>
      <w:r w:rsidRPr="00744C0D">
        <w:rPr>
          <w:sz w:val="12"/>
        </w:rPr>
        <w:t xml:space="preserve"> For more than a half-century, humans have been hurling objects into low-Earth orbit in ever growing numbers. And with few meaningful limitations on further launches into that increasingly congested realm, the prevailing attitude has been persistently permissive: in orbit, it seems, there is always room for one more. After so many decades of the </w:t>
      </w:r>
      <w:r w:rsidRPr="00744C0D">
        <w:rPr>
          <w:highlight w:val="yellow"/>
          <w:u w:val="single"/>
        </w:rPr>
        <w:t>buildup</w:t>
      </w:r>
      <w:r w:rsidRPr="00744C0D">
        <w:rPr>
          <w:sz w:val="12"/>
        </w:rPr>
        <w:t xml:space="preserve"> of high-speed clutter in the form of spent rocket stages, stray bolts and paint chips, solid-rocket-motor slag, dead or dying satellites and the scattered fragments from antisatellite tests—all of which </w:t>
      </w:r>
      <w:r w:rsidRPr="00744C0D">
        <w:rPr>
          <w:highlight w:val="yellow"/>
          <w:u w:val="single"/>
        </w:rPr>
        <w:t>could</w:t>
      </w:r>
      <w:r w:rsidRPr="00744C0D">
        <w:rPr>
          <w:sz w:val="12"/>
        </w:rPr>
        <w:t xml:space="preserve"> individually </w:t>
      </w:r>
      <w:r w:rsidRPr="00744C0D">
        <w:rPr>
          <w:highlight w:val="yellow"/>
          <w:u w:val="single"/>
        </w:rPr>
        <w:t>damage</w:t>
      </w:r>
      <w:r w:rsidRPr="00744C0D">
        <w:rPr>
          <w:sz w:val="12"/>
        </w:rPr>
        <w:t xml:space="preserve"> or destroy </w:t>
      </w:r>
      <w:r w:rsidRPr="00744C0D">
        <w:rPr>
          <w:u w:val="single"/>
        </w:rPr>
        <w:t xml:space="preserve">other </w:t>
      </w:r>
      <w:r w:rsidRPr="00744C0D">
        <w:rPr>
          <w:highlight w:val="yellow"/>
          <w:u w:val="single"/>
        </w:rPr>
        <w:t>assets</w:t>
      </w:r>
      <w:r w:rsidRPr="00744C0D">
        <w:rPr>
          <w:sz w:val="12"/>
        </w:rPr>
        <w:t>—</w:t>
      </w:r>
      <w:r w:rsidRPr="00744C0D">
        <w:rPr>
          <w:highlight w:val="yellow"/>
          <w:u w:val="single"/>
        </w:rPr>
        <w:t>l</w:t>
      </w:r>
      <w:r w:rsidRPr="00744C0D">
        <w:rPr>
          <w:u w:val="single"/>
        </w:rPr>
        <w:t>ow-</w:t>
      </w:r>
      <w:r w:rsidRPr="00744C0D">
        <w:rPr>
          <w:highlight w:val="yellow"/>
          <w:u w:val="single"/>
        </w:rPr>
        <w:t>E</w:t>
      </w:r>
      <w:r w:rsidRPr="00744C0D">
        <w:rPr>
          <w:u w:val="single"/>
        </w:rPr>
        <w:t xml:space="preserve">arth </w:t>
      </w:r>
      <w:r w:rsidRPr="00744C0D">
        <w:rPr>
          <w:highlight w:val="yellow"/>
          <w:u w:val="single"/>
        </w:rPr>
        <w:t>o</w:t>
      </w:r>
      <w:r w:rsidRPr="00744C0D">
        <w:rPr>
          <w:u w:val="single"/>
        </w:rPr>
        <w:t>rbit is</w:t>
      </w:r>
      <w:r w:rsidRPr="00744C0D">
        <w:rPr>
          <w:sz w:val="12"/>
        </w:rPr>
        <w:t xml:space="preserve"> finally on the verge of </w:t>
      </w:r>
      <w:r w:rsidRPr="00744C0D">
        <w:rPr>
          <w:highlight w:val="yellow"/>
          <w:u w:val="single"/>
        </w:rPr>
        <w:t>becoming too crowded</w:t>
      </w:r>
      <w:r w:rsidRPr="00744C0D">
        <w:rPr>
          <w:sz w:val="12"/>
        </w:rPr>
        <w:t xml:space="preserve"> for comfort. And the </w:t>
      </w:r>
      <w:r w:rsidRPr="00744C0D">
        <w:rPr>
          <w:highlight w:val="yellow"/>
          <w:u w:val="single"/>
        </w:rPr>
        <w:t>problem</w:t>
      </w:r>
      <w:r w:rsidRPr="00744C0D">
        <w:rPr>
          <w:sz w:val="12"/>
        </w:rPr>
        <w:t xml:space="preserve"> is now poised to </w:t>
      </w:r>
      <w:r w:rsidRPr="00744C0D">
        <w:rPr>
          <w:highlight w:val="yellow"/>
          <w:u w:val="single"/>
        </w:rPr>
        <w:t>get much worse because of</w:t>
      </w:r>
      <w:r w:rsidRPr="00744C0D">
        <w:rPr>
          <w:sz w:val="12"/>
        </w:rPr>
        <w:t xml:space="preserve"> the rise of satellite “</w:t>
      </w:r>
      <w:r w:rsidRPr="00744C0D">
        <w:rPr>
          <w:highlight w:val="yellow"/>
          <w:u w:val="single"/>
        </w:rPr>
        <w:t>mega constellations</w:t>
      </w:r>
      <w:r w:rsidRPr="00744C0D">
        <w:rPr>
          <w:sz w:val="12"/>
        </w:rPr>
        <w:t xml:space="preserve">” requiring thousands of spacecraft, </w:t>
      </w:r>
      <w:r w:rsidRPr="00744C0D">
        <w:rPr>
          <w:u w:val="single"/>
        </w:rPr>
        <w:t>such as SpaceX’s Starlink</w:t>
      </w:r>
      <w:r w:rsidRPr="00744C0D">
        <w:rPr>
          <w:sz w:val="12"/>
        </w:rPr>
        <w:t xml:space="preserve">, a broadband Internet network. Starlink is but one of many similar projects: Another mega </w:t>
      </w:r>
      <w:r w:rsidRPr="00744C0D">
        <w:rPr>
          <w:u w:val="single"/>
        </w:rPr>
        <w:t>constellation from</w:t>
      </w:r>
      <w:r w:rsidRPr="00744C0D">
        <w:rPr>
          <w:sz w:val="12"/>
        </w:rPr>
        <w:t xml:space="preserve"> a company called </w:t>
      </w:r>
      <w:r w:rsidRPr="00744C0D">
        <w:rPr>
          <w:u w:val="single"/>
        </w:rPr>
        <w:t>OneWeb</w:t>
      </w:r>
      <w:r w:rsidRPr="00744C0D">
        <w:rPr>
          <w:sz w:val="12"/>
        </w:rPr>
        <w:t xml:space="preserve"> is already being deployed. </w:t>
      </w:r>
      <w:r w:rsidRPr="00744C0D">
        <w:rPr>
          <w:u w:val="single"/>
        </w:rPr>
        <w:t xml:space="preserve">And Amazon’s Project Kuiper is seeking to create a mega constellation of up to 3,200 satellites </w:t>
      </w:r>
      <w:r w:rsidRPr="00744C0D">
        <w:rPr>
          <w:sz w:val="12"/>
        </w:rPr>
        <w:t xml:space="preserve">in the near future. As the congestion has grown, so too have close calls between orbiting assets. The International Space Station, for instance, regularly tweaks its orbit to avoid potentially hazardous debris. Worse yet, there has been an uptick in the threat of full-on collisions that generate menacing refuse that exacerbates the already bad situation. Consider the February 2009 run-in between a dead Russian Cosmos satellite and a commercial Iridium spacecraft, which produced an enormous amount of debris. Finding ways to remove at least some of all that space junk should be a top global priority, says Donald Kessler, a retired NASA senior scientist for orbital debris research. In the late 1970s he foretold the possibility of a scenario that has been dubbed the </w:t>
      </w:r>
      <w:r w:rsidRPr="00744C0D">
        <w:rPr>
          <w:u w:val="single"/>
        </w:rPr>
        <w:t xml:space="preserve">Kessler syndrome: </w:t>
      </w:r>
      <w:r w:rsidRPr="00744C0D">
        <w:rPr>
          <w:highlight w:val="yellow"/>
          <w:u w:val="single"/>
        </w:rPr>
        <w:t>as</w:t>
      </w:r>
      <w:r w:rsidRPr="00744C0D">
        <w:rPr>
          <w:u w:val="single"/>
        </w:rPr>
        <w:t xml:space="preserve"> the density of </w:t>
      </w:r>
      <w:r w:rsidRPr="00744C0D">
        <w:rPr>
          <w:highlight w:val="yellow"/>
          <w:u w:val="single"/>
        </w:rPr>
        <w:t>space rubbish increases, a cascading</w:t>
      </w:r>
      <w:r w:rsidRPr="00744C0D">
        <w:rPr>
          <w:sz w:val="12"/>
        </w:rPr>
        <w:t xml:space="preserve">, self-sustaining runaway </w:t>
      </w:r>
      <w:r w:rsidRPr="00744C0D">
        <w:rPr>
          <w:highlight w:val="yellow"/>
          <w:u w:val="single"/>
        </w:rPr>
        <w:t>cycle of debris-generating collisions</w:t>
      </w:r>
      <w:r w:rsidRPr="00744C0D">
        <w:rPr>
          <w:sz w:val="12"/>
        </w:rPr>
        <w:t xml:space="preserve"> can </w:t>
      </w:r>
      <w:r w:rsidRPr="00744C0D">
        <w:rPr>
          <w:highlight w:val="yellow"/>
          <w:u w:val="single"/>
        </w:rPr>
        <w:t>arise</w:t>
      </w:r>
      <w:r w:rsidRPr="00744C0D">
        <w:rPr>
          <w:u w:val="single"/>
        </w:rPr>
        <w:t xml:space="preserve"> </w:t>
      </w:r>
      <w:r w:rsidRPr="00744C0D">
        <w:rPr>
          <w:highlight w:val="yellow"/>
          <w:u w:val="single"/>
        </w:rPr>
        <w:t>that</w:t>
      </w:r>
      <w:r w:rsidRPr="00744C0D">
        <w:rPr>
          <w:sz w:val="12"/>
        </w:rPr>
        <w:t xml:space="preserve"> might ultimately </w:t>
      </w:r>
      <w:r w:rsidRPr="00744C0D">
        <w:rPr>
          <w:highlight w:val="yellow"/>
          <w:u w:val="single"/>
        </w:rPr>
        <w:t>make l</w:t>
      </w:r>
      <w:r w:rsidRPr="00744C0D">
        <w:rPr>
          <w:u w:val="single"/>
        </w:rPr>
        <w:t>ow-</w:t>
      </w:r>
      <w:r w:rsidRPr="00744C0D">
        <w:rPr>
          <w:highlight w:val="yellow"/>
          <w:u w:val="single"/>
        </w:rPr>
        <w:t>E</w:t>
      </w:r>
      <w:r w:rsidRPr="00744C0D">
        <w:rPr>
          <w:u w:val="single"/>
        </w:rPr>
        <w:t xml:space="preserve">arth </w:t>
      </w:r>
      <w:r w:rsidRPr="00744C0D">
        <w:rPr>
          <w:highlight w:val="yellow"/>
          <w:u w:val="single"/>
        </w:rPr>
        <w:t>o</w:t>
      </w:r>
      <w:r w:rsidRPr="00744C0D">
        <w:rPr>
          <w:u w:val="single"/>
        </w:rPr>
        <w:t xml:space="preserve">rbit too </w:t>
      </w:r>
      <w:r w:rsidRPr="00744C0D">
        <w:rPr>
          <w:highlight w:val="yellow"/>
          <w:u w:val="single"/>
        </w:rPr>
        <w:t>hazardous</w:t>
      </w:r>
      <w:r w:rsidRPr="00744C0D">
        <w:rPr>
          <w:u w:val="single"/>
        </w:rPr>
        <w:t xml:space="preserve"> to support</w:t>
      </w:r>
      <w:r w:rsidRPr="00744C0D">
        <w:rPr>
          <w:sz w:val="12"/>
        </w:rPr>
        <w:t xml:space="preserve"> most space </w:t>
      </w:r>
      <w:r w:rsidRPr="00744C0D">
        <w:rPr>
          <w:u w:val="single"/>
        </w:rPr>
        <w:t xml:space="preserve">activities. </w:t>
      </w:r>
      <w:r w:rsidRPr="00744C0D">
        <w:rPr>
          <w:sz w:val="12"/>
        </w:rPr>
        <w:t xml:space="preserve">“There is now agreement within the community that the debris environment has reached a ‘tipping point’ where debris would continue to increase even if all launches were stopped,” Kessler says. “It takes an Iridium-Cosmos-type collision to get everyone’s attention. That’s what it boils down to.... And we’re overdue for something like that to happen.” As for </w:t>
      </w:r>
      <w:r w:rsidRPr="00744C0D">
        <w:rPr>
          <w:highlight w:val="yellow"/>
          <w:u w:val="single"/>
        </w:rPr>
        <w:t>the Kessler syndrome</w:t>
      </w:r>
      <w:r w:rsidRPr="00744C0D">
        <w:rPr>
          <w:sz w:val="12"/>
        </w:rPr>
        <w:t xml:space="preserve">, “it </w:t>
      </w:r>
      <w:r w:rsidRPr="00744C0D">
        <w:rPr>
          <w:highlight w:val="yellow"/>
          <w:u w:val="single"/>
        </w:rPr>
        <w:t>has</w:t>
      </w:r>
      <w:r w:rsidRPr="00744C0D">
        <w:rPr>
          <w:u w:val="single"/>
        </w:rPr>
        <w:t xml:space="preserve"> already </w:t>
      </w:r>
      <w:r w:rsidRPr="00744C0D">
        <w:rPr>
          <w:highlight w:val="yellow"/>
          <w:u w:val="single"/>
        </w:rPr>
        <w:t>started</w:t>
      </w:r>
      <w:r w:rsidRPr="00744C0D">
        <w:rPr>
          <w:sz w:val="12"/>
        </w:rPr>
        <w:t>,” the debris expert says. “</w:t>
      </w:r>
      <w:r w:rsidRPr="00744C0D">
        <w:rPr>
          <w:u w:val="single"/>
        </w:rPr>
        <w:t>There are collisions taking place</w:t>
      </w:r>
      <w:r w:rsidRPr="00744C0D">
        <w:rPr>
          <w:sz w:val="12"/>
        </w:rPr>
        <w:t xml:space="preserve"> all the time—</w:t>
      </w:r>
      <w:r w:rsidRPr="00744C0D">
        <w:rPr>
          <w:u w:val="single"/>
        </w:rPr>
        <w:t>less dramatic and not at the large size scale</w:t>
      </w:r>
      <w:r w:rsidRPr="00744C0D">
        <w:rPr>
          <w:sz w:val="12"/>
        </w:rPr>
        <w:t xml:space="preserve">,” Kessler adds. Kessler’s nightmare scenario has yielded no shortage of possible debris-flushing fixes: nets, laser blasts, harpoons, giant foam balls, puffs of air, tethers and solar sails—as well as garbage-gathering robotic arms and tentacles—have all been proposed as solutions for taking out our orbital trash. A new entrant in grappling with this worrisome state of affairs is the just launched End-of-Life Services by Astroscale Demonstration (ELSA-d) mission. ELSA-d is a two-satellite mission developed by Astroscale, a Japan-based satellite services company: it consists of a “servicer” satellite designed to safely remove debris from orbit and a “client” one that doubles as an object of interest. The project aims to showcase a magnetic system that can capture stable and even tumbling objects, whether for disposal or servicing in orbit. Following a multiphase test agenda, the servicer and client will then deorbit together, disintegrating during their fiery plunge into Earth’s atmosphere. ADVERTISEMENT ELSA-d is now circling in Earth orbit. The mission was lofted on March 22 via a Russian Soyuz rocket that tossed scads of other hitchhiking satellites into space. Following the liftoff, Astroscale’s founder and CEO Nobu Okada said ELSA-d will prove </w:t>
      </w:r>
      <w:r w:rsidRPr="00744C0D">
        <w:rPr>
          <w:u w:val="single"/>
        </w:rPr>
        <w:t xml:space="preserve">out </w:t>
      </w:r>
      <w:r w:rsidRPr="00744C0D">
        <w:rPr>
          <w:highlight w:val="yellow"/>
          <w:u w:val="single"/>
        </w:rPr>
        <w:t>debris-removal</w:t>
      </w:r>
      <w:r w:rsidRPr="00744C0D">
        <w:rPr>
          <w:sz w:val="12"/>
        </w:rPr>
        <w:t xml:space="preserve"> capabilities and “propel regulatory developments and advance the business case for end-of-life and active debris removal </w:t>
      </w:r>
      <w:r w:rsidRPr="00744C0D">
        <w:rPr>
          <w:highlight w:val="yellow"/>
          <w:u w:val="single"/>
        </w:rPr>
        <w:t>service</w:t>
      </w:r>
      <w:r w:rsidRPr="00744C0D">
        <w:rPr>
          <w:sz w:val="12"/>
          <w:highlight w:val="yellow"/>
        </w:rPr>
        <w:t>s</w:t>
      </w:r>
      <w:r w:rsidRPr="00744C0D">
        <w:rPr>
          <w:sz w:val="12"/>
        </w:rPr>
        <w:t xml:space="preserve">.” The launch is a step toward realizing “safe and sustainable development of space for the benefit of future generations,” he said. Although ELSA-d and other technology demonstrations of its ilk are unquestionably positive developments for clearing orbital debris, they should not be mistaken for cure-alls. Despite their modest successes, such </w:t>
      </w:r>
      <w:r w:rsidRPr="00744C0D">
        <w:rPr>
          <w:u w:val="single"/>
        </w:rPr>
        <w:t xml:space="preserve">missions </w:t>
      </w:r>
      <w:r w:rsidRPr="00744C0D">
        <w:rPr>
          <w:highlight w:val="yellow"/>
          <w:u w:val="single"/>
        </w:rPr>
        <w:t>are falling short</w:t>
      </w:r>
      <w:r w:rsidRPr="00744C0D">
        <w:rPr>
          <w:u w:val="single"/>
        </w:rPr>
        <w:t xml:space="preserve"> of addressing the dynamic dilemma at hand</w:t>
      </w:r>
      <w:r w:rsidRPr="00744C0D">
        <w:rPr>
          <w:sz w:val="12"/>
        </w:rPr>
        <w:t xml:space="preserve">, </w:t>
      </w:r>
      <w:r w:rsidRPr="00744C0D">
        <w:rPr>
          <w:u w:val="single"/>
        </w:rPr>
        <w:t>and</w:t>
      </w:r>
      <w:r w:rsidRPr="00744C0D">
        <w:rPr>
          <w:sz w:val="12"/>
        </w:rPr>
        <w:t xml:space="preserve"> the </w:t>
      </w:r>
      <w:r w:rsidRPr="00744C0D">
        <w:rPr>
          <w:highlight w:val="yellow"/>
          <w:u w:val="single"/>
        </w:rPr>
        <w:t>prolif</w:t>
      </w:r>
      <w:r w:rsidRPr="00744C0D">
        <w:rPr>
          <w:sz w:val="12"/>
        </w:rPr>
        <w:t xml:space="preserve">eration of space junk </w:t>
      </w:r>
      <w:r w:rsidRPr="00744C0D">
        <w:rPr>
          <w:highlight w:val="yellow"/>
          <w:u w:val="single"/>
        </w:rPr>
        <w:t>continues</w:t>
      </w:r>
      <w:r w:rsidRPr="00744C0D">
        <w:rPr>
          <w:sz w:val="12"/>
        </w:rPr>
        <w:t xml:space="preserve"> essentially </w:t>
      </w:r>
      <w:r w:rsidRPr="00744C0D">
        <w:rPr>
          <w:highlight w:val="yellow"/>
          <w:u w:val="single"/>
        </w:rPr>
        <w:t>unabated</w:t>
      </w:r>
      <w:r w:rsidRPr="00744C0D">
        <w:rPr>
          <w:u w:val="single"/>
        </w:rPr>
        <w:t>.</w:t>
      </w:r>
    </w:p>
    <w:p w14:paraId="38D3DA2F" w14:textId="77777777" w:rsidR="00FD1F51" w:rsidRPr="00744C0D" w:rsidRDefault="00FD1F51" w:rsidP="00FD1F51">
      <w:pPr>
        <w:pStyle w:val="Heading4"/>
        <w:numPr>
          <w:ilvl w:val="0"/>
          <w:numId w:val="13"/>
        </w:numPr>
        <w:tabs>
          <w:tab w:val="num" w:pos="360"/>
        </w:tabs>
        <w:ind w:left="0" w:firstLine="0"/>
        <w:rPr>
          <w:rFonts w:cs="Calibri"/>
        </w:rPr>
      </w:pPr>
      <w:r w:rsidRPr="00744C0D">
        <w:rPr>
          <w:rFonts w:cs="Calibri"/>
        </w:rPr>
        <w:t>Debris remediation causes war because of dual-use tech, but the plan solves by increasing coop and putting less craft in the leo.</w:t>
      </w:r>
    </w:p>
    <w:p w14:paraId="3266102C" w14:textId="77777777" w:rsidR="00FD1F51" w:rsidRPr="00744C0D" w:rsidRDefault="00FD1F51" w:rsidP="00FD1F51">
      <w:r w:rsidRPr="00744C0D">
        <w:t xml:space="preserve">Saadia </w:t>
      </w:r>
      <w:r w:rsidRPr="00744C0D">
        <w:rPr>
          <w:b/>
          <w:bCs/>
          <w:sz w:val="26"/>
          <w:szCs w:val="26"/>
        </w:rPr>
        <w:t>Pekkanen, 18</w:t>
      </w:r>
      <w:r w:rsidRPr="00744C0D">
        <w:t xml:space="preserve"> - ("Why space debris cleanup might be a national security threat," Conversation, 11-13-2018, 1-21-2022https://theconversation.com/why-space-debris-cleanup-might-be-a-national-security-threat-105816)//AW</w:t>
      </w:r>
    </w:p>
    <w:p w14:paraId="10872C52" w14:textId="77777777" w:rsidR="00FD1F51" w:rsidRDefault="00FD1F51" w:rsidP="00FD1F51">
      <w:pPr>
        <w:rPr>
          <w:sz w:val="12"/>
        </w:rPr>
      </w:pPr>
      <w:r w:rsidRPr="00744C0D">
        <w:rPr>
          <w:highlight w:val="yellow"/>
          <w:u w:val="single"/>
        </w:rPr>
        <w:t>The</w:t>
      </w:r>
      <w:r w:rsidRPr="00744C0D">
        <w:rPr>
          <w:u w:val="single"/>
        </w:rPr>
        <w:t xml:space="preserve"> set of </w:t>
      </w:r>
      <w:r w:rsidRPr="00744C0D">
        <w:rPr>
          <w:sz w:val="12"/>
        </w:rPr>
        <w:t xml:space="preserve">government or commercial </w:t>
      </w:r>
      <w:r w:rsidRPr="00744C0D">
        <w:rPr>
          <w:highlight w:val="yellow"/>
          <w:u w:val="single"/>
        </w:rPr>
        <w:t>solutions</w:t>
      </w:r>
      <w:r w:rsidRPr="00744C0D">
        <w:rPr>
          <w:u w:val="single"/>
        </w:rPr>
        <w:t xml:space="preserve"> </w:t>
      </w:r>
      <w:r w:rsidRPr="00744C0D">
        <w:rPr>
          <w:highlight w:val="yellow"/>
          <w:u w:val="single"/>
        </w:rPr>
        <w:t>to counter</w:t>
      </w:r>
      <w:r w:rsidRPr="00744C0D">
        <w:rPr>
          <w:u w:val="single"/>
        </w:rPr>
        <w:t xml:space="preserve"> orbital </w:t>
      </w:r>
      <w:r w:rsidRPr="00744C0D">
        <w:rPr>
          <w:highlight w:val="yellow"/>
          <w:u w:val="single"/>
        </w:rPr>
        <w:t>debris</w:t>
      </w:r>
      <w:r w:rsidRPr="00744C0D">
        <w:rPr>
          <w:u w:val="single"/>
        </w:rPr>
        <w:t xml:space="preserve"> – </w:t>
      </w:r>
      <w:r w:rsidRPr="00744C0D">
        <w:rPr>
          <w:highlight w:val="yellow"/>
          <w:u w:val="single"/>
        </w:rPr>
        <w:t>whether lasers, nets, magnets, tethers, robotic arms or co-orbiting service satellites</w:t>
      </w:r>
      <w:r w:rsidRPr="00744C0D">
        <w:rPr>
          <w:u w:val="single"/>
        </w:rPr>
        <w:t xml:space="preserve"> – </w:t>
      </w:r>
      <w:r w:rsidRPr="00744C0D">
        <w:rPr>
          <w:highlight w:val="yellow"/>
          <w:u w:val="single"/>
        </w:rPr>
        <w:t>have</w:t>
      </w:r>
      <w:r w:rsidRPr="00744C0D">
        <w:rPr>
          <w:u w:val="single"/>
        </w:rPr>
        <w:t xml:space="preserve"> only </w:t>
      </w:r>
      <w:r w:rsidRPr="00744C0D">
        <w:rPr>
          <w:highlight w:val="yellow"/>
          <w:u w:val="single"/>
        </w:rPr>
        <w:t>fueled</w:t>
      </w:r>
      <w:r w:rsidRPr="00744C0D">
        <w:rPr>
          <w:u w:val="single"/>
        </w:rPr>
        <w:t xml:space="preserve"> the </w:t>
      </w:r>
      <w:r w:rsidRPr="00744C0D">
        <w:rPr>
          <w:highlight w:val="yellow"/>
          <w:u w:val="single"/>
        </w:rPr>
        <w:t>prospects for a stealthy race for dominance in outer space.</w:t>
      </w:r>
      <w:r w:rsidRPr="00744C0D">
        <w:rPr>
          <w:u w:val="single"/>
        </w:rPr>
        <w:t xml:space="preserve"> The same </w:t>
      </w:r>
      <w:r w:rsidRPr="00744C0D">
        <w:rPr>
          <w:highlight w:val="yellow"/>
          <w:u w:val="single"/>
        </w:rPr>
        <w:t>tech</w:t>
      </w:r>
      <w:r w:rsidRPr="00744C0D">
        <w:rPr>
          <w:sz w:val="12"/>
        </w:rPr>
        <w:t xml:space="preserve">nology </w:t>
      </w:r>
      <w:r w:rsidRPr="00744C0D">
        <w:rPr>
          <w:highlight w:val="yellow"/>
          <w:u w:val="single"/>
        </w:rPr>
        <w:t>that captures</w:t>
      </w:r>
      <w:r w:rsidRPr="00744C0D">
        <w:rPr>
          <w:sz w:val="12"/>
        </w:rPr>
        <w:t xml:space="preserve"> or zaps or drags away the </w:t>
      </w:r>
      <w:r w:rsidRPr="00744C0D">
        <w:rPr>
          <w:highlight w:val="yellow"/>
          <w:u w:val="single"/>
        </w:rPr>
        <w:t>debris can do the same to a functioning spacecraft.</w:t>
      </w:r>
      <w:r w:rsidRPr="00744C0D">
        <w:rPr>
          <w:u w:val="single"/>
        </w:rPr>
        <w:t xml:space="preserve"> </w:t>
      </w:r>
      <w:r w:rsidRPr="00744C0D">
        <w:rPr>
          <w:sz w:val="12"/>
        </w:rPr>
        <w:t xml:space="preserve">Since </w:t>
      </w:r>
      <w:r w:rsidRPr="00744C0D">
        <w:rPr>
          <w:highlight w:val="yellow"/>
          <w:u w:val="single"/>
        </w:rPr>
        <w:t>nobody can be sure about the intent</w:t>
      </w:r>
      <w:r w:rsidRPr="00744C0D">
        <w:rPr>
          <w:sz w:val="12"/>
        </w:rPr>
        <w:t xml:space="preserve"> </w:t>
      </w:r>
    </w:p>
    <w:p w14:paraId="2CBC1271" w14:textId="77777777" w:rsidR="00FD1F51" w:rsidRDefault="00FD1F51" w:rsidP="00FD1F51">
      <w:pPr>
        <w:rPr>
          <w:sz w:val="12"/>
        </w:rPr>
      </w:pPr>
    </w:p>
    <w:p w14:paraId="461C4BEC" w14:textId="77777777" w:rsidR="00FD1F51" w:rsidRPr="00744C0D" w:rsidRDefault="00FD1F51" w:rsidP="00FD1F51">
      <w:pPr>
        <w:rPr>
          <w:sz w:val="12"/>
        </w:rPr>
      </w:pPr>
      <w:r w:rsidRPr="00744C0D">
        <w:rPr>
          <w:sz w:val="12"/>
        </w:rPr>
        <w:lastRenderedPageBreak/>
        <w:t xml:space="preserve">behind such proposed “commercial” space debris cleanup technologies, governments will race to get ahead of their market competitors. </w:t>
      </w:r>
      <w:r w:rsidRPr="00744C0D">
        <w:rPr>
          <w:u w:val="single"/>
        </w:rPr>
        <w:t>It matters</w:t>
      </w:r>
      <w:r w:rsidRPr="00744C0D">
        <w:rPr>
          <w:sz w:val="12"/>
        </w:rPr>
        <w:t xml:space="preserve"> how and with what intent you counter space debris with dual-use technologies, and more so </w:t>
      </w:r>
      <w:r w:rsidRPr="00744C0D">
        <w:rPr>
          <w:highlight w:val="yellow"/>
          <w:u w:val="single"/>
        </w:rPr>
        <w:t>at a time of flux in the world order.</w:t>
      </w:r>
      <w:r w:rsidRPr="00744C0D">
        <w:rPr>
          <w:u w:val="single"/>
        </w:rPr>
        <w:t xml:space="preserve"> </w:t>
      </w:r>
      <w:r w:rsidRPr="00744C0D">
        <w:rPr>
          <w:sz w:val="12"/>
        </w:rPr>
        <w:t xml:space="preserve">Both the old and new </w:t>
      </w:r>
      <w:r w:rsidRPr="00744C0D">
        <w:rPr>
          <w:u w:val="single"/>
        </w:rPr>
        <w:t xml:space="preserve">space </w:t>
      </w:r>
      <w:r w:rsidRPr="00744C0D">
        <w:rPr>
          <w:highlight w:val="yellow"/>
          <w:u w:val="single"/>
        </w:rPr>
        <w:t>powers</w:t>
      </w:r>
      <w:r w:rsidRPr="00744C0D">
        <w:rPr>
          <w:u w:val="single"/>
        </w:rPr>
        <w:t xml:space="preserve"> </w:t>
      </w:r>
      <w:r w:rsidRPr="00744C0D">
        <w:rPr>
          <w:highlight w:val="yellow"/>
          <w:u w:val="single"/>
        </w:rPr>
        <w:t>can</w:t>
      </w:r>
      <w:r w:rsidRPr="00744C0D">
        <w:rPr>
          <w:u w:val="single"/>
        </w:rPr>
        <w:t xml:space="preserve"> easily </w:t>
      </w:r>
      <w:r w:rsidRPr="00744C0D">
        <w:rPr>
          <w:highlight w:val="yellow"/>
          <w:u w:val="single"/>
        </w:rPr>
        <w:t>cloak</w:t>
      </w:r>
      <w:r w:rsidRPr="00744C0D">
        <w:rPr>
          <w:u w:val="single"/>
        </w:rPr>
        <w:t xml:space="preserve"> their military </w:t>
      </w:r>
      <w:r w:rsidRPr="00744C0D">
        <w:rPr>
          <w:highlight w:val="yellow"/>
          <w:u w:val="single"/>
        </w:rPr>
        <w:t>intentions</w:t>
      </w:r>
      <w:r w:rsidRPr="00744C0D">
        <w:rPr>
          <w:u w:val="single"/>
        </w:rPr>
        <w:t xml:space="preserve"> in legitimate concerns</w:t>
      </w:r>
      <w:r w:rsidRPr="00744C0D">
        <w:rPr>
          <w:sz w:val="12"/>
        </w:rPr>
        <w:t xml:space="preserve"> about, and possibly commercial solutions to, debris hazards. And </w:t>
      </w:r>
      <w:r w:rsidRPr="00744C0D">
        <w:rPr>
          <w:highlight w:val="yellow"/>
          <w:u w:val="single"/>
        </w:rPr>
        <w:t>there are</w:t>
      </w:r>
      <w:r w:rsidRPr="00744C0D">
        <w:rPr>
          <w:u w:val="single"/>
        </w:rPr>
        <w:t xml:space="preserve"> now a number of </w:t>
      </w:r>
      <w:r w:rsidRPr="00744C0D">
        <w:rPr>
          <w:highlight w:val="yellow"/>
          <w:u w:val="single"/>
        </w:rPr>
        <w:t>open assessments about</w:t>
      </w:r>
      <w:r w:rsidRPr="00744C0D">
        <w:rPr>
          <w:u w:val="single"/>
        </w:rPr>
        <w:t xml:space="preserve"> space </w:t>
      </w:r>
      <w:r w:rsidRPr="00744C0D">
        <w:rPr>
          <w:highlight w:val="yellow"/>
          <w:u w:val="single"/>
        </w:rPr>
        <w:t>junk</w:t>
      </w:r>
      <w:r w:rsidRPr="00744C0D">
        <w:rPr>
          <w:sz w:val="12"/>
        </w:rPr>
        <w:t xml:space="preserve"> removal </w:t>
      </w:r>
      <w:r w:rsidRPr="00744C0D">
        <w:rPr>
          <w:highlight w:val="yellow"/>
          <w:u w:val="single"/>
        </w:rPr>
        <w:t>tech</w:t>
      </w:r>
      <w:r w:rsidRPr="00744C0D">
        <w:rPr>
          <w:u w:val="single"/>
        </w:rPr>
        <w:t xml:space="preserve">nologies </w:t>
      </w:r>
      <w:r w:rsidRPr="00744C0D">
        <w:rPr>
          <w:highlight w:val="yellow"/>
          <w:u w:val="single"/>
        </w:rPr>
        <w:t>that</w:t>
      </w:r>
      <w:r w:rsidRPr="00744C0D">
        <w:rPr>
          <w:u w:val="single"/>
        </w:rPr>
        <w:t xml:space="preserve"> </w:t>
      </w:r>
      <w:r w:rsidRPr="00744C0D">
        <w:rPr>
          <w:highlight w:val="yellow"/>
          <w:u w:val="single"/>
        </w:rPr>
        <w:t>can double</w:t>
      </w:r>
      <w:r w:rsidRPr="00744C0D">
        <w:rPr>
          <w:u w:val="single"/>
        </w:rPr>
        <w:t xml:space="preserve"> up </w:t>
      </w:r>
      <w:r w:rsidRPr="00744C0D">
        <w:rPr>
          <w:highlight w:val="yellow"/>
          <w:u w:val="single"/>
        </w:rPr>
        <w:t>as military programs</w:t>
      </w:r>
      <w:r w:rsidRPr="00744C0D">
        <w:rPr>
          <w:sz w:val="12"/>
        </w:rPr>
        <w:t>, such as lasers or hunters</w:t>
      </w:r>
      <w:r w:rsidRPr="00744C0D">
        <w:rPr>
          <w:u w:val="single"/>
        </w:rPr>
        <w:t xml:space="preserve">. </w:t>
      </w:r>
      <w:r w:rsidRPr="00744C0D">
        <w:rPr>
          <w:sz w:val="12"/>
        </w:rPr>
        <w:t xml:space="preserve">This fusion of the market and the military is not a conspiracy but a reality. If you are </w:t>
      </w:r>
      <w:r w:rsidRPr="00744C0D">
        <w:rPr>
          <w:u w:val="single"/>
        </w:rPr>
        <w:t>a great power</w:t>
      </w:r>
      <w:r w:rsidRPr="00744C0D">
        <w:rPr>
          <w:sz w:val="12"/>
        </w:rPr>
        <w:t xml:space="preserve"> like the United States that is heavily dependent on space assets in both the economic and military realms, then you </w:t>
      </w:r>
      <w:r w:rsidRPr="00744C0D">
        <w:rPr>
          <w:u w:val="single"/>
        </w:rPr>
        <w:t xml:space="preserve">are vulnerable to both </w:t>
      </w:r>
      <w:r w:rsidRPr="00744C0D">
        <w:rPr>
          <w:sz w:val="12"/>
        </w:rPr>
        <w:t xml:space="preserve">orbital </w:t>
      </w:r>
      <w:r w:rsidRPr="00744C0D">
        <w:rPr>
          <w:u w:val="single"/>
        </w:rPr>
        <w:t>debris and the technologies proposed for its cleanup.</w:t>
      </w:r>
      <w:r w:rsidRPr="00744C0D">
        <w:rPr>
          <w:sz w:val="12"/>
        </w:rPr>
        <w:t xml:space="preserve"> And both your allies and your rivals know it. This is how we have ended up in </w:t>
      </w:r>
      <w:r w:rsidRPr="00744C0D">
        <w:rPr>
          <w:highlight w:val="yellow"/>
          <w:u w:val="single"/>
        </w:rPr>
        <w:t>a counterspace race</w:t>
      </w:r>
      <w:r w:rsidRPr="00744C0D">
        <w:rPr>
          <w:sz w:val="12"/>
        </w:rPr>
        <w:t xml:space="preserve">, which is nothing like your grandfather’s space race. In a fundamental way, this new race </w:t>
      </w:r>
      <w:r w:rsidRPr="00744C0D">
        <w:rPr>
          <w:highlight w:val="yellow"/>
          <w:u w:val="single"/>
        </w:rPr>
        <w:t>reflects the volatile geopolitics of peer or near-peer competitors</w:t>
      </w:r>
      <w:r w:rsidRPr="00744C0D">
        <w:rPr>
          <w:sz w:val="12"/>
        </w:rPr>
        <w:t xml:space="preserve"> today, and there is no getting away from it in any domain. Just as on Earth, in the cosmos the world’s top space powers – the United States, China, Japan, Russia, India – have moved from merely space situational awareness to all-out battlespace awareness. If things stay the course, accidental or deliberate events involving orbital debris are poised to ravage peaceful prospects in outer space. How then do we move forward so that outer space remains safe, sustainable and secure for all powers, whether big or small? This is not a task any one single nation — no matter how great — can carry out successfully on its own. The solutions must not only be technological or military, either. </w:t>
      </w:r>
      <w:r w:rsidRPr="00744C0D">
        <w:rPr>
          <w:highlight w:val="yellow"/>
          <w:u w:val="single"/>
        </w:rPr>
        <w:t>For</w:t>
      </w:r>
      <w:r w:rsidRPr="00744C0D">
        <w:rPr>
          <w:u w:val="single"/>
        </w:rPr>
        <w:t xml:space="preserve"> </w:t>
      </w:r>
      <w:r w:rsidRPr="00744C0D">
        <w:rPr>
          <w:highlight w:val="yellow"/>
          <w:u w:val="single"/>
        </w:rPr>
        <w:t>peaceful solutions to last, deterrence and diplomacy</w:t>
      </w:r>
      <w:r w:rsidRPr="00744C0D">
        <w:rPr>
          <w:sz w:val="12"/>
        </w:rPr>
        <w:t xml:space="preserve">, as well as public awareness, </w:t>
      </w:r>
      <w:r w:rsidRPr="00744C0D">
        <w:rPr>
          <w:highlight w:val="yellow"/>
          <w:u w:val="single"/>
        </w:rPr>
        <w:t>will have to be</w:t>
      </w:r>
      <w:r w:rsidRPr="00744C0D">
        <w:rPr>
          <w:u w:val="single"/>
        </w:rPr>
        <w:t xml:space="preserve"> proactively </w:t>
      </w:r>
      <w:r w:rsidRPr="00744C0D">
        <w:rPr>
          <w:highlight w:val="yellow"/>
          <w:u w:val="single"/>
        </w:rPr>
        <w:t>forged</w:t>
      </w:r>
      <w:r w:rsidRPr="00744C0D">
        <w:rPr>
          <w:u w:val="single"/>
        </w:rPr>
        <w:t xml:space="preserve"> by the world’s space powers</w:t>
      </w:r>
      <w:r w:rsidRPr="00744C0D">
        <w:rPr>
          <w:sz w:val="12"/>
        </w:rPr>
        <w:t>, leaders and thinkers.</w:t>
      </w:r>
    </w:p>
    <w:p w14:paraId="554C7ED6" w14:textId="76F9E1FB" w:rsidR="00FD1F51" w:rsidRDefault="00AF08DF" w:rsidP="00AF08DF">
      <w:pPr>
        <w:pStyle w:val="Heading2"/>
      </w:pPr>
      <w:r>
        <w:lastRenderedPageBreak/>
        <w:t>Asteroid mining DA</w:t>
      </w:r>
    </w:p>
    <w:p w14:paraId="409D78EF" w14:textId="77777777" w:rsidR="00AF08DF" w:rsidRPr="00744C0D" w:rsidRDefault="00AF08DF" w:rsidP="00AF08DF">
      <w:pPr>
        <w:pStyle w:val="Heading4"/>
        <w:numPr>
          <w:ilvl w:val="1"/>
          <w:numId w:val="14"/>
        </w:numPr>
        <w:tabs>
          <w:tab w:val="num" w:pos="360"/>
        </w:tabs>
        <w:ind w:left="0" w:firstLine="0"/>
        <w:rPr>
          <w:rFonts w:cs="Calibri"/>
        </w:rPr>
      </w:pPr>
      <w:r w:rsidRPr="00744C0D">
        <w:rPr>
          <w:rFonts w:cs="Calibri"/>
        </w:rPr>
        <w:t>Resource extraction should not be considered appropriation – treaties and legal doctrines prove. Wrench 19</w:t>
      </w:r>
    </w:p>
    <w:p w14:paraId="74354FD9" w14:textId="77777777" w:rsidR="00AF08DF" w:rsidRPr="00744C0D" w:rsidRDefault="00AF08DF" w:rsidP="00AF08DF">
      <w:r w:rsidRPr="00744C0D">
        <w:t xml:space="preserve">Wrench ’19 - John G. Wrench [attorney at the Institute for Justice], “Non-Appropriation, No Problem: The Outer Space Treaty Is Ready for Asteroid Mining,” 51 Case W. Res. J. Int'l L. 437 (2019)Available at: </w:t>
      </w:r>
      <w:hyperlink r:id="rId48" w:history="1">
        <w:r w:rsidRPr="00744C0D">
          <w:rPr>
            <w:rStyle w:val="Hyperlink"/>
          </w:rPr>
          <w:t>https://scholarlycommons.law.case.edu/jil/vol51/iss1/11</w:t>
        </w:r>
      </w:hyperlink>
      <w:r w:rsidRPr="00744C0D">
        <w:t xml:space="preserve">  AT</w:t>
      </w:r>
    </w:p>
    <w:p w14:paraId="3C452EAB" w14:textId="77777777" w:rsidR="00AF08DF" w:rsidRDefault="00AF08DF" w:rsidP="00AF08DF">
      <w:pPr>
        <w:rPr>
          <w:sz w:val="12"/>
        </w:rPr>
      </w:pPr>
      <w:r w:rsidRPr="00744C0D">
        <w:rPr>
          <w:sz w:val="12"/>
        </w:rPr>
        <w:t xml:space="preserve">II. </w:t>
      </w:r>
      <w:r w:rsidRPr="00744C0D">
        <w:rPr>
          <w:rStyle w:val="StyleUnderline"/>
        </w:rPr>
        <w:t>Legal Regimes Distinguishing Resource Extraction from Appropriation¶</w:t>
      </w:r>
      <w:r w:rsidRPr="00744C0D">
        <w:rPr>
          <w:sz w:val="12"/>
        </w:rPr>
        <w:t xml:space="preserve"> Although the OST does not provide a comprehensive guideline for resource extraction in outer space, its foundational logic provides a workable distinction between ownership and use. This part explores three property regimes developed under the same fundamental constraints as the non-appropriation principle: the United Nations Convention on the Law of the Sea (“UNCLOS”), the Antarctica Treaty System, and the prior appropriation doctrine as applied in United States water law.63 Under each regime, parties may establish some form of ownership in extracted resources despite being restricted from claiming sovereignty over the underlying land. ¶ Each section includes a brief discussion of the property regime’s history, its major traits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 ¶ A. The Law(s) of the Sea: UNCLOS and the Seabed Act ¶ International and national maritime laws addressing resource extraction deal with many of the same obstacles present in outer space. Like outer space, “[t]he seabed is rich in minerals…[c]ollecting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“promot[ing] the peaceful uses of the seas and oceans,” and the “efficient utilization” of the resources therein.65 Although international law forms the backbone of seabed mining regulations, individual nations have concurrently developed their own regulations. ¶ The foremost international maritime law is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 ¶ 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 ¶ 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 ¶ 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 ¶ 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 ¶ 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 ¶ </w:t>
      </w:r>
      <w:r w:rsidRPr="00744C0D">
        <w:rPr>
          <w:rStyle w:val="StyleUnderline"/>
        </w:rPr>
        <w:t xml:space="preserve">The laws regulating resource extraction in the sea share major traits with the non-appropriation principle, as UNCLOS and </w:t>
      </w:r>
      <w:r w:rsidRPr="00744C0D">
        <w:rPr>
          <w:rStyle w:val="StyleUnderline"/>
          <w:highlight w:val="yellow"/>
        </w:rPr>
        <w:t>the Seabed Act allow parties to establish property rights in extracted resources without violating the non-appropriation principle</w:t>
      </w:r>
      <w:r w:rsidRPr="00744C0D">
        <w:rPr>
          <w:rStyle w:val="StyleUnderline"/>
        </w:rPr>
        <w:t xml:space="preserve">. First, under both regimes, </w:t>
      </w:r>
      <w:r w:rsidRPr="00744C0D">
        <w:rPr>
          <w:rStyle w:val="StyleUnderline"/>
          <w:highlight w:val="yellow"/>
        </w:rPr>
        <w:t>parties extract minerals without laying claim to underlying land.</w:t>
      </w:r>
      <w:r w:rsidRPr="00744C0D">
        <w:rPr>
          <w:rStyle w:val="StyleUnderline"/>
        </w:rPr>
        <w:t>89 Secondly, UNCLOS’s requirement for development plans and the Seabed Act’s licensing-system place some pressure on parties to extract resources or forfeit their rights.90 This feature prevents parties from sleeping on a license, thereby encouraging productive use of land</w:t>
      </w:r>
      <w:r w:rsidRPr="00744C0D">
        <w:rPr>
          <w:sz w:val="12"/>
        </w:rPr>
        <w:t xml:space="preserve">. In other words, the licensing system reduces waste and protects against de facto ownership of land resulting from inordinately long periods of occupation. The United States, by adopting both traits from UNCLOS, and voicing its willingness to enter into a robust international regime for resource extraction, indicates support for an international regime reflecting those features. ¶ Even if the United States’ framework under the Seabed Act were adopted as a model for resource extraction in space, it comports with the non-appropriation principle. The United States’ conceptual distinction between land ownership and resource extraction is a gauge for whether it would accept a similar arrangement for space law.91 And, while the United States is only one of many members of the international community, it is difficult to conceive of a successful international agreement without the involvement of the major spacefaring nations. ¶ B. The Antarctic Treaty System ¶ 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 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 ¶ </w:t>
      </w:r>
      <w:r w:rsidRPr="00744C0D">
        <w:rPr>
          <w:rStyle w:val="StyleUnderline"/>
        </w:rPr>
        <w:t>The international community originally attempted to establish a legal regime for Antarctica that distinguished between sovereign claims and resource extraction</w:t>
      </w:r>
      <w:r w:rsidRPr="00744C0D">
        <w:rPr>
          <w:sz w:val="12"/>
        </w:rPr>
        <w:t xml:space="preserve">. The Convention on the Regulation of Antarctic Mineral Resource Act (“CRAMRA”) was the first venture to provide a foundation for an international property regime in Antarctica.99 </w:t>
      </w:r>
      <w:r w:rsidRPr="00744C0D">
        <w:rPr>
          <w:rStyle w:val="StyleUnderline"/>
        </w:rPr>
        <w:t xml:space="preserve">CRAMRA defined, as a means to regulate resource mining, three categories of resource-related activity: “prospecting”, “exploration”, and </w:t>
      </w:r>
      <w:r w:rsidRPr="00744C0D">
        <w:rPr>
          <w:rStyle w:val="StyleUnderline"/>
        </w:rPr>
        <w:lastRenderedPageBreak/>
        <w:t>“development.”</w:t>
      </w:r>
      <w:r w:rsidRPr="00744C0D">
        <w:rPr>
          <w:sz w:val="12"/>
        </w:rPr>
        <w:t xml:space="preserve">100 The Regulatory Committee, one of several institutions established under CRAMRA, was responsible for considering permit applications for the “exploration and development” of mineral resources.101 </w:t>
      </w:r>
      <w:r w:rsidRPr="00744C0D">
        <w:rPr>
          <w:rStyle w:val="StyleUnderline"/>
        </w:rPr>
        <w:t>Unlike exploration and development, prospecting does not require the authorization of any of the institutions.102</w:t>
      </w:r>
      <w:r w:rsidRPr="00744C0D">
        <w:rPr>
          <w:sz w:val="12"/>
        </w:rPr>
        <w:t xml:space="preserve"> ¶ 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 ¶ 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 ¶ Antarctic resource extraction is currently regulated under the Protocol on Environmental Protection to the Antarctic Treaty, also known as the “Madrid Protocol”.111 Concluded in 1991, the Madrid Protocol prohibits “…[a]ny activity relating to mineral resources, other than scientific research…”112 Parties to the Madrid Protocol are able to reconsider the ban on commercial resource mining in 2048 and have reaffirmed the moratorium as recently as 2016.113 ¶ Although it was not ultimately adopted, CRAMRA’s negotiation provides insight into the international community’s willingness to create a resource extraction regime starting from a premise that ownership and use are distinct. Although CRAMRA permitted nations to extract resources, extraction explicitly could not amount to ownership of the underlying land.114 From that premise, CRAMRA does not grant property rights to parties who have merely used sensing technologies on the land, requiring more significant labor through activities like drilling or dredging.115 ¶ While the Madrid Protocol removes commercial resource extraction as an option, it allows nations to extract scientific samples without requiring—or permitting—claims of sovereignty.116 Because the Madrid Protocol “neither modif[ies]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 ¶ C. The Prior Appropriation Doctrine ¶ The prior appropriation doctrine is a system developed in the American West to simplify miners’ water claims, granting rights to use the water to whoever made beneficial use of it first.119 The prior appropriation doctrine is useful for analyzing the law of outer space in both functional and abstract ways. First, scientists expect that water will be necessary for creating fuel and breathable air in outer space.120 ¶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 ¶ </w:t>
      </w:r>
      <w:r w:rsidRPr="00744C0D">
        <w:rPr>
          <w:rStyle w:val="StyleUnderline"/>
        </w:rPr>
        <w:t xml:space="preserve">The prior appropriation doctrine grew out of the chaos and grit that embodied the mining rush to the Western United States.124 The unpredictable availability of water, combined with the need for a simple adjudicative system, led </w:t>
      </w:r>
      <w:r w:rsidRPr="00744C0D">
        <w:rPr>
          <w:rStyle w:val="StyleUnderline"/>
          <w:highlight w:val="yellow"/>
        </w:rPr>
        <w:t>early miners and farmers to adopt an “intuitive common sense” system of rules to resolve water claims</w:t>
      </w:r>
      <w:r w:rsidRPr="00744C0D">
        <w:rPr>
          <w:rStyle w:val="StyleUnderline"/>
        </w:rPr>
        <w:t xml:space="preserve">.125 Essentially, the first claimant to make actual beneficial use of the water has senior rights to later users.126 </w:t>
      </w:r>
      <w:r w:rsidRPr="00744C0D">
        <w:rPr>
          <w:rStyle w:val="StyleUnderline"/>
          <w:highlight w:val="yellow"/>
        </w:rPr>
        <w:t>Claimants do not own the land,</w:t>
      </w:r>
      <w:r w:rsidRPr="00744C0D">
        <w:rPr>
          <w:rStyle w:val="StyleUnderline"/>
        </w:rPr>
        <w:t xml:space="preserve"> however, </w:t>
      </w:r>
      <w:r w:rsidRPr="00744C0D">
        <w:rPr>
          <w:rStyle w:val="StyleUnderline"/>
          <w:highlight w:val="yellow"/>
        </w:rPr>
        <w:t>but rather the right to use the water</w:t>
      </w:r>
      <w:r w:rsidRPr="00744C0D">
        <w:rPr>
          <w:sz w:val="12"/>
        </w:rPr>
        <w:t>.</w:t>
      </w:r>
    </w:p>
    <w:p w14:paraId="451C3342" w14:textId="77777777" w:rsidR="00AF08DF" w:rsidRDefault="00AF08DF" w:rsidP="00AF08DF">
      <w:pPr>
        <w:rPr>
          <w:sz w:val="12"/>
        </w:rPr>
      </w:pPr>
    </w:p>
    <w:p w14:paraId="65E73C59" w14:textId="77777777" w:rsidR="00AF08DF" w:rsidRPr="00744C0D" w:rsidRDefault="00AF08DF" w:rsidP="00AF08DF">
      <w:pPr>
        <w:rPr>
          <w:sz w:val="12"/>
        </w:rPr>
      </w:pPr>
      <w:r w:rsidRPr="00744C0D">
        <w:rPr>
          <w:sz w:val="12"/>
        </w:rPr>
        <w:t xml:space="preserve">127 Consequently, claimants may transfer their rights to the use but the public ultimately owns the water.128 Each of these features is explored below. ¶ 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 ¶ 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“antispeculation” is derived from the era’s intensely anti-monopoly sentiment, favoring the distribution of water rights to those who could make actual use of the land.134 Therefore, claimants must define the location and expected scope of their use to establish or transfer rights.135 ¶ 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 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 ¶ …[T]he state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parens patriae capacity and maintaining the use regimen on the river system; and fourth, the promotion of efficiency and prudence of the kind expected of a trustee.147 ¶ The prior appropriation doctrine serves as a unique example for space law because of how it conceptualizes land ownership. </w:t>
      </w:r>
      <w:r w:rsidRPr="00744C0D">
        <w:rPr>
          <w:rStyle w:val="StyleUnderline"/>
          <w:highlight w:val="yellow"/>
        </w:rPr>
        <w:t>Underlying land is available for use not because it is “unowned,” but because it is owned by a community</w:t>
      </w:r>
      <w:r w:rsidRPr="00744C0D">
        <w:rPr>
          <w:rStyle w:val="StyleUnderline"/>
        </w:rPr>
        <w:t xml:space="preserve"> who has the right to make productive use of it.148 Because the community owns the land, claimants have an obligation to use the land properly and the government is responsible for stewardship</w:t>
      </w:r>
      <w:r w:rsidRPr="00744C0D">
        <w:rPr>
          <w:sz w:val="12"/>
        </w:rPr>
        <w:t xml:space="preserve">.149 This framing fits neatly with proponents of the idea that outer space is collectively “owned” by the international community. Regardless, stewardship and government ownership do not necessarily displace the potential for productive use. ¶ Parties do not violate the non-appropriation principle simply by extracting—or as here, diverting—resources from the land. At no point does extraction equate to a sovereign claim over the land.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in resources independent from land-ownership, while promoting beneficial use.¶ Conclusion ¶ </w:t>
      </w:r>
      <w:r w:rsidRPr="00744C0D">
        <w:rPr>
          <w:rStyle w:val="StyleUnderline"/>
          <w:highlight w:val="yellow"/>
        </w:rPr>
        <w:t>The non-appropriation doctrine restricts parties from making sovereign claims over underlying land</w:t>
      </w:r>
      <w:r w:rsidRPr="00744C0D">
        <w:rPr>
          <w:rStyle w:val="StyleUnderline"/>
        </w:rPr>
        <w:t xml:space="preserve">—the same restriction embedded in </w:t>
      </w:r>
      <w:r w:rsidRPr="00744C0D">
        <w:rPr>
          <w:rStyle w:val="StyleUnderline"/>
        </w:rPr>
        <w:lastRenderedPageBreak/>
        <w:t xml:space="preserve">each of previous section’s legal regimes. </w:t>
      </w:r>
      <w:r w:rsidRPr="00744C0D">
        <w:rPr>
          <w:rStyle w:val="StyleUnderline"/>
          <w:highlight w:val="yellow"/>
        </w:rPr>
        <w:t>Without violating the nonappropriation principle, those regimes grant parties the right to extract resources from land they do not own</w:t>
      </w:r>
      <w:r w:rsidRPr="00744C0D">
        <w:rPr>
          <w:rStyle w:val="StyleUnderline"/>
        </w:rPr>
        <w:t>, transfer that right, and limit wasteful use</w:t>
      </w:r>
      <w:r w:rsidRPr="00744C0D">
        <w:rPr>
          <w:sz w:val="12"/>
        </w:rPr>
        <w:t>. Each system similarly vests an entity with the authority to regulate and enforce those rules. With some tailoring,</w:t>
      </w:r>
      <w:r w:rsidRPr="00744C0D">
        <w:rPr>
          <w:rStyle w:val="StyleUnderline"/>
        </w:rPr>
        <w:t xml:space="preserve"> </w:t>
      </w:r>
      <w:r w:rsidRPr="00744C0D">
        <w:rPr>
          <w:rStyle w:val="StyleUnderline"/>
          <w:highlight w:val="yellow"/>
        </w:rPr>
        <w:t>those rules could graft onto</w:t>
      </w:r>
      <w:r w:rsidRPr="00744C0D">
        <w:rPr>
          <w:rStyle w:val="StyleUnderline"/>
        </w:rPr>
        <w:t xml:space="preserve"> the uniqueness of </w:t>
      </w:r>
      <w:r w:rsidRPr="00744C0D">
        <w:rPr>
          <w:rStyle w:val="StyleUnderline"/>
          <w:highlight w:val="yellow"/>
        </w:rPr>
        <w:t>outer space resource extraction</w:t>
      </w:r>
      <w:r w:rsidRPr="00744C0D">
        <w:rPr>
          <w:rStyle w:val="StyleUnderline"/>
        </w:rPr>
        <w:t>.</w:t>
      </w:r>
    </w:p>
    <w:p w14:paraId="6B5F4315" w14:textId="40B197C0" w:rsidR="00AF08DF" w:rsidRDefault="00080C74" w:rsidP="00080C74">
      <w:pPr>
        <w:pStyle w:val="Heading2"/>
      </w:pPr>
      <w:r>
        <w:lastRenderedPageBreak/>
        <w:t>Food DA</w:t>
      </w:r>
    </w:p>
    <w:p w14:paraId="39BAEE06" w14:textId="77777777" w:rsidR="00080C74" w:rsidRPr="00164C57" w:rsidRDefault="00080C74" w:rsidP="00080C74">
      <w:pPr>
        <w:pStyle w:val="Heading4"/>
        <w:rPr>
          <w:rFonts w:asciiTheme="minorHAnsi" w:hAnsiTheme="minorHAnsi" w:cstheme="minorHAnsi"/>
        </w:rPr>
      </w:pPr>
      <w:r w:rsidRPr="00164C57">
        <w:rPr>
          <w:rFonts w:asciiTheme="minorHAnsi" w:hAnsiTheme="minorHAnsi" w:cstheme="minorHAnsi"/>
        </w:rPr>
        <w:t xml:space="preserve">No conflict over food – reject their bad studies. </w:t>
      </w:r>
    </w:p>
    <w:p w14:paraId="534A4168" w14:textId="77777777" w:rsidR="00080C74" w:rsidRPr="00164C57" w:rsidRDefault="00080C74" w:rsidP="00080C74">
      <w:pPr>
        <w:rPr>
          <w:rFonts w:asciiTheme="minorHAnsi" w:hAnsiTheme="minorHAnsi" w:cstheme="minorHAnsi"/>
        </w:rPr>
      </w:pPr>
      <w:r w:rsidRPr="00164C57">
        <w:rPr>
          <w:rStyle w:val="Style13ptBold"/>
          <w:rFonts w:asciiTheme="minorHAnsi" w:hAnsiTheme="minorHAnsi" w:cstheme="minorHAnsi"/>
        </w:rPr>
        <w:t>Demarest 15</w:t>
      </w:r>
      <w:r w:rsidRPr="00164C57">
        <w:rPr>
          <w:rFonts w:asciiTheme="minorHAnsi" w:hAnsiTheme="minorHAnsi" w:cstheme="minorHAnsi"/>
        </w:rPr>
        <w:t xml:space="preserve">—PhD Researcher at the Centre for Research on Peace and Development [Leila, “Food price rises and political instability: Problematizing a complex relationship,” </w:t>
      </w:r>
      <w:r w:rsidRPr="00164C57">
        <w:rPr>
          <w:rFonts w:asciiTheme="minorHAnsi" w:hAnsiTheme="minorHAnsi" w:cstheme="minorHAnsi"/>
          <w:i/>
        </w:rPr>
        <w:t>The European Journal of Development Research</w:t>
      </w:r>
      <w:r w:rsidRPr="00164C57">
        <w:rPr>
          <w:rFonts w:asciiTheme="minorHAnsi" w:hAnsiTheme="minorHAnsi" w:cstheme="minorHAnsi"/>
        </w:rPr>
        <w:t xml:space="preserve">, Vol. 27, No. 5, p. 650-671, Emory Libraries] </w:t>
      </w:r>
    </w:p>
    <w:p w14:paraId="62BC1BD4" w14:textId="77777777" w:rsidR="00080C74" w:rsidRPr="00AC4583" w:rsidRDefault="00080C74" w:rsidP="00080C74">
      <w:pPr>
        <w:pStyle w:val="ListParagraph"/>
        <w:numPr>
          <w:ilvl w:val="0"/>
          <w:numId w:val="15"/>
        </w:numPr>
        <w:rPr>
          <w:rFonts w:asciiTheme="minorHAnsi" w:hAnsiTheme="minorHAnsi" w:cstheme="minorHAnsi"/>
          <w:sz w:val="16"/>
        </w:rPr>
      </w:pPr>
      <w:r w:rsidRPr="00AC4583">
        <w:rPr>
          <w:rStyle w:val="StyleUnderline"/>
          <w:rFonts w:asciiTheme="minorHAnsi" w:hAnsiTheme="minorHAnsi" w:cstheme="minorHAnsi"/>
        </w:rPr>
        <w:t xml:space="preserve">Conclusions and Way Forward </w:t>
      </w:r>
      <w:r w:rsidRPr="00AC4583">
        <w:rPr>
          <w:rFonts w:asciiTheme="minorHAnsi" w:hAnsiTheme="minorHAnsi" w:cstheme="minorHAnsi"/>
          <w:sz w:val="16"/>
        </w:rPr>
        <w:t xml:space="preserve">While some progress has been made in improving our understanding of the linkages between rising food prices and conflict, several </w:t>
      </w:r>
      <w:r w:rsidRPr="00AC4583">
        <w:rPr>
          <w:rStyle w:val="StyleUnderline"/>
          <w:rFonts w:asciiTheme="minorHAnsi" w:hAnsiTheme="minorHAnsi" w:cstheme="minorHAnsi"/>
        </w:rPr>
        <w:t>important gaps remain</w:t>
      </w:r>
      <w:r w:rsidRPr="00AC4583">
        <w:rPr>
          <w:rFonts w:asciiTheme="minorHAnsi" w:hAnsiTheme="minorHAnsi" w:cstheme="minorHAnsi"/>
          <w:sz w:val="16"/>
        </w:rPr>
        <w:t>. Firstly, notions of</w:t>
      </w:r>
      <w:r w:rsidRPr="00AC4583">
        <w:rPr>
          <w:rFonts w:asciiTheme="minorHAnsi" w:hAnsiTheme="minorHAnsi" w:cstheme="minorHAnsi"/>
        </w:rPr>
        <w:t xml:space="preserve"> </w:t>
      </w:r>
      <w:r w:rsidRPr="00AC4583">
        <w:rPr>
          <w:rStyle w:val="StyleUnderline"/>
          <w:rFonts w:asciiTheme="minorHAnsi" w:hAnsiTheme="minorHAnsi" w:cstheme="minorHAnsi"/>
        </w:rPr>
        <w:t>conflict and political instability are</w:t>
      </w:r>
      <w:r w:rsidRPr="00AC4583">
        <w:rPr>
          <w:rFonts w:asciiTheme="minorHAnsi" w:hAnsiTheme="minorHAnsi" w:cstheme="minorHAnsi"/>
          <w:sz w:val="16"/>
        </w:rPr>
        <w:t xml:space="preserve"> often </w:t>
      </w:r>
      <w:r w:rsidRPr="00AC4583">
        <w:rPr>
          <w:rStyle w:val="StyleUnderline"/>
          <w:rFonts w:asciiTheme="minorHAnsi" w:hAnsiTheme="minorHAnsi" w:cstheme="minorHAnsi"/>
        </w:rPr>
        <w:t>used interchangeably</w:t>
      </w:r>
      <w:r w:rsidRPr="00AC4583">
        <w:rPr>
          <w:rFonts w:asciiTheme="minorHAnsi" w:hAnsiTheme="minorHAnsi" w:cstheme="minorHAnsi"/>
          <w:sz w:val="16"/>
        </w:rPr>
        <w:t xml:space="preserve">, while these concepts and the relationships between them remain to some extent vague. </w:t>
      </w:r>
      <w:r w:rsidRPr="00AC4583">
        <w:rPr>
          <w:rStyle w:val="StyleUnderline"/>
          <w:rFonts w:asciiTheme="minorHAnsi" w:hAnsiTheme="minorHAnsi" w:cstheme="minorHAnsi"/>
          <w:highlight w:val="cyan"/>
        </w:rPr>
        <w:t>The ‘food riot’ concept</w:t>
      </w:r>
      <w:r w:rsidRPr="00AC4583">
        <w:rPr>
          <w:rFonts w:asciiTheme="minorHAnsi" w:hAnsiTheme="minorHAnsi" w:cstheme="minorHAnsi"/>
          <w:sz w:val="16"/>
        </w:rPr>
        <w:t xml:space="preserve"> in particular </w:t>
      </w:r>
      <w:r w:rsidRPr="00AC4583">
        <w:rPr>
          <w:rStyle w:val="StyleUnderline"/>
          <w:rFonts w:asciiTheme="minorHAnsi" w:hAnsiTheme="minorHAnsi" w:cstheme="minorHAnsi"/>
          <w:highlight w:val="cyan"/>
        </w:rPr>
        <w:t xml:space="preserve">leads to </w:t>
      </w:r>
      <w:r w:rsidRPr="00AC4583">
        <w:rPr>
          <w:rStyle w:val="Emphasis"/>
          <w:rFonts w:asciiTheme="minorHAnsi" w:hAnsiTheme="minorHAnsi" w:cstheme="minorHAnsi"/>
          <w:highlight w:val="cyan"/>
        </w:rPr>
        <w:t>confusion</w:t>
      </w:r>
      <w:r w:rsidRPr="00AC4583">
        <w:rPr>
          <w:rFonts w:asciiTheme="minorHAnsi" w:hAnsiTheme="minorHAnsi" w:cstheme="minorHAnsi"/>
          <w:sz w:val="16"/>
        </w:rPr>
        <w:t xml:space="preserve">. Although it is popularly seen as a violent rise of the masses, in reality, </w:t>
      </w:r>
      <w:r w:rsidRPr="00AC4583">
        <w:rPr>
          <w:rStyle w:val="StyleUnderline"/>
          <w:rFonts w:asciiTheme="minorHAnsi" w:hAnsiTheme="minorHAnsi" w:cstheme="minorHAnsi"/>
        </w:rPr>
        <w:t xml:space="preserve">many </w:t>
      </w:r>
      <w:r w:rsidRPr="00AC4583">
        <w:rPr>
          <w:rStyle w:val="Emphasis"/>
          <w:rFonts w:asciiTheme="minorHAnsi" w:hAnsiTheme="minorHAnsi" w:cstheme="minorHAnsi"/>
          <w:highlight w:val="cyan"/>
        </w:rPr>
        <w:t>peaceful events</w:t>
      </w:r>
      <w:r w:rsidRPr="00AC4583">
        <w:rPr>
          <w:rStyle w:val="StyleUnderline"/>
          <w:rFonts w:asciiTheme="minorHAnsi" w:hAnsiTheme="minorHAnsi" w:cstheme="minorHAnsi"/>
          <w:highlight w:val="cyan"/>
        </w:rPr>
        <w:t xml:space="preserve"> are gathered under this term</w:t>
      </w:r>
      <w:r w:rsidRPr="00AC4583">
        <w:rPr>
          <w:rStyle w:val="StyleUnderline"/>
          <w:rFonts w:asciiTheme="minorHAnsi" w:hAnsiTheme="minorHAnsi" w:cstheme="minorHAnsi"/>
        </w:rPr>
        <w:t>, while violence is</w:t>
      </w:r>
      <w:r w:rsidRPr="00AC4583">
        <w:rPr>
          <w:rFonts w:asciiTheme="minorHAnsi" w:hAnsiTheme="minorHAnsi" w:cstheme="minorHAnsi"/>
          <w:sz w:val="16"/>
        </w:rPr>
        <w:t xml:space="preserve"> often </w:t>
      </w:r>
      <w:r w:rsidRPr="00AC4583">
        <w:rPr>
          <w:rStyle w:val="StyleUnderline"/>
          <w:rFonts w:asciiTheme="minorHAnsi" w:hAnsiTheme="minorHAnsi" w:cstheme="minorHAnsi"/>
        </w:rPr>
        <w:t>committed by the state rather than by hungry consumers</w:t>
      </w:r>
      <w:r w:rsidRPr="00AC4583">
        <w:rPr>
          <w:rFonts w:asciiTheme="minorHAnsi" w:hAnsiTheme="minorHAnsi" w:cstheme="minorHAnsi"/>
          <w:sz w:val="16"/>
        </w:rPr>
        <w:t xml:space="preserve">. </w:t>
      </w:r>
      <w:r w:rsidRPr="00AC4583">
        <w:rPr>
          <w:rStyle w:val="StyleUnderline"/>
          <w:rFonts w:asciiTheme="minorHAnsi" w:hAnsiTheme="minorHAnsi" w:cstheme="minorHAnsi"/>
        </w:rPr>
        <w:t>The term</w:t>
      </w:r>
      <w:r w:rsidRPr="00AC4583">
        <w:rPr>
          <w:rFonts w:asciiTheme="minorHAnsi" w:hAnsiTheme="minorHAnsi" w:cstheme="minorHAnsi"/>
          <w:sz w:val="16"/>
        </w:rPr>
        <w:t xml:space="preserve"> also </w:t>
      </w:r>
      <w:r w:rsidRPr="00AC4583">
        <w:rPr>
          <w:rStyle w:val="Emphasis"/>
          <w:rFonts w:asciiTheme="minorHAnsi" w:hAnsiTheme="minorHAnsi" w:cstheme="minorHAnsi"/>
        </w:rPr>
        <w:t>presupposes</w:t>
      </w:r>
      <w:r w:rsidRPr="00AC4583">
        <w:rPr>
          <w:rStyle w:val="StyleUnderline"/>
          <w:rFonts w:asciiTheme="minorHAnsi" w:hAnsiTheme="minorHAnsi" w:cstheme="minorHAnsi"/>
        </w:rPr>
        <w:t xml:space="preserve"> that food is the central issue at hand, which does not</w:t>
      </w:r>
      <w:r w:rsidRPr="00AC4583">
        <w:rPr>
          <w:rFonts w:asciiTheme="minorHAnsi" w:hAnsiTheme="minorHAnsi" w:cstheme="minorHAnsi"/>
          <w:sz w:val="16"/>
        </w:rPr>
        <w:t xml:space="preserve"> necessarily </w:t>
      </w:r>
      <w:r w:rsidRPr="00AC4583">
        <w:rPr>
          <w:rStyle w:val="StyleUnderline"/>
          <w:rFonts w:asciiTheme="minorHAnsi" w:hAnsiTheme="minorHAnsi" w:cstheme="minorHAnsi"/>
        </w:rPr>
        <w:t>have to be the case</w:t>
      </w:r>
      <w:r w:rsidRPr="00AC4583">
        <w:rPr>
          <w:rFonts w:asciiTheme="minorHAnsi" w:hAnsiTheme="minorHAnsi" w:cstheme="minorHAnsi"/>
          <w:sz w:val="16"/>
        </w:rPr>
        <w:t xml:space="preserve">. </w:t>
      </w:r>
      <w:r w:rsidRPr="00AC4583">
        <w:rPr>
          <w:rStyle w:val="StyleUnderline"/>
          <w:rFonts w:asciiTheme="minorHAnsi" w:hAnsiTheme="minorHAnsi" w:cstheme="minorHAnsi"/>
          <w:highlight w:val="cyan"/>
        </w:rPr>
        <w:t xml:space="preserve">Many </w:t>
      </w:r>
      <w:r w:rsidRPr="00AC4583">
        <w:rPr>
          <w:rStyle w:val="Emphasis"/>
          <w:rFonts w:asciiTheme="minorHAnsi" w:hAnsiTheme="minorHAnsi" w:cstheme="minorHAnsi"/>
          <w:highlight w:val="cyan"/>
        </w:rPr>
        <w:t>misunderstanding</w:t>
      </w:r>
      <w:r w:rsidRPr="00AC4583">
        <w:rPr>
          <w:rStyle w:val="StyleUnderline"/>
          <w:rFonts w:asciiTheme="minorHAnsi" w:hAnsiTheme="minorHAnsi" w:cstheme="minorHAnsi"/>
          <w:highlight w:val="cyan"/>
        </w:rPr>
        <w:t xml:space="preserve"> arise from</w:t>
      </w:r>
      <w:r w:rsidRPr="00AC4583">
        <w:rPr>
          <w:rStyle w:val="StyleUnderline"/>
          <w:rFonts w:asciiTheme="minorHAnsi" w:hAnsiTheme="minorHAnsi" w:cstheme="minorHAnsi"/>
        </w:rPr>
        <w:t xml:space="preserve"> the</w:t>
      </w:r>
      <w:r w:rsidRPr="00AC4583">
        <w:rPr>
          <w:rFonts w:asciiTheme="minorHAnsi" w:hAnsiTheme="minorHAnsi" w:cstheme="minorHAnsi"/>
          <w:sz w:val="16"/>
        </w:rPr>
        <w:t xml:space="preserve"> second gap identified in this paper: the </w:t>
      </w:r>
      <w:r w:rsidRPr="00AC4583">
        <w:rPr>
          <w:rStyle w:val="Emphasis"/>
          <w:rFonts w:asciiTheme="minorHAnsi" w:hAnsiTheme="minorHAnsi" w:cstheme="minorHAnsi"/>
          <w:highlight w:val="cyan"/>
        </w:rPr>
        <w:t>uncritical</w:t>
      </w:r>
      <w:r w:rsidRPr="00AC4583">
        <w:rPr>
          <w:rStyle w:val="StyleUnderline"/>
          <w:rFonts w:asciiTheme="minorHAnsi" w:hAnsiTheme="minorHAnsi" w:cstheme="minorHAnsi"/>
          <w:highlight w:val="cyan"/>
        </w:rPr>
        <w:t xml:space="preserve"> data gathering</w:t>
      </w:r>
      <w:r w:rsidRPr="00AC4583">
        <w:rPr>
          <w:rStyle w:val="StyleUnderline"/>
          <w:rFonts w:asciiTheme="minorHAnsi" w:hAnsiTheme="minorHAnsi" w:cstheme="minorHAnsi"/>
        </w:rPr>
        <w:t xml:space="preserve"> based on international news reports</w:t>
      </w:r>
      <w:r w:rsidRPr="00AC4583">
        <w:rPr>
          <w:rFonts w:asciiTheme="minorHAnsi" w:hAnsiTheme="minorHAnsi" w:cstheme="minorHAnsi"/>
          <w:sz w:val="16"/>
        </w:rPr>
        <w:t xml:space="preserve">. </w:t>
      </w:r>
      <w:r w:rsidRPr="00AC4583">
        <w:rPr>
          <w:rStyle w:val="StyleUnderline"/>
          <w:rFonts w:asciiTheme="minorHAnsi" w:hAnsiTheme="minorHAnsi" w:cstheme="minorHAnsi"/>
          <w:highlight w:val="cyan"/>
        </w:rPr>
        <w:t xml:space="preserve">Not only are these </w:t>
      </w:r>
      <w:r w:rsidRPr="00AC4583">
        <w:rPr>
          <w:rStyle w:val="Emphasis"/>
          <w:rFonts w:asciiTheme="minorHAnsi" w:hAnsiTheme="minorHAnsi" w:cstheme="minorHAnsi"/>
          <w:highlight w:val="cyan"/>
        </w:rPr>
        <w:t>remarkably inconsistent</w:t>
      </w:r>
      <w:r w:rsidRPr="00AC4583">
        <w:rPr>
          <w:rStyle w:val="StyleUnderline"/>
          <w:rFonts w:asciiTheme="minorHAnsi" w:hAnsiTheme="minorHAnsi" w:cstheme="minorHAnsi"/>
          <w:highlight w:val="cyan"/>
        </w:rPr>
        <w:t>, they</w:t>
      </w:r>
      <w:r w:rsidRPr="00AC4583">
        <w:rPr>
          <w:rFonts w:asciiTheme="minorHAnsi" w:hAnsiTheme="minorHAnsi" w:cstheme="minorHAnsi"/>
          <w:sz w:val="16"/>
        </w:rPr>
        <w:t xml:space="preserve"> also </w:t>
      </w:r>
      <w:r w:rsidRPr="00AC4583">
        <w:rPr>
          <w:rStyle w:val="StyleUnderline"/>
          <w:rFonts w:asciiTheme="minorHAnsi" w:hAnsiTheme="minorHAnsi" w:cstheme="minorHAnsi"/>
        </w:rPr>
        <w:t xml:space="preserve">make </w:t>
      </w:r>
      <w:r w:rsidRPr="00AC4583">
        <w:rPr>
          <w:rStyle w:val="StyleUnderline"/>
          <w:rFonts w:asciiTheme="minorHAnsi" w:hAnsiTheme="minorHAnsi" w:cstheme="minorHAnsi"/>
          <w:highlight w:val="cyan"/>
        </w:rPr>
        <w:t>use</w:t>
      </w:r>
      <w:r w:rsidRPr="00AC4583">
        <w:rPr>
          <w:rStyle w:val="StyleUnderline"/>
          <w:rFonts w:asciiTheme="minorHAnsi" w:hAnsiTheme="minorHAnsi" w:cstheme="minorHAnsi"/>
        </w:rPr>
        <w:t xml:space="preserve"> of </w:t>
      </w:r>
      <w:r w:rsidRPr="00AC4583">
        <w:rPr>
          <w:rStyle w:val="StyleUnderline"/>
          <w:rFonts w:asciiTheme="minorHAnsi" w:hAnsiTheme="minorHAnsi" w:cstheme="minorHAnsi"/>
          <w:highlight w:val="cyan"/>
        </w:rPr>
        <w:t>classifications which are not scientifically investigated</w:t>
      </w:r>
      <w:r w:rsidRPr="00AC4583">
        <w:rPr>
          <w:rFonts w:asciiTheme="minorHAnsi" w:hAnsiTheme="minorHAnsi" w:cstheme="minorHAnsi"/>
          <w:sz w:val="16"/>
        </w:rPr>
        <w:t xml:space="preserve">. Finally, </w:t>
      </w:r>
      <w:r w:rsidRPr="00AC4583">
        <w:rPr>
          <w:rStyle w:val="StyleUnderline"/>
          <w:rFonts w:asciiTheme="minorHAnsi" w:hAnsiTheme="minorHAnsi" w:cstheme="minorHAnsi"/>
          <w:highlight w:val="cyan"/>
        </w:rPr>
        <w:t>causal mechanisms</w:t>
      </w:r>
      <w:r w:rsidRPr="00AC4583">
        <w:rPr>
          <w:rStyle w:val="StyleUnderline"/>
          <w:rFonts w:asciiTheme="minorHAnsi" w:hAnsiTheme="minorHAnsi" w:cstheme="minorHAnsi"/>
        </w:rPr>
        <w:t xml:space="preserve"> in the relationship </w:t>
      </w:r>
      <w:r w:rsidRPr="00AC4583">
        <w:rPr>
          <w:rStyle w:val="StyleUnderline"/>
          <w:rFonts w:asciiTheme="minorHAnsi" w:hAnsiTheme="minorHAnsi" w:cstheme="minorHAnsi"/>
          <w:highlight w:val="cyan"/>
        </w:rPr>
        <w:t>between</w:t>
      </w:r>
      <w:r w:rsidRPr="00AC4583">
        <w:rPr>
          <w:rStyle w:val="StyleUnderline"/>
          <w:rFonts w:asciiTheme="minorHAnsi" w:hAnsiTheme="minorHAnsi" w:cstheme="minorHAnsi"/>
        </w:rPr>
        <w:t xml:space="preserve"> rising </w:t>
      </w:r>
      <w:r w:rsidRPr="00AC4583">
        <w:rPr>
          <w:rStyle w:val="StyleUnderline"/>
          <w:rFonts w:asciiTheme="minorHAnsi" w:hAnsiTheme="minorHAnsi" w:cstheme="minorHAnsi"/>
          <w:highlight w:val="cyan"/>
        </w:rPr>
        <w:t>food prices and conflict</w:t>
      </w:r>
      <w:r w:rsidRPr="00AC4583">
        <w:rPr>
          <w:rFonts w:asciiTheme="minorHAnsi" w:hAnsiTheme="minorHAnsi" w:cstheme="minorHAnsi"/>
          <w:sz w:val="16"/>
        </w:rPr>
        <w:t xml:space="preserve"> often remain assumptions in the literature and </w:t>
      </w:r>
      <w:r w:rsidRPr="00AC4583">
        <w:rPr>
          <w:rStyle w:val="Emphasis"/>
          <w:rFonts w:asciiTheme="minorHAnsi" w:hAnsiTheme="minorHAnsi" w:cstheme="minorHAnsi"/>
          <w:highlight w:val="cyan"/>
        </w:rPr>
        <w:t>lack empirical foundation</w:t>
      </w:r>
      <w:r w:rsidRPr="00AC4583">
        <w:rPr>
          <w:rFonts w:asciiTheme="minorHAnsi" w:hAnsiTheme="minorHAnsi" w:cstheme="minorHAnsi"/>
          <w:sz w:val="16"/>
        </w:rPr>
        <w:t xml:space="preserve">. </w:t>
      </w:r>
    </w:p>
    <w:p w14:paraId="6584872E" w14:textId="77777777" w:rsidR="00080C74" w:rsidRDefault="00080C74" w:rsidP="00080C74">
      <w:pPr>
        <w:pStyle w:val="ListParagraph"/>
        <w:numPr>
          <w:ilvl w:val="0"/>
          <w:numId w:val="15"/>
        </w:numPr>
        <w:rPr>
          <w:rFonts w:asciiTheme="minorHAnsi" w:hAnsiTheme="minorHAnsi" w:cstheme="minorHAnsi"/>
          <w:sz w:val="16"/>
        </w:rPr>
      </w:pPr>
    </w:p>
    <w:p w14:paraId="2842D085" w14:textId="77777777" w:rsidR="00080C74" w:rsidRPr="00AC4583" w:rsidRDefault="00080C74" w:rsidP="00080C74">
      <w:pPr>
        <w:pStyle w:val="ListParagraph"/>
        <w:numPr>
          <w:ilvl w:val="0"/>
          <w:numId w:val="15"/>
        </w:numPr>
        <w:rPr>
          <w:rFonts w:asciiTheme="minorHAnsi" w:hAnsiTheme="minorHAnsi" w:cstheme="minorHAnsi"/>
          <w:sz w:val="16"/>
        </w:rPr>
      </w:pPr>
      <w:r w:rsidRPr="00AC4583">
        <w:rPr>
          <w:rFonts w:asciiTheme="minorHAnsi" w:hAnsiTheme="minorHAnsi" w:cstheme="minorHAnsi"/>
          <w:sz w:val="16"/>
        </w:rPr>
        <w:t xml:space="preserve">Three crosscutting avenues for improvement therefore exist: better concept definitions, better data gathering, and more focus on contexts. Clearly defined concepts and categorizations of conflict and instability are a necessary foundation for research on the linkages between rising food prices and conflict. For (food) protests in particular, purposeful categorizations require an enhanced insight in the events that took place on the ground. Local news sources for data gathering can prove to be more reliable than Western (English) media to accomplish this. Event descriptions are also likely to be more detailed in local sources, which allows for a first-hand qualitative analysis of causes and context. As international food prices are likely to remain high, improving our understanding of the causal mechanisms which can lead to conflict remains crucial. We can draw important lessons from the literature on poverty and conflict, resource scarcity and conflict, and regime transition in Africa. </w:t>
      </w:r>
      <w:r w:rsidRPr="00AC4583">
        <w:rPr>
          <w:rStyle w:val="StyleUnderline"/>
          <w:rFonts w:asciiTheme="minorHAnsi" w:hAnsiTheme="minorHAnsi" w:cstheme="minorHAnsi"/>
        </w:rPr>
        <w:t>The causal role of economic factors alone has continuously been questioned, and ‘context’ or prevailing political, economic, and social factors play a crucial role in the conflict outcome</w:t>
      </w:r>
      <w:r w:rsidRPr="00AC4583">
        <w:rPr>
          <w:rFonts w:asciiTheme="minorHAnsi" w:hAnsiTheme="minorHAnsi" w:cstheme="minorHAnsi"/>
          <w:sz w:val="16"/>
        </w:rPr>
        <w:t xml:space="preserve">. The argument that </w:t>
      </w:r>
      <w:r w:rsidRPr="00AC4583">
        <w:rPr>
          <w:rStyle w:val="StyleUnderline"/>
          <w:rFonts w:asciiTheme="minorHAnsi" w:hAnsiTheme="minorHAnsi" w:cstheme="minorHAnsi"/>
        </w:rPr>
        <w:t>adverse economic shocks seem more of a trigger to conflict</w:t>
      </w:r>
      <w:r w:rsidRPr="00AC4583">
        <w:rPr>
          <w:rFonts w:asciiTheme="minorHAnsi" w:hAnsiTheme="minorHAnsi" w:cstheme="minorHAnsi"/>
          <w:sz w:val="16"/>
        </w:rPr>
        <w:t xml:space="preserve"> rather than an important cause is not particularly remarkable in itself. </w:t>
      </w:r>
      <w:r w:rsidRPr="00AC4583">
        <w:rPr>
          <w:rStyle w:val="StyleUnderline"/>
          <w:rFonts w:asciiTheme="minorHAnsi" w:hAnsiTheme="minorHAnsi" w:cstheme="minorHAnsi"/>
        </w:rPr>
        <w:t>Yet while many authors acknowledge this, the focus often remains on the trigger</w:t>
      </w:r>
      <w:r w:rsidRPr="00AC4583">
        <w:rPr>
          <w:rFonts w:asciiTheme="minorHAnsi" w:hAnsiTheme="minorHAnsi" w:cstheme="minorHAnsi"/>
          <w:sz w:val="16"/>
        </w:rPr>
        <w:t xml:space="preserve">. Resource scarcity, climate change, population growth, or food insecurity often remain the starting point of analyses, with researchers consequently tracing the divergent (theoretical) possibilities for conflict. </w:t>
      </w:r>
      <w:r w:rsidRPr="00AC4583">
        <w:rPr>
          <w:rStyle w:val="StyleUnderline"/>
          <w:rFonts w:asciiTheme="minorHAnsi" w:hAnsiTheme="minorHAnsi" w:cstheme="minorHAnsi"/>
        </w:rPr>
        <w:t xml:space="preserve">In the end, </w:t>
      </w:r>
      <w:r w:rsidRPr="00AC4583">
        <w:rPr>
          <w:rStyle w:val="Emphasis"/>
          <w:rFonts w:asciiTheme="minorHAnsi" w:hAnsiTheme="minorHAnsi" w:cstheme="minorHAnsi"/>
          <w:highlight w:val="cyan"/>
        </w:rPr>
        <w:t>most admit</w:t>
      </w:r>
      <w:r w:rsidRPr="00AC4583">
        <w:rPr>
          <w:rStyle w:val="StyleUnderline"/>
          <w:rFonts w:asciiTheme="minorHAnsi" w:hAnsiTheme="minorHAnsi" w:cstheme="minorHAnsi"/>
          <w:highlight w:val="cyan"/>
        </w:rPr>
        <w:t xml:space="preserve"> that these factors </w:t>
      </w:r>
      <w:r w:rsidRPr="00AC4583">
        <w:rPr>
          <w:rStyle w:val="Emphasis"/>
          <w:rFonts w:asciiTheme="minorHAnsi" w:hAnsiTheme="minorHAnsi" w:cstheme="minorHAnsi"/>
          <w:highlight w:val="cyan"/>
        </w:rPr>
        <w:t>do not</w:t>
      </w:r>
      <w:r w:rsidRPr="00AC4583">
        <w:rPr>
          <w:rStyle w:val="StyleUnderline"/>
          <w:rFonts w:asciiTheme="minorHAnsi" w:hAnsiTheme="minorHAnsi" w:cstheme="minorHAnsi"/>
        </w:rPr>
        <w:t xml:space="preserve"> automatically </w:t>
      </w:r>
      <w:r w:rsidRPr="00AC4583">
        <w:rPr>
          <w:rStyle w:val="StyleUnderline"/>
          <w:rFonts w:asciiTheme="minorHAnsi" w:hAnsiTheme="minorHAnsi" w:cstheme="minorHAnsi"/>
          <w:highlight w:val="cyan"/>
        </w:rPr>
        <w:t>lead to conflict</w:t>
      </w:r>
      <w:r w:rsidRPr="00AC4583">
        <w:rPr>
          <w:rStyle w:val="StyleUnderline"/>
          <w:rFonts w:asciiTheme="minorHAnsi" w:hAnsiTheme="minorHAnsi" w:cstheme="minorHAnsi"/>
        </w:rPr>
        <w:t xml:space="preserve"> everywhere, and stress the importance of context</w:t>
      </w:r>
      <w:r w:rsidRPr="00AC4583">
        <w:rPr>
          <w:rFonts w:asciiTheme="minorHAnsi" w:hAnsiTheme="minorHAnsi" w:cstheme="minorHAnsi"/>
          <w:sz w:val="16"/>
        </w:rPr>
        <w:t xml:space="preserve">. Because the theoretical possibilities for conflict are so large, however, the context factor remains rather understudied with as most agreed upon notions that elements of ‘grievance’ and ‘collective action’ are required. It is hence important to focus more on the ‘contexts’ that can lead to conflict and, in doing so, to make the distinction between different forms of conflict. This also implies a data collection exercise. </w:t>
      </w:r>
      <w:r w:rsidRPr="00AC4583">
        <w:rPr>
          <w:rStyle w:val="StyleUnderline"/>
          <w:rFonts w:asciiTheme="minorHAnsi" w:hAnsiTheme="minorHAnsi" w:cstheme="minorHAnsi"/>
          <w:highlight w:val="cyan"/>
        </w:rPr>
        <w:t>Contextual data</w:t>
      </w:r>
      <w:r w:rsidRPr="00AC4583">
        <w:rPr>
          <w:rStyle w:val="StyleUnderline"/>
          <w:rFonts w:asciiTheme="minorHAnsi" w:hAnsiTheme="minorHAnsi" w:cstheme="minorHAnsi"/>
        </w:rPr>
        <w:t xml:space="preserve"> are currently collected at the aggregate, national level, and only on a yearly basis, which can </w:t>
      </w:r>
      <w:r w:rsidRPr="00AC4583">
        <w:rPr>
          <w:rStyle w:val="StyleUnderline"/>
          <w:rFonts w:asciiTheme="minorHAnsi" w:hAnsiTheme="minorHAnsi" w:cstheme="minorHAnsi"/>
          <w:highlight w:val="cyan"/>
        </w:rPr>
        <w:t xml:space="preserve">lead to </w:t>
      </w:r>
      <w:r w:rsidRPr="00AC4583">
        <w:rPr>
          <w:rStyle w:val="Emphasis"/>
          <w:rFonts w:asciiTheme="minorHAnsi" w:hAnsiTheme="minorHAnsi" w:cstheme="minorHAnsi"/>
          <w:highlight w:val="cyan"/>
        </w:rPr>
        <w:t>spurious relations</w:t>
      </w:r>
      <w:r w:rsidRPr="00AC4583">
        <w:rPr>
          <w:rFonts w:asciiTheme="minorHAnsi" w:hAnsiTheme="minorHAnsi" w:cstheme="minorHAnsi"/>
          <w:sz w:val="16"/>
        </w:rPr>
        <w:t xml:space="preserve">. While the use of these variables is increasingly questioned in civil war studies, </w:t>
      </w:r>
      <w:r w:rsidRPr="00AC4583">
        <w:rPr>
          <w:rStyle w:val="StyleUnderline"/>
          <w:rFonts w:asciiTheme="minorHAnsi" w:hAnsiTheme="minorHAnsi" w:cstheme="minorHAnsi"/>
          <w:highlight w:val="cyan"/>
        </w:rPr>
        <w:t>we</w:t>
      </w:r>
      <w:r w:rsidRPr="00AC4583">
        <w:rPr>
          <w:rFonts w:asciiTheme="minorHAnsi" w:hAnsiTheme="minorHAnsi" w:cstheme="minorHAnsi"/>
          <w:sz w:val="16"/>
        </w:rPr>
        <w:t xml:space="preserve"> can also </w:t>
      </w:r>
      <w:r w:rsidRPr="00AC4583">
        <w:rPr>
          <w:rStyle w:val="Emphasis"/>
          <w:rFonts w:asciiTheme="minorHAnsi" w:hAnsiTheme="minorHAnsi" w:cstheme="minorHAnsi"/>
          <w:highlight w:val="cyan"/>
        </w:rPr>
        <w:t>doubt their strength</w:t>
      </w:r>
      <w:r w:rsidRPr="00AC4583">
        <w:rPr>
          <w:rStyle w:val="StyleUnderline"/>
          <w:rFonts w:asciiTheme="minorHAnsi" w:hAnsiTheme="minorHAnsi" w:cstheme="minorHAnsi"/>
          <w:highlight w:val="cyan"/>
        </w:rPr>
        <w:t xml:space="preserve"> in the study</w:t>
      </w:r>
      <w:r w:rsidRPr="00AC4583">
        <w:rPr>
          <w:rStyle w:val="StyleUnderline"/>
          <w:rFonts w:asciiTheme="minorHAnsi" w:hAnsiTheme="minorHAnsi" w:cstheme="minorHAnsi"/>
        </w:rPr>
        <w:t xml:space="preserve"> of highly localized, </w:t>
      </w:r>
      <w:r w:rsidRPr="00AC4583">
        <w:rPr>
          <w:rStyle w:val="StyleUnderline"/>
          <w:rFonts w:asciiTheme="minorHAnsi" w:hAnsiTheme="minorHAnsi" w:cstheme="minorHAnsi"/>
          <w:highlight w:val="cyan"/>
        </w:rPr>
        <w:t>one-time events such as riots</w:t>
      </w:r>
      <w:r w:rsidRPr="00AC4583">
        <w:rPr>
          <w:rFonts w:asciiTheme="minorHAnsi" w:hAnsiTheme="minorHAnsi" w:cstheme="minorHAnsi"/>
          <w:sz w:val="16"/>
        </w:rPr>
        <w:t>. I particularly make the case for ‘bringing politics back in’. The policies taken by the government are crucial in the violent escalation of social conflict (e.g. accommodation versus repression), but the only variable currently in use to explain state behaviour seems to be the country-level regime type variable (Polity IV or Freedom House), which is also used with regards to highly localized conflicts. Other ways in which politics matter, can be the strength of the political opposition. The Muslim Brotherhood in Egypt, for example, was probably better organized than other opposition groups to make use of economic unrest.</w:t>
      </w:r>
    </w:p>
    <w:p w14:paraId="781787A0" w14:textId="5DCFA037" w:rsidR="00080C74" w:rsidRDefault="0032152C" w:rsidP="0032152C">
      <w:pPr>
        <w:pStyle w:val="Heading2"/>
      </w:pPr>
      <w:r>
        <w:lastRenderedPageBreak/>
        <w:t>Russia DA</w:t>
      </w:r>
    </w:p>
    <w:p w14:paraId="685DD72D" w14:textId="77777777" w:rsidR="0032152C" w:rsidRDefault="0032152C" w:rsidP="0032152C">
      <w:pPr>
        <w:pStyle w:val="Heading4"/>
        <w:numPr>
          <w:ilvl w:val="0"/>
          <w:numId w:val="16"/>
        </w:numPr>
        <w:tabs>
          <w:tab w:val="num" w:pos="360"/>
          <w:tab w:val="num" w:pos="720"/>
        </w:tabs>
        <w:ind w:left="0" w:firstLine="0"/>
      </w:pPr>
      <w:r>
        <w:t>Russian invasion of Ukraine means war is inevitable. Shear 2/18</w:t>
      </w:r>
    </w:p>
    <w:p w14:paraId="7314D80D" w14:textId="77777777" w:rsidR="0032152C" w:rsidRPr="00144B1D" w:rsidRDefault="0032152C" w:rsidP="0032152C">
      <w:r w:rsidRPr="00144B1D">
        <w:t>Michael D. Shear [White House correspondent and two-time Pulitzer Prize winning reporter in the Washington bureau, where he covers President Biden], 22 - ("Citing U.S. Intelligence, Biden Says Putin Has Decided to Invade Ukraine," The New York Times, 2-18-2022, accessed 2-20-2022, https://www.nytimes.com/2022/02/18/world/europe/biden-holds-urgent-talks-with-nato-leaders-amid-growing-signs-that-war-is-imminent-in-ukraine.html)//ML</w:t>
      </w:r>
    </w:p>
    <w:p w14:paraId="01B155F3" w14:textId="77777777" w:rsidR="0032152C" w:rsidRDefault="0032152C" w:rsidP="0032152C">
      <w:pPr>
        <w:rPr>
          <w:sz w:val="12"/>
        </w:rPr>
      </w:pPr>
      <w:r w:rsidRPr="00144B1D">
        <w:rPr>
          <w:sz w:val="12"/>
        </w:rPr>
        <w:t xml:space="preserve">WASHINGTON — President </w:t>
      </w:r>
      <w:r w:rsidRPr="00144B1D">
        <w:rPr>
          <w:rStyle w:val="StyleUnderline"/>
          <w:highlight w:val="yellow"/>
        </w:rPr>
        <w:t>Biden said</w:t>
      </w:r>
      <w:r w:rsidRPr="00144B1D">
        <w:rPr>
          <w:rStyle w:val="StyleUnderline"/>
        </w:rPr>
        <w:t xml:space="preserve"> on Friday </w:t>
      </w:r>
      <w:r w:rsidRPr="00144B1D">
        <w:rPr>
          <w:rStyle w:val="StyleUnderline"/>
          <w:highlight w:val="yellow"/>
        </w:rPr>
        <w:t>that the United States had intelligence showing tha</w:t>
      </w:r>
      <w:r w:rsidRPr="00144B1D">
        <w:rPr>
          <w:rStyle w:val="StyleUnderline"/>
        </w:rPr>
        <w:t xml:space="preserve">t President Vladimir V. </w:t>
      </w:r>
      <w:r w:rsidRPr="00144B1D">
        <w:rPr>
          <w:rStyle w:val="StyleUnderline"/>
          <w:highlight w:val="yellow"/>
        </w:rPr>
        <w:t>Putin</w:t>
      </w:r>
      <w:r w:rsidRPr="00144B1D">
        <w:rPr>
          <w:rStyle w:val="StyleUnderline"/>
        </w:rPr>
        <w:t xml:space="preserve"> of Russia </w:t>
      </w:r>
      <w:r w:rsidRPr="00144B1D">
        <w:rPr>
          <w:rStyle w:val="StyleUnderline"/>
          <w:highlight w:val="yellow"/>
        </w:rPr>
        <w:t>had made a final decision to invade Ukraine</w:t>
      </w:r>
      <w:r w:rsidRPr="00144B1D">
        <w:rPr>
          <w:rStyle w:val="StyleUnderline"/>
        </w:rPr>
        <w:t>.</w:t>
      </w:r>
      <w:r>
        <w:rPr>
          <w:rStyle w:val="StyleUnderline"/>
        </w:rPr>
        <w:t xml:space="preserve">¶ </w:t>
      </w:r>
      <w:r w:rsidRPr="00144B1D">
        <w:rPr>
          <w:sz w:val="12"/>
        </w:rPr>
        <w:t>“</w:t>
      </w:r>
      <w:r w:rsidRPr="00144B1D">
        <w:rPr>
          <w:rStyle w:val="StyleUnderline"/>
        </w:rPr>
        <w:t xml:space="preserve">We have reason to believe the Russian forces are planning to, intend to, attack Ukraine in the coming week, </w:t>
      </w:r>
      <w:r w:rsidRPr="00144B1D">
        <w:rPr>
          <w:rStyle w:val="StyleUnderline"/>
          <w:highlight w:val="yellow"/>
        </w:rPr>
        <w:t>in the coming days</w:t>
      </w:r>
      <w:r w:rsidRPr="00144B1D">
        <w:rPr>
          <w:sz w:val="12"/>
        </w:rPr>
        <w:t>,”</w:t>
      </w:r>
    </w:p>
    <w:p w14:paraId="0B3AFC0F" w14:textId="77777777" w:rsidR="0032152C" w:rsidRDefault="0032152C" w:rsidP="0032152C">
      <w:pPr>
        <w:rPr>
          <w:sz w:val="12"/>
        </w:rPr>
      </w:pPr>
    </w:p>
    <w:p w14:paraId="70E48871" w14:textId="77777777" w:rsidR="0032152C" w:rsidRDefault="0032152C" w:rsidP="0032152C">
      <w:pPr>
        <w:rPr>
          <w:sz w:val="12"/>
        </w:rPr>
      </w:pPr>
    </w:p>
    <w:p w14:paraId="0A534258" w14:textId="77777777" w:rsidR="0032152C" w:rsidRPr="00144B1D" w:rsidRDefault="0032152C" w:rsidP="0032152C">
      <w:pPr>
        <w:rPr>
          <w:sz w:val="12"/>
        </w:rPr>
      </w:pPr>
      <w:r w:rsidRPr="00144B1D">
        <w:rPr>
          <w:sz w:val="12"/>
        </w:rPr>
        <w:t xml:space="preserve"> Mr. Biden said in the Roosevelt Room at the White House. “We believe </w:t>
      </w:r>
      <w:r w:rsidRPr="00144B1D">
        <w:rPr>
          <w:rStyle w:val="StyleUnderline"/>
          <w:highlight w:val="yellow"/>
        </w:rPr>
        <w:t>that they will target Ukraine’s capital Kyiv</w:t>
      </w:r>
      <w:r w:rsidRPr="00144B1D">
        <w:rPr>
          <w:rStyle w:val="StyleUnderline"/>
        </w:rPr>
        <w:t>, a city of 2.8 million innocent people.”</w:t>
      </w:r>
      <w:r>
        <w:rPr>
          <w:rStyle w:val="StyleUnderline"/>
        </w:rPr>
        <w:t xml:space="preserve">¶ </w:t>
      </w:r>
      <w:r w:rsidRPr="00144B1D">
        <w:rPr>
          <w:sz w:val="12"/>
        </w:rPr>
        <w:t xml:space="preserve">Asked whether he thought that Mr. Putin was still wavering, </w:t>
      </w:r>
      <w:r w:rsidRPr="00144B1D">
        <w:rPr>
          <w:rStyle w:val="StyleUnderline"/>
        </w:rPr>
        <w:t xml:space="preserve">Mr. </w:t>
      </w:r>
      <w:r w:rsidRPr="00144B1D">
        <w:rPr>
          <w:rStyle w:val="StyleUnderline"/>
          <w:highlight w:val="yellow"/>
        </w:rPr>
        <w:t>Biden said, “I’m convinced he’s made the decision</w:t>
      </w:r>
      <w:r w:rsidRPr="00144B1D">
        <w:rPr>
          <w:rStyle w:val="StyleUnderline"/>
        </w:rPr>
        <w:t>.”</w:t>
      </w:r>
      <w:r w:rsidRPr="00144B1D">
        <w:rPr>
          <w:sz w:val="12"/>
        </w:rPr>
        <w:t xml:space="preserve"> Later he added that his impression of Mr. Putin’s intentions was based on U.S. intelligence.</w:t>
      </w:r>
    </w:p>
    <w:p w14:paraId="01425259" w14:textId="77777777" w:rsidR="0032152C" w:rsidRPr="0032152C" w:rsidRDefault="0032152C" w:rsidP="0032152C"/>
    <w:sectPr w:rsidR="0032152C" w:rsidRPr="003215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C96782"/>
    <w:multiLevelType w:val="hybridMultilevel"/>
    <w:tmpl w:val="31087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71D8"/>
    <w:multiLevelType w:val="hybridMultilevel"/>
    <w:tmpl w:val="B7FCC7B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F8C29E3"/>
    <w:multiLevelType w:val="hybridMultilevel"/>
    <w:tmpl w:val="B7FCC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C24B93"/>
    <w:multiLevelType w:val="hybridMultilevel"/>
    <w:tmpl w:val="4E740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3"/>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2F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C7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52C"/>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8D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FFA"/>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F51"/>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D4125B"/>
  <w14:defaultImageDpi w14:val="300"/>
  <w15:docId w15:val="{4F722798-13AD-264B-8FCC-E0B83E6BB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2FF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02F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2F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D02F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D02F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2F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2FFA"/>
  </w:style>
  <w:style w:type="character" w:customStyle="1" w:styleId="Heading1Char">
    <w:name w:val="Heading 1 Char"/>
    <w:aliases w:val="Pocket Char"/>
    <w:basedOn w:val="DefaultParagraphFont"/>
    <w:link w:val="Heading1"/>
    <w:uiPriority w:val="9"/>
    <w:rsid w:val="00D02F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2FFA"/>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D02FF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02F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02FF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D02FF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D02FF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02FF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02FFA"/>
    <w:rPr>
      <w:color w:val="auto"/>
      <w:u w:val="none"/>
    </w:rPr>
  </w:style>
  <w:style w:type="paragraph" w:styleId="DocumentMap">
    <w:name w:val="Document Map"/>
    <w:basedOn w:val="Normal"/>
    <w:link w:val="DocumentMapChar"/>
    <w:uiPriority w:val="99"/>
    <w:semiHidden/>
    <w:unhideWhenUsed/>
    <w:rsid w:val="00D02F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2FFA"/>
    <w:rPr>
      <w:rFonts w:ascii="Lucida Grande" w:hAnsi="Lucida Grande" w:cs="Lucida Grande"/>
    </w:rPr>
  </w:style>
  <w:style w:type="paragraph" w:customStyle="1" w:styleId="Emphasis1">
    <w:name w:val="Emphasis1"/>
    <w:basedOn w:val="Normal"/>
    <w:link w:val="Emphasis"/>
    <w:autoRedefine/>
    <w:uiPriority w:val="20"/>
    <w:qFormat/>
    <w:rsid w:val="00D02FF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D02FF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D02FFA"/>
    <w:pPr>
      <w:ind w:left="720"/>
      <w:contextualSpacing/>
    </w:pPr>
  </w:style>
  <w:style w:type="character" w:styleId="CommentReference">
    <w:name w:val="annotation reference"/>
    <w:basedOn w:val="DefaultParagraphFont"/>
    <w:uiPriority w:val="99"/>
    <w:semiHidden/>
    <w:unhideWhenUsed/>
    <w:rsid w:val="00D02FFA"/>
    <w:rPr>
      <w:sz w:val="16"/>
      <w:szCs w:val="16"/>
    </w:rPr>
  </w:style>
  <w:style w:type="paragraph" w:styleId="CommentText">
    <w:name w:val="annotation text"/>
    <w:basedOn w:val="Normal"/>
    <w:link w:val="CommentTextChar"/>
    <w:uiPriority w:val="99"/>
    <w:semiHidden/>
    <w:unhideWhenUsed/>
    <w:rsid w:val="00D02FFA"/>
    <w:pPr>
      <w:spacing w:line="240" w:lineRule="auto"/>
    </w:pPr>
    <w:rPr>
      <w:sz w:val="20"/>
      <w:szCs w:val="20"/>
    </w:rPr>
  </w:style>
  <w:style w:type="character" w:customStyle="1" w:styleId="CommentTextChar">
    <w:name w:val="Comment Text Char"/>
    <w:basedOn w:val="DefaultParagraphFont"/>
    <w:link w:val="CommentText"/>
    <w:uiPriority w:val="99"/>
    <w:semiHidden/>
    <w:rsid w:val="00D02FFA"/>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fontTable" Target="fontTable.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hyperlink" Target="https://scholarlycommons.law.case.edu/jil/vol51/iss1/1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33</Pages>
  <Words>25285</Words>
  <Characters>144125</Characters>
  <Application>Microsoft Office Word</Application>
  <DocSecurity>0</DocSecurity>
  <Lines>1201</Lines>
  <Paragraphs>338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169072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5</cp:revision>
  <dcterms:created xsi:type="dcterms:W3CDTF">2022-02-20T18:02:00Z</dcterms:created>
  <dcterms:modified xsi:type="dcterms:W3CDTF">2022-02-20T18:04:00Z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