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1DD80" w14:textId="77777777" w:rsidR="000622DC" w:rsidRPr="003714CF" w:rsidRDefault="000622DC" w:rsidP="000622DC">
      <w:pPr>
        <w:pStyle w:val="Heading1"/>
        <w:rPr>
          <w:rFonts w:cs="Calibri"/>
        </w:rPr>
      </w:pPr>
      <w:r w:rsidRPr="003714CF">
        <w:rPr>
          <w:rFonts w:cs="Calibri"/>
        </w:rPr>
        <w:t>AC</w:t>
      </w:r>
    </w:p>
    <w:p w14:paraId="22AB43C7" w14:textId="77777777" w:rsidR="000622DC" w:rsidRPr="00AE1703" w:rsidRDefault="000622DC" w:rsidP="000622DC">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1F53FFB0" w14:textId="77777777" w:rsidR="000622DC" w:rsidRPr="00CA1BD9" w:rsidRDefault="000622DC" w:rsidP="000622DC">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7484C6F8" w14:textId="77777777" w:rsidR="000622DC" w:rsidRPr="008B349A" w:rsidRDefault="000622DC" w:rsidP="000622DC">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24D2159A" w14:textId="77777777" w:rsidR="000622DC" w:rsidRDefault="000622DC" w:rsidP="000622DC"/>
    <w:p w14:paraId="2A937203" w14:textId="77777777" w:rsidR="000622DC" w:rsidRPr="003714CF" w:rsidRDefault="000622DC" w:rsidP="000622DC">
      <w:pPr>
        <w:pStyle w:val="Heading3"/>
        <w:rPr>
          <w:rFonts w:cs="Calibri"/>
        </w:rPr>
      </w:pPr>
      <w:r w:rsidRPr="003714CF">
        <w:rPr>
          <w:rFonts w:cs="Calibri"/>
        </w:rPr>
        <w:lastRenderedPageBreak/>
        <w:t>Advantage 1: Space Debris</w:t>
      </w:r>
    </w:p>
    <w:p w14:paraId="7589B859" w14:textId="77777777" w:rsidR="000622DC" w:rsidRPr="003714CF" w:rsidRDefault="000622DC" w:rsidP="000622DC">
      <w:pPr>
        <w:pStyle w:val="Heading4"/>
        <w:rPr>
          <w:rFonts w:cs="Calibri"/>
        </w:rPr>
      </w:pPr>
      <w:r w:rsidRPr="003714CF">
        <w:rPr>
          <w:rFonts w:cs="Calibri"/>
        </w:rPr>
        <w:t xml:space="preserve">Increasing space debris levels inevitably set off a chain of collisions. </w:t>
      </w:r>
    </w:p>
    <w:p w14:paraId="3F7237AD" w14:textId="77777777" w:rsidR="000622DC" w:rsidRPr="003714CF" w:rsidRDefault="000622DC" w:rsidP="000622DC">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BCEBFBE" w14:textId="77777777" w:rsidR="000622DC" w:rsidRDefault="000622DC" w:rsidP="000622DC">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659E91F8" w14:textId="77777777" w:rsidR="000622DC" w:rsidRPr="003714CF" w:rsidRDefault="000622DC" w:rsidP="000622DC">
      <w:pPr>
        <w:rPr>
          <w:sz w:val="10"/>
        </w:rPr>
      </w:pPr>
    </w:p>
    <w:p w14:paraId="0F52CEE8" w14:textId="77777777" w:rsidR="000622DC" w:rsidRPr="003714CF" w:rsidRDefault="000622DC" w:rsidP="000622DC">
      <w:pPr>
        <w:pStyle w:val="Heading4"/>
        <w:rPr>
          <w:rFonts w:cs="Calibri"/>
        </w:rPr>
      </w:pPr>
      <w:r w:rsidRPr="003714CF">
        <w:rPr>
          <w:rFonts w:cs="Calibri"/>
        </w:rPr>
        <w:t>Collisions make orbit unusable, causing nuclear war, mass starvation, and economic destruction. Jonson 13</w:t>
      </w:r>
    </w:p>
    <w:p w14:paraId="76D85EC3" w14:textId="77777777" w:rsidR="000622DC" w:rsidRPr="003714CF" w:rsidRDefault="000622DC" w:rsidP="000622DC">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65B85FCA" w14:textId="77777777" w:rsidR="000622DC" w:rsidRPr="003714CF" w:rsidRDefault="000622DC" w:rsidP="000622DC">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w:t>
      </w:r>
      <w:r w:rsidRPr="003714CF">
        <w:rPr>
          <w:sz w:val="12"/>
        </w:rPr>
        <w:lastRenderedPageBreak/>
        <w:t xml:space="preserve">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w:t>
      </w:r>
      <w:r w:rsidRPr="003714CF">
        <w:rPr>
          <w:rStyle w:val="StyleUnderline"/>
        </w:rPr>
        <w:lastRenderedPageBreak/>
        <w:t xml:space="preserve">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D3FB972" w14:textId="77777777" w:rsidR="000622DC" w:rsidRPr="003714CF" w:rsidRDefault="000622DC" w:rsidP="000622DC">
      <w:pPr>
        <w:rPr>
          <w:sz w:val="12"/>
        </w:rPr>
      </w:pPr>
    </w:p>
    <w:p w14:paraId="40BA4E4A" w14:textId="77777777" w:rsidR="000622DC" w:rsidRDefault="000622DC" w:rsidP="000622DC">
      <w:pPr>
        <w:pStyle w:val="Heading3"/>
        <w:rPr>
          <w:rFonts w:cs="Calibri"/>
        </w:rPr>
      </w:pPr>
      <w:r w:rsidRPr="003714CF">
        <w:rPr>
          <w:rFonts w:cs="Calibri"/>
        </w:rPr>
        <w:lastRenderedPageBreak/>
        <w:t>Advantage 2: Corporate Colonialism</w:t>
      </w:r>
    </w:p>
    <w:p w14:paraId="465A3ABC" w14:textId="77777777" w:rsidR="000622DC" w:rsidRPr="002401A3" w:rsidRDefault="000622DC" w:rsidP="000622DC">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E8C0D93" w14:textId="77777777" w:rsidR="000622DC" w:rsidRPr="002401A3" w:rsidRDefault="000622DC" w:rsidP="000622DC">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DF17AA0" w14:textId="77777777" w:rsidR="000622DC" w:rsidRPr="004F3D18" w:rsidRDefault="000622DC" w:rsidP="000622DC">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23FA04C6" w14:textId="77777777" w:rsidR="000622DC" w:rsidRPr="003714CF" w:rsidRDefault="000622DC" w:rsidP="000622DC">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4995DFB2" w14:textId="77777777" w:rsidR="000622DC" w:rsidRPr="003714CF" w:rsidRDefault="000622DC" w:rsidP="000622DC">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15B3793F" w14:textId="77777777" w:rsidR="000622DC" w:rsidRPr="003714CF" w:rsidRDefault="000622DC" w:rsidP="000622DC">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13F279A" w14:textId="77777777" w:rsidR="000622DC" w:rsidRPr="003714CF" w:rsidRDefault="000622DC" w:rsidP="000622DC">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0EDEFDE3" w14:textId="77777777" w:rsidR="000622DC" w:rsidRPr="003714CF" w:rsidRDefault="000622DC" w:rsidP="000622DC">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1BBEB71F" w14:textId="77777777" w:rsidR="000622DC" w:rsidRPr="003714CF" w:rsidRDefault="000622DC" w:rsidP="000622DC">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E83E8F0" w14:textId="77777777" w:rsidR="000622DC" w:rsidRPr="002401A3" w:rsidRDefault="000622DC" w:rsidP="000622DC">
      <w:pPr>
        <w:pStyle w:val="Heading3"/>
        <w:rPr>
          <w:rFonts w:cs="Calibri"/>
        </w:rPr>
      </w:pPr>
      <w:r w:rsidRPr="002401A3">
        <w:rPr>
          <w:rFonts w:cs="Calibri"/>
        </w:rPr>
        <w:lastRenderedPageBreak/>
        <w:t>Plan</w:t>
      </w:r>
      <w:r>
        <w:rPr>
          <w:rFonts w:cs="Calibri"/>
        </w:rPr>
        <w:t>/Solvency</w:t>
      </w:r>
    </w:p>
    <w:p w14:paraId="258C46BC" w14:textId="77777777" w:rsidR="000622DC" w:rsidRPr="00E14A91" w:rsidRDefault="000622DC" w:rsidP="000622DC">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11826467" w14:textId="77777777" w:rsidR="000622DC" w:rsidRPr="001A6991" w:rsidRDefault="000622DC" w:rsidP="000622DC">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52528F8B" w14:textId="77777777" w:rsidR="000622DC" w:rsidRDefault="000622DC" w:rsidP="000622DC">
      <w:pPr>
        <w:pStyle w:val="Heading4"/>
      </w:pPr>
      <w:r>
        <w:t>The aff:</w:t>
      </w:r>
    </w:p>
    <w:p w14:paraId="4459B651" w14:textId="77777777" w:rsidR="000622DC" w:rsidRPr="003955A7" w:rsidRDefault="000622DC" w:rsidP="000622DC">
      <w:pPr>
        <w:pStyle w:val="Heading4"/>
        <w:numPr>
          <w:ilvl w:val="0"/>
          <w:numId w:val="12"/>
        </w:numPr>
        <w:tabs>
          <w:tab w:val="num" w:pos="360"/>
        </w:tabs>
        <w:ind w:left="0" w:firstLine="0"/>
      </w:pPr>
      <w:r>
        <w:t>solves debris and space colonialism by ensuring the sustainable and equitable use of outer space resources.</w:t>
      </w:r>
    </w:p>
    <w:p w14:paraId="40B40DB4" w14:textId="77777777" w:rsidR="000622DC" w:rsidRDefault="000622DC" w:rsidP="000622DC">
      <w:pPr>
        <w:pStyle w:val="ListParagraph"/>
        <w:numPr>
          <w:ilvl w:val="0"/>
          <w:numId w:val="12"/>
        </w:numPr>
        <w:rPr>
          <w:rStyle w:val="Style13ptBold"/>
        </w:rPr>
      </w:pPr>
      <w:r>
        <w:rPr>
          <w:rStyle w:val="Style13ptBold"/>
        </w:rPr>
        <w:t>prevents circumvention by aligning the interests of state parties.</w:t>
      </w:r>
    </w:p>
    <w:p w14:paraId="567E88C8" w14:textId="77777777" w:rsidR="000622DC" w:rsidRPr="005D41A1" w:rsidRDefault="000622DC" w:rsidP="000622DC">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F524B0E" w14:textId="77777777" w:rsidR="000622DC" w:rsidRDefault="000622DC" w:rsidP="000622DC">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3162F3B" w14:textId="77777777" w:rsidR="000622DC" w:rsidRPr="009C185C" w:rsidRDefault="000622DC" w:rsidP="000622DC">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251EA76D" w14:textId="77777777" w:rsidR="000622DC" w:rsidRPr="00744C0D" w:rsidRDefault="000622DC" w:rsidP="000622DC">
      <w:pPr>
        <w:pStyle w:val="Heading4"/>
        <w:rPr>
          <w:rFonts w:cs="Calibri"/>
        </w:rPr>
      </w:pPr>
      <w:r w:rsidRPr="00744C0D">
        <w:rPr>
          <w:rFonts w:cs="Calibri"/>
        </w:rPr>
        <w:t>Treating space as a commons solves orbital debris. Current non-binding agreements are not enough.</w:t>
      </w:r>
    </w:p>
    <w:p w14:paraId="2409D4E5" w14:textId="77777777" w:rsidR="000622DC" w:rsidRPr="003714CF" w:rsidRDefault="000622DC" w:rsidP="000622DC">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83915EE" w14:textId="77777777" w:rsidR="000622DC" w:rsidRPr="003714CF" w:rsidRDefault="000622DC" w:rsidP="000622DC">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w:t>
      </w:r>
      <w:r w:rsidRPr="00257E1A">
        <w:rPr>
          <w:sz w:val="12"/>
        </w:rPr>
        <w:t xml:space="preserve">. </w:t>
      </w:r>
      <w:r w:rsidRPr="00257E1A">
        <w:rPr>
          <w:rStyle w:val="StyleUnderline"/>
        </w:rPr>
        <w:t>The costs of adapting to</w:t>
      </w:r>
      <w:r w:rsidRPr="00257E1A">
        <w:rPr>
          <w:sz w:val="12"/>
        </w:rPr>
        <w:t xml:space="preserve"> increasingly </w:t>
      </w:r>
      <w:r w:rsidRPr="00257E1A">
        <w:rPr>
          <w:rStyle w:val="StyleUnderline"/>
        </w:rPr>
        <w:t>polluted orbits would be immense, and the opportunity costs would be even higher</w:t>
      </w:r>
      <w:r w:rsidRPr="00257E1A">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57E1A">
        <w:rPr>
          <w:rStyle w:val="StyleUnderline"/>
        </w:rPr>
        <w:t>borne by all space actors, including emerging states</w:t>
      </w:r>
      <w:r w:rsidRPr="008D7D08">
        <w:rPr>
          <w:rStyle w:val="StyleUnderline"/>
        </w:rPr>
        <w:t xml:space="preserve">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10B22E7" w14:textId="77777777" w:rsidR="000622DC" w:rsidRPr="004A2A85" w:rsidRDefault="000622DC" w:rsidP="000622DC">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1346D0C9" w14:textId="77777777" w:rsidR="000622DC" w:rsidRDefault="000622DC" w:rsidP="000622DC">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1EC472D5" w14:textId="77777777" w:rsidR="000622DC" w:rsidRPr="00130884" w:rsidRDefault="000622DC" w:rsidP="000622DC">
      <w:pPr>
        <w:ind w:left="720"/>
        <w:rPr>
          <w:rStyle w:val="Style13ptBold"/>
          <w:iCs/>
          <w:sz w:val="22"/>
          <w:highlight w:val="yellow"/>
          <w:u w:val="single"/>
        </w:rPr>
      </w:pPr>
      <w:r w:rsidRPr="00FB2583">
        <w:rPr>
          <w:sz w:val="16"/>
        </w:rPr>
        <w:t xml:space="preserve">Using ‘commons’ as a noun, thus, implies a methodological break with this reification of common things, as well as with the logic underlying the classification of </w:t>
      </w:r>
      <w:r w:rsidRPr="00A34BAB">
        <w:rPr>
          <w:sz w:val="16"/>
        </w:rPr>
        <w:t xml:space="preserve">goods in economic theory. </w:t>
      </w:r>
      <w:r w:rsidRPr="00A34BAB">
        <w:rPr>
          <w:rStyle w:val="Emphasis"/>
        </w:rPr>
        <w:t>A ‘commons’ is</w:t>
      </w:r>
      <w:r w:rsidRPr="00A34BAB">
        <w:rPr>
          <w:rStyle w:val="StyleUnderline"/>
        </w:rPr>
        <w:t xml:space="preserve"> first and foremost an </w:t>
      </w:r>
      <w:r w:rsidRPr="00A34BAB">
        <w:rPr>
          <w:rStyle w:val="Emphasis"/>
        </w:rPr>
        <w:t>institutional</w:t>
      </w:r>
      <w:r w:rsidRPr="00A34BAB">
        <w:rPr>
          <w:rStyle w:val="StyleUnderline"/>
        </w:rPr>
        <w:t xml:space="preserve"> affair and, more specifically, an institutional space </w:t>
      </w:r>
      <w:r w:rsidRPr="00A34BAB">
        <w:rPr>
          <w:rStyle w:val="Emphasis"/>
        </w:rPr>
        <w:t xml:space="preserve">defined by collectively </w:t>
      </w:r>
      <w:r w:rsidRPr="00A34BAB">
        <w:rPr>
          <w:rStyle w:val="Emphasis"/>
        </w:rPr>
        <w:lastRenderedPageBreak/>
        <w:t xml:space="preserve">developed </w:t>
      </w:r>
      <w:r w:rsidRPr="00A34BAB">
        <w:rPr>
          <w:rStyle w:val="StyleUnderline"/>
        </w:rPr>
        <w:t>practical</w:t>
      </w:r>
      <w:r w:rsidRPr="00A34BAB">
        <w:rPr>
          <w:rStyle w:val="Emphasis"/>
        </w:rPr>
        <w:t xml:space="preserve"> rules</w:t>
      </w:r>
      <w:r w:rsidRPr="00A34BAB">
        <w:rPr>
          <w:rStyle w:val="StyleUnderline"/>
        </w:rPr>
        <w:t>.</w:t>
      </w:r>
      <w:r w:rsidRPr="00A34BAB">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A34BAB">
        <w:rPr>
          <w:rStyle w:val="StyleUnderline"/>
        </w:rPr>
        <w:t xml:space="preserve">By contrast, any good that is capable of being purchased and sold, is not in itself a commons. This means that a commons is a good only under the condition that it is not a possession or an acquisition. In other words, once it is instituted, </w:t>
      </w:r>
      <w:r w:rsidRPr="00A34BAB">
        <w:rPr>
          <w:rStyle w:val="Emphasis"/>
        </w:rPr>
        <w:t xml:space="preserve">a commons is inalienable and inappropriable. </w:t>
      </w:r>
      <w:r w:rsidRPr="00A34BAB">
        <w:rPr>
          <w:rStyle w:val="StyleUnderline"/>
        </w:rPr>
        <w:t>It creates a space within which</w:t>
      </w:r>
      <w:r w:rsidRPr="00A34BAB">
        <w:rPr>
          <w:rStyle w:val="Emphasis"/>
        </w:rPr>
        <w:t xml:space="preserve"> use prevails over ownership.</w:t>
      </w:r>
      <w:r w:rsidRPr="00A34BAB">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A34BAB">
        <w:rPr>
          <w:sz w:val="16"/>
        </w:rPr>
        <w:t xml:space="preserve"> This activity is not external to the commons, but instead inherent in it.</w:t>
      </w:r>
      <w:r w:rsidRPr="00A34BAB">
        <w:rPr>
          <w:rStyle w:val="StyleUnderline"/>
        </w:rPr>
        <w:t xml:space="preserve"> ¶</w:t>
      </w:r>
      <w:r w:rsidRPr="00A34BAB">
        <w:rPr>
          <w:sz w:val="16"/>
        </w:rPr>
        <w:t xml:space="preserve"> </w:t>
      </w:r>
      <w:r w:rsidRPr="00A34BAB">
        <w:rPr>
          <w:rStyle w:val="StyleUnderline"/>
        </w:rPr>
        <w:t xml:space="preserve">If we take this to be the definition of every common, then a third implication is that </w:t>
      </w:r>
      <w:r w:rsidRPr="00A34BAB">
        <w:rPr>
          <w:rStyle w:val="Emphasis"/>
        </w:rPr>
        <w:t xml:space="preserve">a common, </w:t>
      </w:r>
      <w:r w:rsidRPr="00A34BAB">
        <w:rPr>
          <w:rStyle w:val="StyleUnderline"/>
        </w:rPr>
        <w:t>regardless of its specific designation,</w:t>
      </w:r>
      <w:r w:rsidRPr="00A34BAB">
        <w:rPr>
          <w:rStyle w:val="Emphasis"/>
        </w:rPr>
        <w:t xml:space="preserve"> requires</w:t>
      </w:r>
      <w:r w:rsidRPr="00A34BAB">
        <w:rPr>
          <w:rStyle w:val="StyleUnderline"/>
        </w:rPr>
        <w:t xml:space="preserve"> self-government or </w:t>
      </w:r>
      <w:r w:rsidRPr="00A34BAB">
        <w:rPr>
          <w:rStyle w:val="Emphasis"/>
        </w:rPr>
        <w:t xml:space="preserve">democratic government. The very act of establishing </w:t>
      </w:r>
      <w:r w:rsidRPr="00A34BAB">
        <w:rPr>
          <w:rStyle w:val="StyleUnderline"/>
        </w:rPr>
        <w:t xml:space="preserve">a common is in and of itself a </w:t>
      </w:r>
      <w:r w:rsidRPr="00A34BAB">
        <w:rPr>
          <w:rStyle w:val="Emphasis"/>
        </w:rPr>
        <w:t xml:space="preserve">democratic </w:t>
      </w:r>
      <w:r w:rsidRPr="00A34BAB">
        <w:rPr>
          <w:rStyle w:val="StyleUnderline"/>
        </w:rPr>
        <w:t>act</w:t>
      </w:r>
      <w:r w:rsidRPr="00A34BAB">
        <w:rPr>
          <w:rStyle w:val="Emphasis"/>
        </w:rPr>
        <w:t>.</w:t>
      </w:r>
      <w:r w:rsidRPr="00A34BAB">
        <w:rPr>
          <w:rStyle w:val="StyleUnderline"/>
        </w:rPr>
        <w:t xml:space="preserve"> The act of </w:t>
      </w:r>
      <w:r w:rsidRPr="00A34BAB">
        <w:rPr>
          <w:rStyle w:val="Emphasis"/>
        </w:rPr>
        <w:t>governing a common</w:t>
      </w:r>
      <w:r w:rsidRPr="00A34BAB">
        <w:rPr>
          <w:rStyle w:val="StyleUnderline"/>
        </w:rPr>
        <w:t xml:space="preserve"> </w:t>
      </w:r>
      <w:r w:rsidRPr="00A34BAB">
        <w:rPr>
          <w:rStyle w:val="Emphasis"/>
        </w:rPr>
        <w:t xml:space="preserve">is </w:t>
      </w:r>
      <w:r w:rsidRPr="00A34BAB">
        <w:rPr>
          <w:rStyle w:val="StyleUnderline"/>
        </w:rPr>
        <w:t>nothing more than the continuation of the</w:t>
      </w:r>
      <w:r w:rsidRPr="00A34BAB">
        <w:rPr>
          <w:rStyle w:val="Emphasis"/>
        </w:rPr>
        <w:t xml:space="preserve"> democratic </w:t>
      </w:r>
      <w:r w:rsidRPr="00A34BAB">
        <w:rPr>
          <w:rStyle w:val="StyleUnderline"/>
        </w:rPr>
        <w:t>act; it is thus a sort of continuation of the institution.</w:t>
      </w:r>
      <w:r w:rsidRPr="00A34BAB">
        <w:rPr>
          <w:sz w:val="16"/>
        </w:rPr>
        <w:t xml:space="preserve"> </w:t>
      </w:r>
      <w:r w:rsidRPr="00A34BAB">
        <w:rPr>
          <w:rStyle w:val="StyleUnderline"/>
        </w:rPr>
        <w:t xml:space="preserve">It consists of reviving this institution </w:t>
      </w:r>
      <w:r w:rsidRPr="00A34BAB">
        <w:rPr>
          <w:rStyle w:val="Emphasis"/>
        </w:rPr>
        <w:t>by critically assessing its</w:t>
      </w:r>
      <w:r w:rsidRPr="00A34BAB">
        <w:rPr>
          <w:rStyle w:val="StyleUnderline"/>
        </w:rPr>
        <w:t xml:space="preserve"> collective </w:t>
      </w:r>
      <w:r w:rsidRPr="00A34BAB">
        <w:rPr>
          <w:rStyle w:val="Emphasis"/>
        </w:rPr>
        <w:t>rules</w:t>
      </w:r>
      <w:r w:rsidRPr="00A34BAB">
        <w:rPr>
          <w:rStyle w:val="StyleUnderline"/>
        </w:rPr>
        <w:t xml:space="preserve">, whenever the situation demands it. As such, the governance of the common can only proceed from the principle of democracy – the </w:t>
      </w:r>
      <w:r w:rsidRPr="00A34BAB">
        <w:rPr>
          <w:rStyle w:val="Emphasis"/>
        </w:rPr>
        <w:t>non-democratic governance</w:t>
      </w:r>
      <w:r w:rsidRPr="00A34BAB">
        <w:rPr>
          <w:rStyle w:val="StyleUnderline"/>
        </w:rPr>
        <w:t xml:space="preserve"> of a common </w:t>
      </w:r>
      <w:r w:rsidRPr="00A34BAB">
        <w:rPr>
          <w:rStyle w:val="Emphasis"/>
        </w:rPr>
        <w:t>would threaten</w:t>
      </w:r>
      <w:r w:rsidRPr="00A34BAB">
        <w:t>,</w:t>
      </w:r>
      <w:r w:rsidRPr="00A34BAB">
        <w:rPr>
          <w:rStyle w:val="StyleUnderline"/>
        </w:rPr>
        <w:t xml:space="preserve"> in the short-term, </w:t>
      </w:r>
      <w:r w:rsidRPr="00A34BAB">
        <w:rPr>
          <w:rStyle w:val="Emphasis"/>
        </w:rPr>
        <w:t>the very existence of this common.</w:t>
      </w:r>
      <w:r w:rsidRPr="00A34BAB">
        <w:rPr>
          <w:rStyle w:val="StyleUnderline"/>
        </w:rPr>
        <w:t xml:space="preserve"> I call this the principle of the common, this time in the singular form.</w:t>
      </w:r>
      <w:r w:rsidRPr="00A34BAB">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w:t>
      </w:r>
      <w:r w:rsidRPr="00FB2583">
        <w:rPr>
          <w:sz w:val="16"/>
        </w:rPr>
        <w:t xml:space="preserve">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 xml:space="preserve">A first </w:t>
      </w:r>
      <w:r w:rsidRPr="00A34BAB">
        <w:rPr>
          <w:rStyle w:val="Emphasis"/>
        </w:rPr>
        <w:t>example</w:t>
      </w:r>
      <w:r w:rsidRPr="00A34BAB">
        <w:rPr>
          <w:rStyle w:val="StyleUnderline"/>
        </w:rPr>
        <w:t xml:space="preserve"> will allow us to highlight this logic of limitlessness by examining the delegation of tasks between the state and private enterprises. </w:t>
      </w:r>
      <w:r w:rsidRPr="00A34BAB">
        <w:rPr>
          <w:sz w:val="16"/>
        </w:rPr>
        <w:t xml:space="preserve">On 25 November 2015, just a few days before the opening of the 21st Conference of the Parties (COP) of the Framework Convention on Climate Change in Paris, </w:t>
      </w:r>
      <w:r w:rsidRPr="00A34BAB">
        <w:rPr>
          <w:rStyle w:val="StyleUnderline"/>
        </w:rPr>
        <w:t xml:space="preserve">Barack </w:t>
      </w:r>
      <w:r w:rsidRPr="00A34BAB">
        <w:rPr>
          <w:rStyle w:val="Emphasis"/>
        </w:rPr>
        <w:t>Obama passed</w:t>
      </w:r>
      <w:r w:rsidRPr="00A34BAB">
        <w:rPr>
          <w:rStyle w:val="StyleUnderline"/>
        </w:rPr>
        <w:t xml:space="preserve"> law H.R.2262, which provided </w:t>
      </w:r>
      <w:r w:rsidRPr="00A34BAB">
        <w:rPr>
          <w:rStyle w:val="Emphasis"/>
        </w:rPr>
        <w:t>authorization for private American companies to use natural resources from outer space</w:t>
      </w:r>
      <w:r w:rsidRPr="00A34BAB">
        <w:rPr>
          <w:sz w:val="16"/>
        </w:rPr>
        <w:t xml:space="preserve"> (US Congress, 2015). </w:t>
      </w:r>
      <w:r w:rsidRPr="00A34BAB">
        <w:rPr>
          <w:rStyle w:val="StyleUnderline"/>
        </w:rPr>
        <w:t xml:space="preserve">As we know, </w:t>
      </w:r>
      <w:r w:rsidRPr="00A34BAB">
        <w:rPr>
          <w:rStyle w:val="Emphasis"/>
        </w:rPr>
        <w:t>the</w:t>
      </w:r>
      <w:r w:rsidRPr="00A34BAB">
        <w:rPr>
          <w:rStyle w:val="StyleUnderline"/>
        </w:rPr>
        <w:t xml:space="preserve"> 1967 </w:t>
      </w:r>
      <w:r w:rsidRPr="00A34BAB">
        <w:rPr>
          <w:rStyle w:val="Emphasis"/>
        </w:rPr>
        <w:t>Outer Space Treaty established the</w:t>
      </w:r>
      <w:r w:rsidRPr="00A34BAB">
        <w:rPr>
          <w:rStyle w:val="StyleUnderline"/>
        </w:rPr>
        <w:t xml:space="preserve"> legal </w:t>
      </w:r>
      <w:r w:rsidRPr="00A34BAB">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7176179D" w14:textId="77777777" w:rsidR="000622DC" w:rsidRPr="00AE7D26" w:rsidRDefault="000622DC" w:rsidP="000622DC">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5A74D1C1" w14:textId="77777777" w:rsidR="000622DC" w:rsidRPr="00744C0D" w:rsidRDefault="000622DC" w:rsidP="000622DC">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4E9FAC5C" w14:textId="77777777" w:rsidR="000622DC" w:rsidRPr="002B74BE" w:rsidRDefault="000622DC" w:rsidP="000622DC">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w:t>
      </w:r>
      <w:r w:rsidRPr="00744C0D">
        <w:rPr>
          <w:sz w:val="16"/>
        </w:rPr>
        <w:lastRenderedPageBreak/>
        <w:t xml:space="preserve">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5EA417B1" w14:textId="77777777" w:rsidR="000622DC" w:rsidRPr="0008548D" w:rsidRDefault="000622DC" w:rsidP="000622DC">
      <w:pPr>
        <w:rPr>
          <w:b/>
          <w:iCs/>
          <w:highlight w:val="yellow"/>
          <w:u w:val="single"/>
        </w:rPr>
      </w:pPr>
    </w:p>
    <w:p w14:paraId="0CDB2A63" w14:textId="631D9F22" w:rsidR="00E42E4C" w:rsidRDefault="000622DC" w:rsidP="000622DC">
      <w:pPr>
        <w:pStyle w:val="Heading1"/>
      </w:pPr>
      <w:r>
        <w:lastRenderedPageBreak/>
        <w:t>1AR cards</w:t>
      </w:r>
    </w:p>
    <w:p w14:paraId="1BC7681D" w14:textId="2BD421C5" w:rsidR="000622DC" w:rsidRPr="000622DC" w:rsidRDefault="000622DC" w:rsidP="000622DC">
      <w:pPr>
        <w:pStyle w:val="Heading2"/>
        <w:rPr>
          <w:rStyle w:val="Style13ptBold"/>
          <w:b/>
          <w:sz w:val="44"/>
          <w:u w:val="double"/>
        </w:rPr>
      </w:pPr>
      <w:r>
        <w:rPr>
          <w:rStyle w:val="Style13ptBold"/>
          <w:b/>
          <w:sz w:val="44"/>
          <w:u w:val="double"/>
        </w:rPr>
        <w:lastRenderedPageBreak/>
        <w:t>Negative action T</w:t>
      </w:r>
    </w:p>
    <w:p w14:paraId="41A8ABCE" w14:textId="42218A67" w:rsidR="000622DC" w:rsidRPr="000622DC" w:rsidRDefault="000622DC" w:rsidP="000622DC">
      <w:pPr>
        <w:pStyle w:val="Heading4"/>
        <w:numPr>
          <w:ilvl w:val="0"/>
          <w:numId w:val="13"/>
        </w:numPr>
        <w:tabs>
          <w:tab w:val="num" w:pos="360"/>
        </w:tabs>
        <w:ind w:left="0" w:firstLine="0"/>
        <w:rPr>
          <w:rStyle w:val="Style13ptBold"/>
          <w:rFonts w:cs="Calibri"/>
          <w:b/>
          <w:bCs w:val="0"/>
        </w:rPr>
      </w:pPr>
      <w:r w:rsidRPr="000622DC">
        <w:rPr>
          <w:rStyle w:val="Style13ptBold"/>
          <w:rFonts w:cs="Calibri"/>
          <w:b/>
          <w:bCs w:val="0"/>
        </w:rPr>
        <w:t>Counterinterpretation: The aff is topical if the plan being a good idea entails that the resolution is true</w:t>
      </w:r>
    </w:p>
    <w:p w14:paraId="7ED3CF46" w14:textId="77777777" w:rsidR="000622DC" w:rsidRPr="00800EA3" w:rsidRDefault="000622DC" w:rsidP="000622DC">
      <w:r w:rsidRPr="00800EA3">
        <w:rPr>
          <w:rStyle w:val="Style13ptBold"/>
        </w:rPr>
        <w:t>Nebel 15</w:t>
      </w:r>
      <w:r w:rsidRPr="00800EA3">
        <w:t xml:space="preserve"> [Jacob Nebel (Assistant professor of philosophy at USC), “The Priority of Resolutional Semantics by Jake Nebel,” Vbriefly, 2/20/15. </w:t>
      </w:r>
      <w:hyperlink r:id="rId48" w:anchor="fn11" w:history="1">
        <w:r w:rsidRPr="00800EA3">
          <w:rPr>
            <w:rStyle w:val="Hyperlink"/>
          </w:rPr>
          <w:t>https://www.vbriefly.com/2015/02/20/the-priority-of-resolutional-semantics-by-jake-nebel/#fn11</w:t>
        </w:r>
      </w:hyperlink>
      <w:r w:rsidRPr="00800EA3">
        <w:t>] CT</w:t>
      </w:r>
    </w:p>
    <w:p w14:paraId="1EC3BA00" w14:textId="77777777" w:rsidR="000622DC" w:rsidRPr="00800EA3" w:rsidRDefault="000622DC" w:rsidP="000622DC">
      <w:pPr>
        <w:rPr>
          <w:sz w:val="16"/>
          <w:szCs w:val="16"/>
        </w:rPr>
      </w:pPr>
      <w:r w:rsidRPr="00800EA3">
        <w:rPr>
          <w:sz w:val="16"/>
          <w:szCs w:val="16"/>
        </w:rPr>
        <w:t xml:space="preserve">2.1 Sets of Worlds </w:t>
      </w:r>
    </w:p>
    <w:p w14:paraId="55C3585B" w14:textId="77777777" w:rsidR="000622DC" w:rsidRPr="00800EA3" w:rsidRDefault="000622DC" w:rsidP="000622DC">
      <w:pPr>
        <w:ind w:left="720"/>
        <w:rPr>
          <w:rStyle w:val="StyleUnderline"/>
        </w:rPr>
      </w:pPr>
      <w:r w:rsidRPr="00800EA3">
        <w:rPr>
          <w:rStyle w:val="StyleUnderline"/>
        </w:rPr>
        <w:t>There is an influential approach in the philosophy of language that may shed some light on the parametric view. This approach understands propositions—i.e., the things expressed by sentences, such as the resolution—to be sets of possible worlds. A possible world is a complete way things could be or could have been.</w:t>
      </w:r>
      <w:r w:rsidRPr="00800EA3">
        <w:rPr>
          <w:sz w:val="16"/>
        </w:rPr>
        <w:t xml:space="preserve"> Things could have been such that I have red hair, that the bullet missed JFK, that there was no life on earth, etc. </w:t>
      </w:r>
      <w:r w:rsidRPr="00800EA3">
        <w:rPr>
          <w:rStyle w:val="StyleUnderline"/>
        </w:rPr>
        <w:t xml:space="preserve">You have a possible world when you’ve specified, for each way things might be, whether things are that way or not. </w:t>
      </w:r>
      <w:r w:rsidRPr="00800EA3">
        <w:rPr>
          <w:sz w:val="16"/>
        </w:rPr>
        <w:t xml:space="preserve">The view that propositions are sets of possible worlds takes, for example, the proposition that the sky is blue to be the set of all possible worlds in which the sky is blue. This proposition is true because the actual world belongs to that set. The proposition that I have red hair is false because the actual world is not a member of the set of possible worlds in which I have red hair. </w:t>
      </w:r>
      <w:r w:rsidRPr="00800EA3">
        <w:rPr>
          <w:rStyle w:val="StyleUnderline"/>
        </w:rPr>
        <w:t>We can think of the resolution as demarcating a region in the space of possible worlds: worlds within this region are, in the relevant sense, topical. Can the affirmative specify a smaller region within this topical region, and argue that the actual world lies within this region? On the conception of propositions as sets of possible worlds, this should be fine: if the actual world belongs to a subset of a set of possible worlds, then it belongs to the larger set as well. But there are three ways in which we must be careful not to be misled by this fact.</w:t>
      </w:r>
      <w:r w:rsidRPr="00800EA3">
        <w:rPr>
          <w:sz w:val="16"/>
        </w:rPr>
        <w:t xml:space="preserve"> First, this does not imply that the affirmative may specify a set of just governments, for example, on the current resolution. </w:t>
      </w:r>
      <w:r w:rsidRPr="00800EA3">
        <w:rPr>
          <w:rStyle w:val="StyleUnderline"/>
        </w:rPr>
        <w:t>Consider the set of worlds in which the U.S. and the UK ought to require that employers pay a living wage. Is this set a subset of the set of worlds in which just governments ought to require that employers pay a living wage? Only if “just governments” gets an existential reading, so that it means something like “some just governments,” and I have explained why this reading is semantically inadequate. The appeal to the resolution as a boundary makes this point no less relevan</w:t>
      </w:r>
      <w:r w:rsidRPr="00800EA3">
        <w:rPr>
          <w:sz w:val="16"/>
        </w:rPr>
        <w:t xml:space="preserve">t. The easiest way to see this is if the resolution said “all just governments.” (There have been LD and policy resolutions that included universal quantifiers.) </w:t>
      </w:r>
      <w:r w:rsidRPr="00800EA3">
        <w:rPr>
          <w:rStyle w:val="StyleUnderline"/>
          <w:highlight w:val="yellow"/>
        </w:rPr>
        <w:t xml:space="preserve">Many </w:t>
      </w:r>
      <w:r w:rsidRPr="00800EA3">
        <w:rPr>
          <w:rStyle w:val="StyleUnderline"/>
        </w:rPr>
        <w:t xml:space="preserve">possible </w:t>
      </w:r>
      <w:r w:rsidRPr="00800EA3">
        <w:rPr>
          <w:rStyle w:val="StyleUnderline"/>
          <w:highlight w:val="yellow"/>
        </w:rPr>
        <w:t xml:space="preserve">worlds in which the U.S. and the UK ought to </w:t>
      </w:r>
      <w:r w:rsidRPr="00800EA3">
        <w:rPr>
          <w:rStyle w:val="StyleUnderline"/>
        </w:rPr>
        <w:t xml:space="preserve">require that employers </w:t>
      </w:r>
      <w:r w:rsidRPr="00800EA3">
        <w:rPr>
          <w:rStyle w:val="StyleUnderline"/>
          <w:highlight w:val="yellow"/>
        </w:rPr>
        <w:t>pay a living wage are not elements of the proposition that all</w:t>
      </w:r>
      <w:r w:rsidRPr="00800EA3">
        <w:rPr>
          <w:rStyle w:val="StyleUnderline"/>
        </w:rPr>
        <w:t xml:space="preserve"> just </w:t>
      </w:r>
      <w:r w:rsidRPr="00800EA3">
        <w:rPr>
          <w:rStyle w:val="StyleUnderline"/>
          <w:highlight w:val="yellow"/>
        </w:rPr>
        <w:t>governments</w:t>
      </w:r>
      <w:r w:rsidRPr="00800EA3">
        <w:rPr>
          <w:rStyle w:val="StyleUnderline"/>
        </w:rPr>
        <w:t xml:space="preserve"> </w:t>
      </w:r>
      <w:r w:rsidRPr="00800EA3">
        <w:rPr>
          <w:rStyle w:val="StyleUnderline"/>
          <w:highlight w:val="yellow"/>
        </w:rPr>
        <w:t>ought</w:t>
      </w:r>
      <w:r w:rsidRPr="00800EA3">
        <w:rPr>
          <w:rStyle w:val="StyleUnderline"/>
        </w:rPr>
        <w:t xml:space="preserve"> </w:t>
      </w:r>
      <w:r w:rsidRPr="00800EA3">
        <w:rPr>
          <w:rStyle w:val="StyleUnderline"/>
          <w:highlight w:val="yellow"/>
        </w:rPr>
        <w:t>to</w:t>
      </w:r>
      <w:r w:rsidRPr="00800EA3">
        <w:rPr>
          <w:rStyle w:val="StyleUnderline"/>
        </w:rPr>
        <w:t xml:space="preserve"> require that employers </w:t>
      </w:r>
      <w:r w:rsidRPr="00800EA3">
        <w:rPr>
          <w:rStyle w:val="StyleUnderline"/>
          <w:highlight w:val="yellow"/>
        </w:rPr>
        <w:t>pay a living wage</w:t>
      </w:r>
      <w:r w:rsidRPr="00800EA3">
        <w:rPr>
          <w:sz w:val="16"/>
        </w:rPr>
        <w:t xml:space="preserve">. </w:t>
      </w:r>
      <w:r w:rsidRPr="00800EA3">
        <w:rPr>
          <w:rStyle w:val="StyleUnderline"/>
        </w:rPr>
        <w:t xml:space="preserve">So </w:t>
      </w:r>
      <w:r w:rsidRPr="00800EA3">
        <w:rPr>
          <w:rStyle w:val="StyleUnderline"/>
          <w:highlight w:val="yellow"/>
        </w:rPr>
        <w:t>the right to specify a subset</w:t>
      </w:r>
      <w:r w:rsidRPr="00800EA3">
        <w:rPr>
          <w:rStyle w:val="StyleUnderline"/>
        </w:rPr>
        <w:t xml:space="preserve"> of the resolution </w:t>
      </w:r>
      <w:r w:rsidRPr="00800EA3">
        <w:rPr>
          <w:rStyle w:val="StyleUnderline"/>
          <w:highlight w:val="yellow"/>
        </w:rPr>
        <w:t>does not,</w:t>
      </w:r>
      <w:r w:rsidRPr="00800EA3">
        <w:rPr>
          <w:rStyle w:val="StyleUnderline"/>
        </w:rPr>
        <w:t xml:space="preserve"> independently of the resolution’s semantics, </w:t>
      </w:r>
      <w:r w:rsidRPr="00800EA3">
        <w:rPr>
          <w:rStyle w:val="StyleUnderline"/>
          <w:highlight w:val="yellow"/>
        </w:rPr>
        <w:t>justify specification of any part of the resolution</w:t>
      </w:r>
      <w:r w:rsidRPr="00800EA3">
        <w:rPr>
          <w:rStyle w:val="StyleUnderline"/>
        </w:rPr>
        <w:t xml:space="preserve">. On my view, </w:t>
      </w:r>
      <w:r w:rsidRPr="00800EA3">
        <w:rPr>
          <w:rStyle w:val="StyleUnderline"/>
          <w:highlight w:val="yellow"/>
        </w:rPr>
        <w:t xml:space="preserve">a topical advocacy </w:t>
      </w:r>
      <w:r w:rsidRPr="00800EA3">
        <w:rPr>
          <w:rStyle w:val="StyleUnderline"/>
        </w:rPr>
        <w:t>text is just one that</w:t>
      </w:r>
      <w:r w:rsidRPr="00800EA3">
        <w:rPr>
          <w:rStyle w:val="StyleUnderline"/>
          <w:highlight w:val="yellow"/>
        </w:rPr>
        <w:t xml:space="preserve"> entails the resolution</w:t>
      </w:r>
      <w:r w:rsidRPr="00800EA3">
        <w:rPr>
          <w:sz w:val="16"/>
        </w:rPr>
        <w:t xml:space="preserve">.11 </w:t>
      </w:r>
      <w:r w:rsidRPr="00800EA3">
        <w:rPr>
          <w:sz w:val="16"/>
          <w:highlight w:val="yellow"/>
        </w:rPr>
        <w:t>T</w:t>
      </w:r>
      <w:r w:rsidRPr="00800EA3">
        <w:rPr>
          <w:rStyle w:val="StyleUnderline"/>
          <w:highlight w:val="yellow"/>
        </w:rPr>
        <w:t>he parametric approach</w:t>
      </w:r>
      <w:r w:rsidRPr="00800EA3">
        <w:rPr>
          <w:rStyle w:val="StyleUnderline"/>
        </w:rPr>
        <w:t xml:space="preserve"> (as currently understood) is not only consistent with my view; it </w:t>
      </w:r>
      <w:r w:rsidRPr="00800EA3">
        <w:rPr>
          <w:rStyle w:val="StyleUnderline"/>
          <w:highlight w:val="yellow"/>
        </w:rPr>
        <w:t xml:space="preserve">supports it: if propositions are sets of possible worlds, then a subset of the resolution </w:t>
      </w:r>
      <w:r w:rsidRPr="00800EA3">
        <w:rPr>
          <w:rStyle w:val="StyleUnderline"/>
        </w:rPr>
        <w:t>is just a proposition that</w:t>
      </w:r>
      <w:r w:rsidRPr="00800EA3">
        <w:rPr>
          <w:rStyle w:val="StyleUnderline"/>
          <w:highlight w:val="yellow"/>
        </w:rPr>
        <w:t xml:space="preserve"> entails the resolution.</w:t>
      </w:r>
      <w:r w:rsidRPr="00800EA3">
        <w:rPr>
          <w:rStyle w:val="StyleUnderline"/>
        </w:rPr>
        <w:t xml:space="preserve"> </w:t>
      </w:r>
      <w:r w:rsidRPr="00800EA3">
        <w:rPr>
          <w:sz w:val="16"/>
        </w:rPr>
        <w:t xml:space="preserve">That is just how subsets work, and it is unavoidable if one takes the resolution to be a set of possible worlds. A second way in which we might be misled is by allowing the affirmative to narrow down their set of possible worlds in ways that are not mentioned by the resolution: for example, a world in which just governments ought to require that employers pay a living wage and all the kangaroos are free. This is extra-topicality, which can be addressed as follows. If the additional clauses are outside the scope of the “ought,” then they have to show that the actual world satisfies those clauses. If the additional clauses are inside the scope of the “ought,” then they have </w:t>
      </w:r>
      <w:r w:rsidRPr="00800EA3">
        <w:rPr>
          <w:sz w:val="16"/>
        </w:rPr>
        <w:lastRenderedPageBreak/>
        <w:t xml:space="preserve">to show that the smaller set of worlds is really a subset of the resolution, which depends on the logic of “ought.” Many philosophers reject that “S ought to do A and B” entails “X ought to do A” and “X ought to do B” (Jackson and Pargetter 1986), so the set of extrak-topical worlds may not be a subset of the set of topical worlds. A third way in which we might be misled is by assuming that if the affirmative may specify a subset of the resolution (understood as a set of possible worlds), then the debate should focus on the smaller subset rather than the resolution—i.e., that the affirmative’s chosen set of worlds cannot “grow” after its initial advocacy. This question about the rules for debate is completely independent of the whether the affirmative may specify a subset of the resolution in the first place, which I see as a question of logic and semantics. </w:t>
      </w:r>
      <w:r w:rsidRPr="00800EA3">
        <w:rPr>
          <w:rStyle w:val="StyleUnderline"/>
        </w:rPr>
        <w:t>My tentative conclusion is that understanding the resolution as a parameter that forms a set of possible worlds does not support specification when at odds with resolutional semantics. This is because the set of worlds included in the resolution depends on the meaning of the sentence—i.e., on semantic considerations—and because topical subsets of worlds are simply propositions that entail the resolution.</w:t>
      </w:r>
    </w:p>
    <w:p w14:paraId="026EB532" w14:textId="3ACDB8F6" w:rsidR="000622DC" w:rsidRDefault="000622DC" w:rsidP="000622DC">
      <w:pPr>
        <w:pStyle w:val="Heading2"/>
      </w:pPr>
      <w:r>
        <w:lastRenderedPageBreak/>
        <w:t>Elevator PIC</w:t>
      </w:r>
    </w:p>
    <w:p w14:paraId="32AB8A6B" w14:textId="77777777" w:rsidR="000622DC" w:rsidRPr="009816A1" w:rsidRDefault="000622DC" w:rsidP="000622DC">
      <w:pPr>
        <w:pStyle w:val="Heading4"/>
        <w:numPr>
          <w:ilvl w:val="0"/>
          <w:numId w:val="14"/>
        </w:numPr>
        <w:tabs>
          <w:tab w:val="num" w:pos="360"/>
        </w:tabs>
        <w:ind w:left="0" w:firstLine="0"/>
        <w:rPr>
          <w:rFonts w:cs="Calibri"/>
        </w:rPr>
      </w:pPr>
      <w:r w:rsidRPr="009816A1">
        <w:rPr>
          <w:rFonts w:cs="Calibri"/>
        </w:rPr>
        <w:t>Space elevators lead to conflict -  choke points and instability.  Long 18:</w:t>
      </w:r>
    </w:p>
    <w:p w14:paraId="79E9EEC1" w14:textId="77777777" w:rsidR="000622DC" w:rsidRPr="009816A1" w:rsidRDefault="000622DC" w:rsidP="000622DC">
      <w:r w:rsidRPr="009816A1">
        <w:t>“A COMPARATIVE ANALYSIS OF FUTURE SPACE ORBITAL TRANSPORTATION SYSTEMS” by Bryan P. Long;  June 2018; https://apps.dtic.mil/sti/pdfs/AD1059988.pdf</w:t>
      </w:r>
    </w:p>
    <w:p w14:paraId="1E795D2F" w14:textId="77777777" w:rsidR="000622DC" w:rsidRDefault="000622DC" w:rsidP="000622DC">
      <w:pPr>
        <w:ind w:left="360"/>
        <w:rPr>
          <w:rStyle w:val="StyleUnderline"/>
        </w:rPr>
      </w:pPr>
      <w:r w:rsidRPr="009816A1">
        <w:rPr>
          <w:sz w:val="12"/>
        </w:rPr>
        <w:t xml:space="preserve">If constructed, </w:t>
      </w:r>
      <w:r w:rsidRPr="009816A1">
        <w:rPr>
          <w:rStyle w:val="StyleUnderline"/>
        </w:rPr>
        <w:t>a space elevator</w:t>
      </w:r>
      <w:r w:rsidRPr="009816A1">
        <w:rPr>
          <w:sz w:val="12"/>
        </w:rPr>
        <w:t xml:space="preserve"> system would be one of the most audacious construction projects in the history of mankind, on par with the pyramids of Egypt. Such a major human endeavor </w:t>
      </w:r>
      <w:r w:rsidRPr="009816A1">
        <w:rPr>
          <w:rStyle w:val="StyleUnderline"/>
        </w:rPr>
        <w:t xml:space="preserve">will </w:t>
      </w:r>
      <w:r w:rsidRPr="009816A1">
        <w:rPr>
          <w:sz w:val="12"/>
        </w:rPr>
        <w:t xml:space="preserve">no doubt </w:t>
      </w:r>
      <w:r w:rsidRPr="009816A1">
        <w:rPr>
          <w:rStyle w:val="Emphasis"/>
        </w:rPr>
        <w:t>have major geopolitical challenges</w:t>
      </w:r>
      <w:r w:rsidRPr="009816A1">
        <w:rPr>
          <w:sz w:val="12"/>
        </w:rPr>
        <w:t xml:space="preserve"> along with the already discussed technical challenges. </w:t>
      </w:r>
      <w:r w:rsidRPr="009816A1">
        <w:rPr>
          <w:rStyle w:val="StyleUnderline"/>
          <w:highlight w:val="yellow"/>
        </w:rPr>
        <w:t>The main geopolitical challenges</w:t>
      </w:r>
      <w:r w:rsidRPr="009816A1">
        <w:rPr>
          <w:sz w:val="12"/>
        </w:rPr>
        <w:t xml:space="preserve"> of the development </w:t>
      </w:r>
      <w:r w:rsidRPr="009816A1">
        <w:rPr>
          <w:rStyle w:val="StyleUnderline"/>
          <w:highlight w:val="yellow"/>
        </w:rPr>
        <w:t>of a space elevator</w:t>
      </w:r>
      <w:r w:rsidRPr="009816A1">
        <w:rPr>
          <w:rStyle w:val="StyleUnderline"/>
        </w:rPr>
        <w:t xml:space="preserve"> directly </w:t>
      </w:r>
      <w:r w:rsidRPr="009816A1">
        <w:rPr>
          <w:rStyle w:val="StyleUnderline"/>
          <w:highlight w:val="yellow"/>
        </w:rPr>
        <w:t>relate to</w:t>
      </w:r>
      <w:r w:rsidRPr="009816A1">
        <w:rPr>
          <w:rStyle w:val="StyleUnderline"/>
        </w:rPr>
        <w:t xml:space="preserve"> the physical location of the space elevator and </w:t>
      </w:r>
      <w:r w:rsidRPr="009816A1">
        <w:rPr>
          <w:rStyle w:val="StyleUnderline"/>
          <w:highlight w:val="yellow"/>
        </w:rPr>
        <w:t>the security dilemma inherent with an unfettered physical line of transportation and communication to space.</w:t>
      </w:r>
      <w:r w:rsidRPr="009816A1">
        <w:rPr>
          <w:sz w:val="12"/>
          <w:highlight w:val="yellow"/>
        </w:rPr>
        <w:t xml:space="preserve"> </w:t>
      </w:r>
      <w:r w:rsidRPr="009816A1">
        <w:rPr>
          <w:rStyle w:val="StyleUnderline"/>
          <w:highlight w:val="yellow"/>
        </w:rPr>
        <w:t>To support</w:t>
      </w:r>
      <w:r w:rsidRPr="009816A1">
        <w:rPr>
          <w:rStyle w:val="StyleUnderline"/>
        </w:rPr>
        <w:t xml:space="preserve"> the </w:t>
      </w:r>
      <w:r w:rsidRPr="009816A1">
        <w:rPr>
          <w:rStyle w:val="StyleUnderline"/>
          <w:highlight w:val="yellow"/>
        </w:rPr>
        <w:t>geostationary orbit</w:t>
      </w:r>
      <w:r w:rsidRPr="009816A1">
        <w:rPr>
          <w:rStyle w:val="StyleUnderline"/>
        </w:rPr>
        <w:t xml:space="preserve"> of a space station atop the space elevator, </w:t>
      </w:r>
      <w:r w:rsidRPr="009816A1">
        <w:rPr>
          <w:rStyle w:val="StyleUnderline"/>
          <w:highlight w:val="yellow"/>
        </w:rPr>
        <w:t>the associated ground station must be located on</w:t>
      </w:r>
      <w:r w:rsidRPr="009816A1">
        <w:rPr>
          <w:rStyle w:val="StyleUnderline"/>
        </w:rPr>
        <w:t xml:space="preserve">, or very near, </w:t>
      </w:r>
      <w:r w:rsidRPr="009816A1">
        <w:rPr>
          <w:rStyle w:val="StyleUnderline"/>
          <w:highlight w:val="yellow"/>
        </w:rPr>
        <w:t>the equator</w:t>
      </w:r>
      <w:r w:rsidRPr="009816A1">
        <w:rPr>
          <w:sz w:val="12"/>
        </w:rPr>
        <w:t xml:space="preserve"> (Laubscher 2004; Swan 2004). Equatorial circumference of Earth is 40,074 kilometers, with a linear landmass of approximately 8,545 kilometers. </w:t>
      </w:r>
      <w:r w:rsidRPr="009816A1">
        <w:rPr>
          <w:rStyle w:val="StyleUnderline"/>
          <w:highlight w:val="yellow"/>
        </w:rPr>
        <w:t>The vast majority</w:t>
      </w:r>
      <w:r w:rsidRPr="009816A1">
        <w:rPr>
          <w:rStyle w:val="StyleUnderline"/>
        </w:rPr>
        <w:t xml:space="preserve"> of land mass </w:t>
      </w:r>
      <w:r w:rsidRPr="009816A1">
        <w:rPr>
          <w:rStyle w:val="StyleUnderline"/>
          <w:highlight w:val="yellow"/>
        </w:rPr>
        <w:t>passes through politically challenged developing nations, not necessarily aligned, politically or economically, with spacefaring nations</w:t>
      </w:r>
    </w:p>
    <w:p w14:paraId="30F8A812" w14:textId="77777777" w:rsidR="000622DC" w:rsidRDefault="000622DC" w:rsidP="000622DC">
      <w:pPr>
        <w:ind w:left="360"/>
        <w:rPr>
          <w:rStyle w:val="StyleUnderline"/>
        </w:rPr>
      </w:pPr>
    </w:p>
    <w:p w14:paraId="4E5485C4" w14:textId="77777777" w:rsidR="000622DC" w:rsidRPr="009816A1" w:rsidRDefault="000622DC" w:rsidP="000622DC">
      <w:pPr>
        <w:ind w:left="360"/>
        <w:rPr>
          <w:sz w:val="12"/>
        </w:rPr>
      </w:pPr>
      <w:r w:rsidRPr="009816A1">
        <w:rPr>
          <w:sz w:val="12"/>
        </w:rPr>
        <w:t xml:space="preserve"> (Google Earth n.d.). Brazil, an emerging space power, provides the best option for land-based space elevator (Harvey, Smid, and Pirard 2010). The remaining 50,446 kilometers of Equatorial Ocean provide ample unclaimed surface area. Study of climatology and human behavior suggests an area of the Pacific Ocean located approximately 200–800 kilometers west of Galapagos is suitable for seabased space elevator (Laubscher 2004; Swan 2004). Adapting principles of maritime strategy to space strategy, </w:t>
      </w:r>
      <w:r w:rsidRPr="009816A1">
        <w:rPr>
          <w:rStyle w:val="StyleUnderline"/>
          <w:highlight w:val="yellow"/>
        </w:rPr>
        <w:t>the space elevator represents an area where terrestrial and space vehicles will converge and interface,</w:t>
      </w:r>
      <w:r w:rsidRPr="009816A1">
        <w:rPr>
          <w:rStyle w:val="StyleUnderline"/>
        </w:rPr>
        <w:t xml:space="preserve"> potentially becoming </w:t>
      </w:r>
      <w:r w:rsidRPr="009816A1">
        <w:rPr>
          <w:rStyle w:val="Emphasis"/>
          <w:highlight w:val="yellow"/>
        </w:rPr>
        <w:t>a choke point</w:t>
      </w:r>
      <w:r w:rsidRPr="009816A1">
        <w:rPr>
          <w:rStyle w:val="StyleUnderline"/>
        </w:rPr>
        <w:t xml:space="preserve"> in the space lines of passage and communication</w:t>
      </w:r>
      <w:r w:rsidRPr="009816A1">
        <w:rPr>
          <w:sz w:val="12"/>
        </w:rPr>
        <w:t xml:space="preserve"> (Klein 2006; Grove 1988). </w:t>
      </w:r>
      <w:r w:rsidRPr="009816A1">
        <w:rPr>
          <w:rStyle w:val="StyleUnderline"/>
          <w:highlight w:val="yellow"/>
        </w:rPr>
        <w:t>A</w:t>
      </w:r>
      <w:r w:rsidRPr="009816A1">
        <w:rPr>
          <w:rStyle w:val="StyleUnderline"/>
        </w:rPr>
        <w:t xml:space="preserve"> potentially </w:t>
      </w:r>
      <w:r w:rsidRPr="009816A1">
        <w:rPr>
          <w:rStyle w:val="StyleUnderline"/>
          <w:highlight w:val="yellow"/>
        </w:rPr>
        <w:t>conflict</w:t>
      </w:r>
      <w:r w:rsidRPr="009816A1">
        <w:rPr>
          <w:rStyle w:val="StyleUnderline"/>
        </w:rPr>
        <w:t xml:space="preserve"> scenario </w:t>
      </w:r>
      <w:r w:rsidRPr="009816A1">
        <w:rPr>
          <w:rStyle w:val="StyleUnderline"/>
          <w:highlight w:val="yellow"/>
        </w:rPr>
        <w:t xml:space="preserve">of controlling an evolutionary “gate” to space, points to </w:t>
      </w:r>
      <w:r w:rsidRPr="009816A1">
        <w:rPr>
          <w:rStyle w:val="StyleUnderline"/>
        </w:rPr>
        <w:t xml:space="preserve">an eventual arrangement of </w:t>
      </w:r>
      <w:r w:rsidRPr="009816A1">
        <w:rPr>
          <w:rStyle w:val="Emphasis"/>
          <w:highlight w:val="yellow"/>
        </w:rPr>
        <w:t>the conditions for conflict</w:t>
      </w:r>
      <w:r w:rsidRPr="009816A1">
        <w:rPr>
          <w:rStyle w:val="StyleUnderline"/>
        </w:rPr>
        <w:t xml:space="preserve"> over protection and control of the space elevator choke point, and the access it provides.</w:t>
      </w:r>
      <w:r w:rsidRPr="009816A1">
        <w:rPr>
          <w:sz w:val="12"/>
        </w:rPr>
        <w:t xml:space="preserve"> In order to maintain peace, four treaties provide the basis for the current international space regime, widely known by their common names: The Outer Space Treaty (OST), UN Resolution 34 and 68, and the Conventions on Liability and Registration, with four additional agreements that specifically address military affairs (Dolman 2006). While these treaties have succeeded in preserving peace for the better part of four decades, they are merely cooperative agreements among participating nations united in the common good of space exploration</w:t>
      </w:r>
    </w:p>
    <w:p w14:paraId="013D95E1" w14:textId="77777777" w:rsidR="000622DC" w:rsidRPr="000622DC" w:rsidRDefault="000622DC" w:rsidP="000622DC"/>
    <w:sectPr w:rsidR="000622DC" w:rsidRPr="000622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5B18BF"/>
    <w:multiLevelType w:val="hybridMultilevel"/>
    <w:tmpl w:val="8592C442"/>
    <w:lvl w:ilvl="0" w:tplc="92BE0E1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5D4078"/>
    <w:multiLevelType w:val="hybridMultilevel"/>
    <w:tmpl w:val="52AE7544"/>
    <w:lvl w:ilvl="0" w:tplc="FFFFFFFF">
      <w:start w:val="1"/>
      <w:numFmt w:val="decimal"/>
      <w:lvlText w:val="%1."/>
      <w:lvlJc w:val="left"/>
      <w:pPr>
        <w:ind w:left="720" w:hanging="360"/>
      </w:pPr>
      <w:rPr>
        <w:rFonts w:ascii="Calibri" w:eastAsiaTheme="majorEastAsia" w:hAnsi="Calibri" w:cstheme="maj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22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2DC"/>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09ABC"/>
  <w14:defaultImageDpi w14:val="300"/>
  <w15:docId w15:val="{33941CC4-E77C-984F-8D41-09C7A9F7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22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22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22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622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622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22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2DC"/>
  </w:style>
  <w:style w:type="character" w:customStyle="1" w:styleId="Heading1Char">
    <w:name w:val="Heading 1 Char"/>
    <w:aliases w:val="Pocket Char"/>
    <w:basedOn w:val="DefaultParagraphFont"/>
    <w:link w:val="Heading1"/>
    <w:uiPriority w:val="9"/>
    <w:rsid w:val="000622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22D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622D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622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22D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622D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0622D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22D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
    <w:uiPriority w:val="99"/>
    <w:unhideWhenUsed/>
    <w:rsid w:val="000622DC"/>
    <w:rPr>
      <w:color w:val="auto"/>
      <w:u w:val="none"/>
    </w:rPr>
  </w:style>
  <w:style w:type="paragraph" w:styleId="DocumentMap">
    <w:name w:val="Document Map"/>
    <w:basedOn w:val="Normal"/>
    <w:link w:val="DocumentMapChar"/>
    <w:uiPriority w:val="99"/>
    <w:semiHidden/>
    <w:unhideWhenUsed/>
    <w:rsid w:val="000622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22DC"/>
    <w:rPr>
      <w:rFonts w:ascii="Lucida Grande" w:hAnsi="Lucida Grande" w:cs="Lucida Grande"/>
    </w:rPr>
  </w:style>
  <w:style w:type="paragraph" w:customStyle="1" w:styleId="Emphasis1">
    <w:name w:val="Emphasis1"/>
    <w:basedOn w:val="Normal"/>
    <w:link w:val="Emphasis"/>
    <w:autoRedefine/>
    <w:uiPriority w:val="20"/>
    <w:qFormat/>
    <w:rsid w:val="000622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622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622DC"/>
    <w:pPr>
      <w:ind w:left="720"/>
      <w:contextualSpacing/>
    </w:pPr>
  </w:style>
  <w:style w:type="character" w:styleId="CommentReference">
    <w:name w:val="annotation reference"/>
    <w:basedOn w:val="DefaultParagraphFont"/>
    <w:uiPriority w:val="99"/>
    <w:semiHidden/>
    <w:unhideWhenUsed/>
    <w:rsid w:val="000622DC"/>
    <w:rPr>
      <w:sz w:val="16"/>
      <w:szCs w:val="16"/>
    </w:rPr>
  </w:style>
  <w:style w:type="paragraph" w:styleId="CommentText">
    <w:name w:val="annotation text"/>
    <w:basedOn w:val="Normal"/>
    <w:link w:val="CommentTextChar"/>
    <w:uiPriority w:val="99"/>
    <w:semiHidden/>
    <w:unhideWhenUsed/>
    <w:rsid w:val="000622DC"/>
    <w:pPr>
      <w:spacing w:line="240" w:lineRule="auto"/>
    </w:pPr>
    <w:rPr>
      <w:sz w:val="20"/>
      <w:szCs w:val="20"/>
    </w:rPr>
  </w:style>
  <w:style w:type="character" w:customStyle="1" w:styleId="CommentTextChar">
    <w:name w:val="Comment Text Char"/>
    <w:basedOn w:val="DefaultParagraphFont"/>
    <w:link w:val="CommentText"/>
    <w:uiPriority w:val="99"/>
    <w:semiHidden/>
    <w:rsid w:val="000622DC"/>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fontTable" Target="fontTable.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www.vbriefly.com/2015/02/20/the-priority-of-resolutional-semantics-by-jake-nebe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21495</Words>
  <Characters>122525</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2022-02-20T00:44:00Z</dcterms:created>
  <dcterms:modified xsi:type="dcterms:W3CDTF">2022-02-20T00:46:00Z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