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D93E1" w14:textId="77777777" w:rsidR="00F63960" w:rsidRPr="003714CF" w:rsidRDefault="00F63960" w:rsidP="00F63960">
      <w:pPr>
        <w:pStyle w:val="Heading1"/>
        <w:rPr>
          <w:rFonts w:cs="Calibri"/>
        </w:rPr>
      </w:pPr>
      <w:r w:rsidRPr="003714CF">
        <w:rPr>
          <w:rFonts w:cs="Calibri"/>
        </w:rPr>
        <w:t>AC</w:t>
      </w:r>
    </w:p>
    <w:p w14:paraId="1C5F1C65" w14:textId="77777777" w:rsidR="00F63960" w:rsidRPr="00AE1703" w:rsidRDefault="00F63960" w:rsidP="00F63960">
      <w:pPr>
        <w:pStyle w:val="Heading4"/>
        <w:rPr>
          <w:b w:val="0"/>
          <w:bCs w:val="0"/>
        </w:rPr>
      </w:pPr>
      <w:r w:rsidRPr="00AE1703">
        <w:rPr>
          <w:rStyle w:val="Style13ptBold"/>
          <w:b/>
          <w:bCs w:val="0"/>
        </w:rPr>
        <w:t>Ambiguities in the OST that allow private appropriation have kicked off a race to develop space, setting the stage for a debris crisis and the domination of space by unaccountable billionaires. Current laws fail due to lax rules and forum shopping.</w:t>
      </w:r>
    </w:p>
    <w:p w14:paraId="07D119B3" w14:textId="77777777" w:rsidR="00F63960" w:rsidRPr="00CA1BD9" w:rsidRDefault="00F63960" w:rsidP="00F63960">
      <w:r w:rsidRPr="00C544E8">
        <w:rPr>
          <w:rStyle w:val="Style13ptBold"/>
        </w:rPr>
        <w:t>Dovey 21</w:t>
      </w:r>
      <w:r w:rsidRPr="00C544E8">
        <w:t xml:space="preserve"> [Ceridwen Dovey,</w:t>
      </w:r>
      <w:r>
        <w:t xml:space="preserve"> </w:t>
      </w:r>
      <w:r w:rsidRPr="00C544E8">
        <w:t xml:space="preserve">“Space Exploration At What Price?,” Readers Digest Asia Pacific, 5/1/21. </w:t>
      </w:r>
      <w:hyperlink r:id="rId9" w:history="1">
        <w:r w:rsidRPr="00C544E8">
          <w:rPr>
            <w:rStyle w:val="Hyperlink"/>
          </w:rPr>
          <w:t>https://www.pressreader.com/australia/readers-digest-asia-pacific/20210501/281487869174485</w:t>
        </w:r>
      </w:hyperlink>
      <w:r w:rsidRPr="00C544E8">
        <w:t>] CT</w:t>
      </w:r>
    </w:p>
    <w:p w14:paraId="7BD394AE" w14:textId="77777777" w:rsidR="00F63960" w:rsidRPr="008B349A" w:rsidRDefault="00F63960" w:rsidP="00F63960">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realise it because we can’t see it the way we can see fish kills, algal blooms or acid rain,” Michael Krepon,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global commons,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specialising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itself, but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not the ‘common heritage of mankind’, not ‘ res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Exxon-Mobil,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“democratising”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subsidised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r w:rsidRPr="00CA1BD9">
        <w:rPr>
          <w:rStyle w:val="Emphasis"/>
        </w:rPr>
        <w:t>democratised</w:t>
      </w:r>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They’ve merely been privatised</w:t>
      </w:r>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Atossa Araxia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satellites, and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internet-beaming Starlink satellites, aiming to have a constellation of at least 30,000 in orbit eventually. The UK’s Royal Astronomical Society said these satellites will “compromise astronomical research” due to light pollution, and questioned why there’d been no proper consultation with the scientific community before launch.</w:t>
      </w:r>
    </w:p>
    <w:p w14:paraId="7EFBE14D" w14:textId="77777777" w:rsidR="00F63960" w:rsidRDefault="00F63960" w:rsidP="00F63960"/>
    <w:p w14:paraId="1FFF3E30" w14:textId="77777777" w:rsidR="00F63960" w:rsidRPr="003714CF" w:rsidRDefault="00F63960" w:rsidP="00F63960">
      <w:pPr>
        <w:pStyle w:val="Heading3"/>
        <w:rPr>
          <w:rFonts w:cs="Calibri"/>
        </w:rPr>
      </w:pPr>
      <w:r w:rsidRPr="003714CF">
        <w:rPr>
          <w:rFonts w:cs="Calibri"/>
        </w:rPr>
        <w:lastRenderedPageBreak/>
        <w:t>Advantage 1: Space Debris</w:t>
      </w:r>
    </w:p>
    <w:p w14:paraId="1E016A9E" w14:textId="77777777" w:rsidR="00F63960" w:rsidRPr="003714CF" w:rsidRDefault="00F63960" w:rsidP="00F63960">
      <w:pPr>
        <w:pStyle w:val="Heading4"/>
        <w:rPr>
          <w:rFonts w:cs="Calibri"/>
        </w:rPr>
      </w:pPr>
      <w:r w:rsidRPr="003714CF">
        <w:rPr>
          <w:rFonts w:cs="Calibri"/>
        </w:rPr>
        <w:t xml:space="preserve">Increasing space debris levels inevitably set off a chain of collisions. </w:t>
      </w:r>
    </w:p>
    <w:p w14:paraId="3763E533" w14:textId="77777777" w:rsidR="00F63960" w:rsidRPr="003714CF" w:rsidRDefault="00F63960" w:rsidP="00F63960">
      <w:pPr>
        <w:rPr>
          <w:szCs w:val="22"/>
        </w:rPr>
      </w:pPr>
      <w:r w:rsidRPr="003714CF">
        <w:rPr>
          <w:szCs w:val="22"/>
        </w:rPr>
        <w:t xml:space="preserve">Chelsea </w:t>
      </w:r>
      <w:r w:rsidRPr="003714CF">
        <w:rPr>
          <w:rStyle w:val="Style13ptBold"/>
        </w:rPr>
        <w:t>Muñoz-Patchen,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E5C990B" w14:textId="77777777" w:rsidR="00F63960" w:rsidRDefault="00F63960" w:rsidP="00F63960">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1167E15D" w14:textId="77777777" w:rsidR="00F63960" w:rsidRPr="003714CF" w:rsidRDefault="00F63960" w:rsidP="00F63960">
      <w:pPr>
        <w:rPr>
          <w:sz w:val="10"/>
        </w:rPr>
      </w:pPr>
    </w:p>
    <w:p w14:paraId="593D6042" w14:textId="77777777" w:rsidR="00F63960" w:rsidRPr="003714CF" w:rsidRDefault="00F63960" w:rsidP="00F63960">
      <w:pPr>
        <w:pStyle w:val="Heading4"/>
        <w:rPr>
          <w:rFonts w:cs="Calibri"/>
        </w:rPr>
      </w:pPr>
      <w:r w:rsidRPr="003714CF">
        <w:rPr>
          <w:rFonts w:cs="Calibri"/>
        </w:rPr>
        <w:t>Collisions make orbit unusable, causing nuclear war, mass starvation, and economic destruction. Jonson 13</w:t>
      </w:r>
    </w:p>
    <w:p w14:paraId="22A2BC04" w14:textId="77777777" w:rsidR="00F63960" w:rsidRPr="003714CF" w:rsidRDefault="00F63960" w:rsidP="00F63960">
      <w:pPr>
        <w:rPr>
          <w:szCs w:val="22"/>
        </w:rPr>
      </w:pPr>
      <w:r w:rsidRPr="003714CF">
        <w:rPr>
          <w:szCs w:val="22"/>
        </w:rPr>
        <w:t>Les Johnson 13,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w:t>
      </w:r>
    </w:p>
    <w:p w14:paraId="5813987A" w14:textId="77777777" w:rsidR="00F63960" w:rsidRPr="003714CF" w:rsidRDefault="00F63960" w:rsidP="00F63960">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crossed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w:t>
      </w:r>
      <w:r w:rsidRPr="003714CF">
        <w:rPr>
          <w:sz w:val="12"/>
        </w:rPr>
        <w:lastRenderedPageBreak/>
        <w:t xml:space="preserve">other satellites, causing them to explode into thousands more pieces of debris. </w:t>
      </w:r>
      <w:r w:rsidRPr="003714CF">
        <w:rPr>
          <w:rStyle w:val="StyleUnderline"/>
        </w:rPr>
        <w:t>The rate of collisions increases</w:t>
      </w:r>
      <w:r w:rsidRPr="003714CF">
        <w:rPr>
          <w:sz w:val="12"/>
        </w:rPr>
        <w:t xml:space="preserve">, now with more 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loses all of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located at all times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r w:rsidRPr="003714CF">
        <w:rPr>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w:t>
      </w:r>
      <w:r w:rsidRPr="003714CF">
        <w:rPr>
          <w:rStyle w:val="StyleUnderline"/>
        </w:rPr>
        <w:lastRenderedPageBreak/>
        <w:t xml:space="preserve">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02CD74EA" w14:textId="77777777" w:rsidR="00F63960" w:rsidRPr="003714CF" w:rsidRDefault="00F63960" w:rsidP="00F63960">
      <w:pPr>
        <w:rPr>
          <w:sz w:val="12"/>
        </w:rPr>
      </w:pPr>
    </w:p>
    <w:p w14:paraId="1F0ADA66" w14:textId="77777777" w:rsidR="00F63960" w:rsidRDefault="00F63960" w:rsidP="00F63960">
      <w:pPr>
        <w:pStyle w:val="Heading3"/>
        <w:rPr>
          <w:rFonts w:cs="Calibri"/>
        </w:rPr>
      </w:pPr>
      <w:r w:rsidRPr="003714CF">
        <w:rPr>
          <w:rFonts w:cs="Calibri"/>
        </w:rPr>
        <w:lastRenderedPageBreak/>
        <w:t>Advantage 2: Corporate Colonialism</w:t>
      </w:r>
    </w:p>
    <w:p w14:paraId="7E694708" w14:textId="77777777" w:rsidR="00F63960" w:rsidRPr="002401A3" w:rsidRDefault="00F63960" w:rsidP="00F63960">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27D6F5CB" w14:textId="77777777" w:rsidR="00F63960" w:rsidRPr="002401A3" w:rsidRDefault="00F63960" w:rsidP="00F63960">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7CA03832" w14:textId="77777777" w:rsidR="00F63960" w:rsidRPr="004F3D18" w:rsidRDefault="00F63960" w:rsidP="00F63960">
      <w:pPr>
        <w:ind w:left="720"/>
        <w:rPr>
          <w:sz w:val="12"/>
        </w:rPr>
      </w:pPr>
      <w:r w:rsidRPr="002401A3">
        <w:rPr>
          <w:sz w:val="12"/>
        </w:rPr>
        <w:t xml:space="preserve">It was a time of political uncertainty, cultural conflict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5"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labour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social, political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liveable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n this one. Empire never recreated Eden, but it did fuel centuries of growth based on expropriation, enslavement and environmental transformation in defiance of all limits. We are struggling with these consequences today.</w:t>
      </w:r>
    </w:p>
    <w:p w14:paraId="2998D2FF" w14:textId="77777777" w:rsidR="00F63960" w:rsidRPr="003714CF" w:rsidRDefault="00F63960" w:rsidP="00F63960">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66E34BCA" w14:textId="77777777" w:rsidR="00F63960" w:rsidRPr="003714CF" w:rsidRDefault="00F63960" w:rsidP="00F63960">
      <w:r w:rsidRPr="003714CF">
        <w:t xml:space="preserve">Spencer, Keith A. [senior editor at Salon]“Against Mars-a-Lago: Why SpaceX's Mars Colonization Plan Should Terrify You.” Salon, Salon.com, Oct. 8 2017, https://www.salon.com/2017/10/08/against-mars-a-lago-why-spacexs-mars-colonization-plan-should-terrify-you/. </w:t>
      </w:r>
    </w:p>
    <w:p w14:paraId="38DF6557" w14:textId="77777777" w:rsidR="00F63960" w:rsidRPr="003714CF" w:rsidRDefault="00F63960" w:rsidP="00F63960">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be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lastRenderedPageBreak/>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r w:rsidRPr="00867C6E">
        <w:rPr>
          <w:rStyle w:val="StyleUnderline"/>
          <w:highlight w:val="yellow"/>
        </w:rPr>
        <w:t>private</w:t>
      </w:r>
      <w:r w:rsidRPr="003714CF">
        <w:rPr>
          <w:rStyle w:val="StyleUnderline"/>
        </w:rPr>
        <w:t>ly</w:t>
      </w:r>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6D3F9617" w14:textId="77777777" w:rsidR="00F63960" w:rsidRPr="003714CF" w:rsidRDefault="00F63960" w:rsidP="00F63960">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3B6DE83E" w14:textId="77777777" w:rsidR="00F63960" w:rsidRPr="003714CF" w:rsidRDefault="00F63960" w:rsidP="00F63960">
      <w:pPr>
        <w:rPr>
          <w:rFonts w:eastAsia="Cambria"/>
        </w:rPr>
      </w:pPr>
      <w:r w:rsidRPr="003714CF">
        <w:rPr>
          <w:rFonts w:eastAsia="Cambria"/>
          <w:b/>
          <w:bCs/>
          <w:sz w:val="26"/>
        </w:rPr>
        <w:t>Werlhof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02735DFB" w14:textId="77777777" w:rsidR="00F63960" w:rsidRPr="003714CF" w:rsidRDefault="00F63960" w:rsidP="00F63960">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and everyone:</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As a consequence,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cultural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i.e.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big corporations win</w:t>
      </w:r>
      <w:r w:rsidRPr="003714CF">
        <w:rPr>
          <w:rFonts w:eastAsia="Cambria"/>
          <w:sz w:val="12"/>
        </w:rPr>
        <w:t xml:space="preserve">. In turn, they </w:t>
      </w:r>
      <w:r w:rsidRPr="003714CF">
        <w:rPr>
          <w:rFonts w:eastAsia="Cambria"/>
          <w:u w:val="single"/>
        </w:rPr>
        <w:t xml:space="preserve">create new market oligopolies and </w:t>
      </w:r>
      <w:r w:rsidRPr="003714CF">
        <w:rPr>
          <w:rFonts w:eastAsia="Cambria"/>
          <w:u w:val="single"/>
        </w:rPr>
        <w:lastRenderedPageBreak/>
        <w:t>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workers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days most of us are – exactly like all governments – in debt. It is financial capital that has all the money – we have none.[12] Small, medium, even some bigger enterprises are pushed out of the market, forced to fold or swallowed by transnational corporations</w:t>
      </w:r>
      <w:r w:rsidRPr="003714CF">
        <w:rPr>
          <w:rFonts w:eastAsia="Cambria"/>
          <w:sz w:val="12"/>
        </w:rPr>
        <w:t xml:space="preserve"> because their performances are below average in comparison to speculation – rather: spookulation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As a consequence,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e.g.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xml:space="preserve">. In this sense, they are a continuation of the history of so-called original accumulation which has expanded globally, in accordance with to the motto: “Growth through expropriation!”[21]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The destruction of the welfare state also destroys the notion that individuals can rely on the community to provide for them in times of need. Our existence relies exclusively on private, i.e.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 xml:space="preserve">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lastRenderedPageBreak/>
        <w:t>the</w:t>
      </w:r>
      <w:r w:rsidRPr="003714CF">
        <w:rPr>
          <w:rFonts w:eastAsia="Cambria"/>
          <w:sz w:val="12"/>
        </w:rPr>
        <w:t xml:space="preserve"> colonization of the North. This new “</w:t>
      </w:r>
      <w:r w:rsidRPr="003714CF">
        <w:rPr>
          <w:rFonts w:eastAsia="Cambria"/>
          <w:u w:val="single"/>
        </w:rPr>
        <w:t>colonization of the world</w:t>
      </w:r>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traditional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consequence</w:t>
      </w:r>
      <w:r w:rsidRPr="003714CF">
        <w:rPr>
          <w:rFonts w:eastAsia="Cambria"/>
          <w:sz w:val="12"/>
        </w:rPr>
        <w:t xml:space="preserve">.If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i.e.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“wageless”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communities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 xml:space="preserve">do whatever </w:t>
      </w:r>
      <w:r w:rsidRPr="003714CF">
        <w:rPr>
          <w:rFonts w:eastAsia="Cambria"/>
          <w:u w:val="single"/>
        </w:rPr>
        <w:lastRenderedPageBreak/>
        <w:t>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take possession of the assets that still remain,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14:paraId="1EE9164A" w14:textId="77777777" w:rsidR="00F63960" w:rsidRPr="002401A3" w:rsidRDefault="00F63960" w:rsidP="00F63960">
      <w:pPr>
        <w:pStyle w:val="Heading3"/>
        <w:rPr>
          <w:rFonts w:cs="Calibri"/>
        </w:rPr>
      </w:pPr>
      <w:r w:rsidRPr="002401A3">
        <w:rPr>
          <w:rFonts w:cs="Calibri"/>
        </w:rPr>
        <w:lastRenderedPageBreak/>
        <w:t>Plan</w:t>
      </w:r>
      <w:r>
        <w:rPr>
          <w:rFonts w:cs="Calibri"/>
        </w:rPr>
        <w:t>/Solvency</w:t>
      </w:r>
    </w:p>
    <w:p w14:paraId="6F08DFE3" w14:textId="77777777" w:rsidR="00F63960" w:rsidRPr="00E14A91" w:rsidRDefault="00F63960" w:rsidP="00F63960">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global commons,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4281F17D" w14:textId="77777777" w:rsidR="00F63960" w:rsidRPr="001A6991" w:rsidRDefault="00F63960" w:rsidP="00F63960">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global commons</w:t>
      </w:r>
      <w:r>
        <w:rPr>
          <w:rStyle w:val="Style13ptBold"/>
        </w:rPr>
        <w:t xml:space="preserve"> subject to regulatory delimiting and global liability.</w:t>
      </w:r>
    </w:p>
    <w:p w14:paraId="0E1A2327" w14:textId="77777777" w:rsidR="00F63960" w:rsidRDefault="00F63960" w:rsidP="00F63960">
      <w:pPr>
        <w:pStyle w:val="Heading4"/>
      </w:pPr>
      <w:r>
        <w:t>The aff:</w:t>
      </w:r>
    </w:p>
    <w:p w14:paraId="1BC3415F" w14:textId="77777777" w:rsidR="00F63960" w:rsidRPr="003955A7" w:rsidRDefault="00F63960" w:rsidP="00F63960">
      <w:pPr>
        <w:pStyle w:val="Heading4"/>
        <w:numPr>
          <w:ilvl w:val="0"/>
          <w:numId w:val="14"/>
        </w:numPr>
        <w:tabs>
          <w:tab w:val="num" w:pos="360"/>
        </w:tabs>
        <w:ind w:left="0" w:firstLine="0"/>
      </w:pPr>
      <w:r>
        <w:t>solves debris and space colonialism by ensuring the sustainable and equitable use of outer space resources.</w:t>
      </w:r>
    </w:p>
    <w:p w14:paraId="2CAFA7D0" w14:textId="77777777" w:rsidR="00F63960" w:rsidRDefault="00F63960" w:rsidP="00F63960">
      <w:pPr>
        <w:pStyle w:val="ListParagraph"/>
        <w:numPr>
          <w:ilvl w:val="0"/>
          <w:numId w:val="14"/>
        </w:numPr>
        <w:rPr>
          <w:rStyle w:val="Style13ptBold"/>
        </w:rPr>
      </w:pPr>
      <w:r>
        <w:rPr>
          <w:rStyle w:val="Style13ptBold"/>
        </w:rPr>
        <w:t>prevents circumvention by aligning the interests of state parties.</w:t>
      </w:r>
    </w:p>
    <w:p w14:paraId="69C5A948" w14:textId="77777777" w:rsidR="00F63960" w:rsidRPr="005D41A1" w:rsidRDefault="00F63960" w:rsidP="00F63960">
      <w:pPr>
        <w:pStyle w:val="ListParagraph"/>
        <w:numPr>
          <w:ilvl w:val="0"/>
          <w:numId w:val="14"/>
        </w:numPr>
        <w:rPr>
          <w:b/>
          <w:bCs/>
          <w:sz w:val="26"/>
        </w:rPr>
      </w:pPr>
      <w:r>
        <w:rPr>
          <w:rStyle w:val="Style13ptBold"/>
        </w:rPr>
        <w:t xml:space="preserve">is normal means since it models numerous successful agreements governing all other global commons. </w:t>
      </w:r>
    </w:p>
    <w:p w14:paraId="5EFC1D60" w14:textId="77777777" w:rsidR="00F63960" w:rsidRDefault="00F63960" w:rsidP="00F63960">
      <w:r w:rsidRPr="00CE0767">
        <w:rPr>
          <w:rStyle w:val="Style13ptBold"/>
        </w:rPr>
        <w:t xml:space="preserve">Vollmer 20 </w:t>
      </w:r>
      <w:r>
        <w:t>[Sarah Louise Vollmer (St. Mary's University School of Law), “The Right Stuff in Geospace: Using Mutual Coercion to Avoid an Inevitable Prison for Humanity,” 51 ST. MARY'S L.J. 777 (2020). &lt;https://commons.stmarytx.edu/thestmaryslawjournal/vol51/iss3/6?utm_source=commons.stmarytx.edu%2Fthestmaryslawjournal%2Fvol51%2Fiss3%2F6&amp;utm_medium=PDF&amp;utm_campaign=PDFCoverPages&gt; ]CT</w:t>
      </w:r>
    </w:p>
    <w:p w14:paraId="08FFCD23" w14:textId="77777777" w:rsidR="00F63960" w:rsidRPr="009C185C" w:rsidRDefault="00F63960" w:rsidP="00F63960">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geospace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w:t>
      </w:r>
      <w:r w:rsidRPr="008D4F27">
        <w:rPr>
          <w:rStyle w:val="Emphasis"/>
        </w:rPr>
        <w:t xml:space="preserve">the </w:t>
      </w:r>
      <w:r w:rsidRPr="001640BB">
        <w:rPr>
          <w:rStyle w:val="StyleUnderline"/>
        </w:rPr>
        <w:t xml:space="preserve">interests inherent </w:t>
      </w:r>
      <w:r w:rsidRPr="00470960">
        <w:rPr>
          <w:rStyle w:val="StyleUnderline"/>
        </w:rPr>
        <w:t>in</w:t>
      </w:r>
      <w:r w:rsidRPr="00470960">
        <w:rPr>
          <w:rStyle w:val="Emphasis"/>
        </w:rPr>
        <w:t xml:space="preserve"> </w:t>
      </w:r>
      <w:r w:rsidRPr="008D4F27">
        <w:rPr>
          <w:rStyle w:val="Emphasis"/>
          <w:highlight w:val="yellow"/>
        </w:rPr>
        <w:t>a</w:t>
      </w:r>
      <w:r w:rsidRPr="00867C6E">
        <w:rPr>
          <w:rStyle w:val="Emphasis"/>
          <w:highlight w:val="yellow"/>
        </w:rPr>
        <w:t xml:space="preserve">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To implement a binding international instrument, we must therefore ask the question: Why do nations follow international law,117 and how can we use those behavioral realities to construct a workable framework to ensure geospace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whether or not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geospace will cease </w:t>
      </w:r>
      <w:r w:rsidRPr="001640BB">
        <w:rPr>
          <w:rStyle w:val="StyleUnderline"/>
        </w:rPr>
        <w:t>to exist. Imagining our existence without these advances is a potent method to stress the criticality of unabated pollution in geospace</w:t>
      </w:r>
      <w:r w:rsidRPr="000B3A06">
        <w:rPr>
          <w:sz w:val="16"/>
        </w:rPr>
        <w:t>.</w:t>
      </w:r>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nation-states’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Spatialis. But oddly, the law of salvage was omitted from the treaties. Unlike abandoned objects at sea, once a nation-state places an object into space, ownership exists in perpetuity. Sandra Drago addressed removing the OST’s property-in-perpetuity mechanism134 so as to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geospace,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free-riding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r w:rsidRPr="004C46FA">
        <w:rPr>
          <w:rStyle w:val="StyleUnderline"/>
        </w:rPr>
        <w:t>geospace</w:t>
      </w:r>
      <w:r w:rsidRPr="004C46FA">
        <w:rPr>
          <w:rStyle w:val="Emphasis"/>
        </w:rPr>
        <w:t xml:space="preserve"> </w:t>
      </w:r>
      <w:r w:rsidRPr="00867C6E">
        <w:rPr>
          <w:rStyle w:val="Emphasis"/>
          <w:highlight w:val="yellow"/>
        </w:rPr>
        <w:t>delimitation and global liability</w:t>
      </w:r>
      <w:r>
        <w:rPr>
          <w:rStyle w:val="Emphasis"/>
        </w:rPr>
        <w:t xml:space="preserve"> ¶ </w:t>
      </w:r>
      <w:r>
        <w:t xml:space="preserve">1. Geospace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Divergent from the problems of the ice and sea, atmospheric regulation resolved an issue more analogous to geospace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[A]llocated orbits and frequencies solely through a first-in-time system. This led to concern that developed countries would secure all of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geospace, such as the overcrowding of active satellites and the resultant interference. Where the ITU’s scheme does not remedy the byproduct of geospace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aforementioned regulatory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r w:rsidRPr="00867C6E">
        <w:rPr>
          <w:rStyle w:val="Emphasis"/>
          <w:highlight w:val="yellow"/>
        </w:rPr>
        <w:t>loop-holes</w:t>
      </w:r>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actually be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r w:rsidRPr="00D43E58">
        <w:rPr>
          <w:sz w:val="16"/>
        </w:rPr>
        <w:t xml:space="preserve">geospace from littering the commons and destroying the utility of reserved slots.163 Holistically, none of the delimitations in the Corpus Juris Spatialis negate the cause of the growing belt of debris in geospace.¶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geospace</w:t>
      </w:r>
      <w:r w:rsidRPr="00D43E58">
        <w:rPr>
          <w:rStyle w:val="StyleUnderline"/>
        </w:rPr>
        <w:t>. When an entity launches a rocket into space, the accompanying payload causes either (1) temporary reduction of the aggregate utility of geospace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Spatialis, with separate regimes for outer space and geospace.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within geospace.</w:t>
      </w:r>
      <w:r w:rsidRPr="00B76F47">
        <w:rPr>
          <w:rStyle w:val="StyleUnderline"/>
        </w:rPr>
        <w:t xml:space="preserve"> Therefore, </w:t>
      </w:r>
      <w:r w:rsidRPr="00867C6E">
        <w:rPr>
          <w:rStyle w:val="Emphasis"/>
          <w:highlight w:val="yellow"/>
        </w:rPr>
        <w:t xml:space="preserve">demarcating the upper limit of geospace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r w:rsidRPr="00867C6E">
        <w:rPr>
          <w:rStyle w:val="Emphasis"/>
          <w:highlight w:val="yellow"/>
        </w:rPr>
        <w:t>geospace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coerce more sustainable usage of geospace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r w:rsidRPr="00867C6E">
        <w:rPr>
          <w:rStyle w:val="Emphasis"/>
          <w:highlight w:val="yellow"/>
        </w:rPr>
        <w:t xml:space="preserve">geospace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geospace,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geospace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geospace.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geospace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geospace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geospace will cease to exist.</w:t>
      </w:r>
      <w:r>
        <w:rPr>
          <w:rStyle w:val="StyleUnderline"/>
        </w:rPr>
        <w:t>¶</w:t>
      </w:r>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r w:rsidRPr="00D3609A">
        <w:rPr>
          <w:sz w:val="16"/>
        </w:rPr>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geospace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Consensys Space and quickly launched TruSat,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geospace for the common heritage of mankind. “But we can never do nothing. That which we have done for thousands of years is also action. It also produces evils.”183</w:t>
      </w:r>
    </w:p>
    <w:p w14:paraId="586D6259" w14:textId="77777777" w:rsidR="00F63960" w:rsidRPr="00744C0D" w:rsidRDefault="00F63960" w:rsidP="00F63960">
      <w:pPr>
        <w:pStyle w:val="Heading4"/>
        <w:rPr>
          <w:rFonts w:cs="Calibri"/>
        </w:rPr>
      </w:pPr>
      <w:r w:rsidRPr="00744C0D">
        <w:rPr>
          <w:rFonts w:cs="Calibri"/>
        </w:rPr>
        <w:t>Treating space as a commons solves orbital debris. Current non-binding agreements are not enough.</w:t>
      </w:r>
    </w:p>
    <w:p w14:paraId="7762D7BB" w14:textId="77777777" w:rsidR="00F63960" w:rsidRPr="003714CF" w:rsidRDefault="00F63960" w:rsidP="00F63960">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25FB1440" w14:textId="77777777" w:rsidR="00F63960" w:rsidRPr="003714CF" w:rsidRDefault="00F63960" w:rsidP="00F63960">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orbits as a commons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solution.¶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great commons.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great </w:t>
      </w:r>
      <w:r w:rsidRPr="00867C6E">
        <w:rPr>
          <w:rStyle w:val="StyleUnderline"/>
          <w:highlight w:val="yellow"/>
        </w:rPr>
        <w:t>commons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commons.¶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w:t>
      </w:r>
      <w:r w:rsidRPr="003714CF">
        <w:rPr>
          <w:sz w:val="12"/>
          <w:szCs w:val="12"/>
        </w:rPr>
        <w:lastRenderedPageBreak/>
        <w:t xml:space="preserve">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w:t>
      </w:r>
      <w:r w:rsidRPr="00257E1A">
        <w:rPr>
          <w:sz w:val="12"/>
        </w:rPr>
        <w:t xml:space="preserve">. </w:t>
      </w:r>
      <w:r w:rsidRPr="00257E1A">
        <w:rPr>
          <w:rStyle w:val="StyleUnderline"/>
        </w:rPr>
        <w:t>The costs of adapting to</w:t>
      </w:r>
      <w:r w:rsidRPr="00257E1A">
        <w:rPr>
          <w:sz w:val="12"/>
        </w:rPr>
        <w:t xml:space="preserve"> increasingly </w:t>
      </w:r>
      <w:r w:rsidRPr="00257E1A">
        <w:rPr>
          <w:rStyle w:val="StyleUnderline"/>
        </w:rPr>
        <w:t>polluted orbits would be immense, and the opportunity costs would be even higher</w:t>
      </w:r>
      <w:r w:rsidRPr="00257E1A">
        <w:rPr>
          <w:sz w:val="12"/>
        </w:rPr>
        <w:t xml:space="preserve">. For instance, all else being equal, hardening satellites against collisions increases their mass and volume, in turn raising launch costs per satellite. These costs, rooted in a failure to govern space as a commons, will be </w:t>
      </w:r>
      <w:r w:rsidRPr="00257E1A">
        <w:rPr>
          <w:rStyle w:val="StyleUnderline"/>
        </w:rPr>
        <w:t>borne by all space actors, including emerging states</w:t>
      </w:r>
      <w:r w:rsidRPr="008D7D08">
        <w:rPr>
          <w:rStyle w:val="StyleUnderline"/>
        </w:rPr>
        <w:t xml:space="preserve"> and commercial entities</w:t>
      </w:r>
      <w:r w:rsidRPr="00867C6E">
        <w:rPr>
          <w:rStyle w:val="StyleUnderline"/>
          <w:highlight w:val="yellow"/>
        </w:rPr>
        <w:t>.</w:t>
      </w:r>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w:t>
      </w:r>
      <w:r w:rsidRPr="00257E1A">
        <w:rPr>
          <w:rStyle w:val="StyleUnderline"/>
        </w:rPr>
        <w:t xml:space="preserve">deployments and </w:t>
      </w:r>
      <w:r w:rsidRPr="00867C6E">
        <w:rPr>
          <w:rStyle w:val="StyleUnderline"/>
          <w:highlight w:val="yellow"/>
        </w:rPr>
        <w:t xml:space="preserve">operations in geosynchronous orbits and manages radiofrequency spectrum assignments </w:t>
      </w:r>
      <w:r w:rsidRPr="00257E1A">
        <w:rPr>
          <w:rStyle w:val="StyleUnderline"/>
        </w:rPr>
        <w:t>in other regions of space</w:t>
      </w:r>
      <w:r w:rsidRPr="00257E1A">
        <w:rPr>
          <w:sz w:val="12"/>
        </w:rPr>
        <w:t xml:space="preserve"> to</w:t>
      </w:r>
      <w:r w:rsidRPr="003714CF">
        <w:rPr>
          <w:sz w:val="12"/>
        </w:rPr>
        <w:t xml:space="preserve">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2C44A3B5" w14:textId="77777777" w:rsidR="00F63960" w:rsidRPr="004A2A85" w:rsidRDefault="00F63960" w:rsidP="00F63960">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60492307" w14:textId="77777777" w:rsidR="00F63960" w:rsidRDefault="00F63960" w:rsidP="00F63960">
      <w:r w:rsidRPr="007B217B">
        <w:rPr>
          <w:rStyle w:val="Style13ptBold"/>
        </w:rPr>
        <w:t>Dardot 18</w:t>
      </w:r>
      <w:r>
        <w:t xml:space="preserve"> [Pierre Dardot, “What democracy for the global commons?,” The Commons and a New Global Governance, ed. Samuel Cogolati and Jan Wouters (2018). </w:t>
      </w:r>
      <w:hyperlink r:id="rId47"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70D1C04C" w14:textId="77777777" w:rsidR="00F63960" w:rsidRPr="00130884" w:rsidRDefault="00F63960" w:rsidP="00F63960">
      <w:pPr>
        <w:ind w:left="720"/>
        <w:rPr>
          <w:rStyle w:val="Style13ptBold"/>
          <w:iCs/>
          <w:sz w:val="22"/>
          <w:highlight w:val="yellow"/>
          <w:u w:val="single"/>
        </w:rPr>
      </w:pPr>
      <w:r w:rsidRPr="00FB2583">
        <w:rPr>
          <w:sz w:val="16"/>
        </w:rPr>
        <w:t xml:space="preserve">Using ‘commons’ as a noun, thus, implies a methodological break with this reification of common things, as well as with the logic underlying the classification of </w:t>
      </w:r>
      <w:r w:rsidRPr="00A34BAB">
        <w:rPr>
          <w:sz w:val="16"/>
        </w:rPr>
        <w:t xml:space="preserve">goods in economic theory. </w:t>
      </w:r>
      <w:r w:rsidRPr="00A34BAB">
        <w:rPr>
          <w:rStyle w:val="Emphasis"/>
        </w:rPr>
        <w:t>A ‘commons’ is</w:t>
      </w:r>
      <w:r w:rsidRPr="00A34BAB">
        <w:rPr>
          <w:rStyle w:val="StyleUnderline"/>
        </w:rPr>
        <w:t xml:space="preserve"> first and foremost an </w:t>
      </w:r>
      <w:r w:rsidRPr="00A34BAB">
        <w:rPr>
          <w:rStyle w:val="Emphasis"/>
        </w:rPr>
        <w:t>institutional</w:t>
      </w:r>
      <w:r w:rsidRPr="00A34BAB">
        <w:rPr>
          <w:rStyle w:val="StyleUnderline"/>
        </w:rPr>
        <w:t xml:space="preserve"> affair and, more specifically, an institutional space </w:t>
      </w:r>
      <w:r w:rsidRPr="00A34BAB">
        <w:rPr>
          <w:rStyle w:val="Emphasis"/>
        </w:rPr>
        <w:t xml:space="preserve">defined by collectively </w:t>
      </w:r>
      <w:r w:rsidRPr="00A34BAB">
        <w:rPr>
          <w:rStyle w:val="Emphasis"/>
        </w:rPr>
        <w:lastRenderedPageBreak/>
        <w:t xml:space="preserve">developed </w:t>
      </w:r>
      <w:r w:rsidRPr="00A34BAB">
        <w:rPr>
          <w:rStyle w:val="StyleUnderline"/>
        </w:rPr>
        <w:t>practical</w:t>
      </w:r>
      <w:r w:rsidRPr="00A34BAB">
        <w:rPr>
          <w:rStyle w:val="Emphasis"/>
        </w:rPr>
        <w:t xml:space="preserve"> rules</w:t>
      </w:r>
      <w:r w:rsidRPr="00A34BAB">
        <w:rPr>
          <w:rStyle w:val="StyleUnderline"/>
        </w:rPr>
        <w:t>.</w:t>
      </w:r>
      <w:r w:rsidRPr="00A34BAB">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A34BAB">
        <w:rPr>
          <w:rStyle w:val="StyleUnderline"/>
        </w:rPr>
        <w:t xml:space="preserve">By contrast, any good that is capable of being purchased and sold, is not in itself a commons. This means that a commons is a good only under the condition that it is not a possession or an acquisition. In other words, once it is instituted, </w:t>
      </w:r>
      <w:r w:rsidRPr="00A34BAB">
        <w:rPr>
          <w:rStyle w:val="Emphasis"/>
        </w:rPr>
        <w:t xml:space="preserve">a commons is inalienable and inappropriable. </w:t>
      </w:r>
      <w:r w:rsidRPr="00A34BAB">
        <w:rPr>
          <w:rStyle w:val="StyleUnderline"/>
        </w:rPr>
        <w:t>It creates a space within which</w:t>
      </w:r>
      <w:r w:rsidRPr="00A34BAB">
        <w:rPr>
          <w:rStyle w:val="Emphasis"/>
        </w:rPr>
        <w:t xml:space="preserve"> use prevails over ownership.</w:t>
      </w:r>
      <w:r w:rsidRPr="00A34BAB">
        <w:rPr>
          <w:rStyle w:val="StyleUnderline"/>
        </w:rPr>
        <w:t xml:space="preserve"> It is, thus, not a resource in itself – even when it is related to one. In this way we understand a commons to be the active link between an object, a place, a natural resource (for example, a waterfall or a forest), or something artificial (for example, a theatre or a square) and the collective activity of those who take charge of it, preserve it, maintain it and take care of it.</w:t>
      </w:r>
      <w:r w:rsidRPr="00A34BAB">
        <w:rPr>
          <w:sz w:val="16"/>
        </w:rPr>
        <w:t xml:space="preserve"> This activity is not external to the commons, but instead inherent in it.</w:t>
      </w:r>
      <w:r w:rsidRPr="00A34BAB">
        <w:rPr>
          <w:rStyle w:val="StyleUnderline"/>
        </w:rPr>
        <w:t xml:space="preserve"> ¶</w:t>
      </w:r>
      <w:r w:rsidRPr="00A34BAB">
        <w:rPr>
          <w:sz w:val="16"/>
        </w:rPr>
        <w:t xml:space="preserve"> </w:t>
      </w:r>
      <w:r w:rsidRPr="00A34BAB">
        <w:rPr>
          <w:rStyle w:val="StyleUnderline"/>
        </w:rPr>
        <w:t xml:space="preserve">If we take this to be the definition of every common, then a third implication is that </w:t>
      </w:r>
      <w:r w:rsidRPr="00A34BAB">
        <w:rPr>
          <w:rStyle w:val="Emphasis"/>
        </w:rPr>
        <w:t xml:space="preserve">a common, </w:t>
      </w:r>
      <w:r w:rsidRPr="00A34BAB">
        <w:rPr>
          <w:rStyle w:val="StyleUnderline"/>
        </w:rPr>
        <w:t>regardless of its specific designation,</w:t>
      </w:r>
      <w:r w:rsidRPr="00A34BAB">
        <w:rPr>
          <w:rStyle w:val="Emphasis"/>
        </w:rPr>
        <w:t xml:space="preserve"> requires</w:t>
      </w:r>
      <w:r w:rsidRPr="00A34BAB">
        <w:rPr>
          <w:rStyle w:val="StyleUnderline"/>
        </w:rPr>
        <w:t xml:space="preserve"> self-government or </w:t>
      </w:r>
      <w:r w:rsidRPr="00A34BAB">
        <w:rPr>
          <w:rStyle w:val="Emphasis"/>
        </w:rPr>
        <w:t xml:space="preserve">democratic government. The very act of establishing </w:t>
      </w:r>
      <w:r w:rsidRPr="00A34BAB">
        <w:rPr>
          <w:rStyle w:val="StyleUnderline"/>
        </w:rPr>
        <w:t xml:space="preserve">a common is in and of itself a </w:t>
      </w:r>
      <w:r w:rsidRPr="00A34BAB">
        <w:rPr>
          <w:rStyle w:val="Emphasis"/>
        </w:rPr>
        <w:t xml:space="preserve">democratic </w:t>
      </w:r>
      <w:r w:rsidRPr="00A34BAB">
        <w:rPr>
          <w:rStyle w:val="StyleUnderline"/>
        </w:rPr>
        <w:t>act</w:t>
      </w:r>
      <w:r w:rsidRPr="00A34BAB">
        <w:rPr>
          <w:rStyle w:val="Emphasis"/>
        </w:rPr>
        <w:t>.</w:t>
      </w:r>
      <w:r w:rsidRPr="00A34BAB">
        <w:rPr>
          <w:rStyle w:val="StyleUnderline"/>
        </w:rPr>
        <w:t xml:space="preserve"> The act of </w:t>
      </w:r>
      <w:r w:rsidRPr="00A34BAB">
        <w:rPr>
          <w:rStyle w:val="Emphasis"/>
        </w:rPr>
        <w:t>governing a common</w:t>
      </w:r>
      <w:r w:rsidRPr="00A34BAB">
        <w:rPr>
          <w:rStyle w:val="StyleUnderline"/>
        </w:rPr>
        <w:t xml:space="preserve"> </w:t>
      </w:r>
      <w:r w:rsidRPr="00A34BAB">
        <w:rPr>
          <w:rStyle w:val="Emphasis"/>
        </w:rPr>
        <w:t xml:space="preserve">is </w:t>
      </w:r>
      <w:r w:rsidRPr="00A34BAB">
        <w:rPr>
          <w:rStyle w:val="StyleUnderline"/>
        </w:rPr>
        <w:t>nothing more than the continuation of the</w:t>
      </w:r>
      <w:r w:rsidRPr="00A34BAB">
        <w:rPr>
          <w:rStyle w:val="Emphasis"/>
        </w:rPr>
        <w:t xml:space="preserve"> democratic </w:t>
      </w:r>
      <w:r w:rsidRPr="00A34BAB">
        <w:rPr>
          <w:rStyle w:val="StyleUnderline"/>
        </w:rPr>
        <w:t>act; it is thus a sort of continuation of the institution.</w:t>
      </w:r>
      <w:r w:rsidRPr="00A34BAB">
        <w:rPr>
          <w:sz w:val="16"/>
        </w:rPr>
        <w:t xml:space="preserve"> </w:t>
      </w:r>
      <w:r w:rsidRPr="00A34BAB">
        <w:rPr>
          <w:rStyle w:val="StyleUnderline"/>
        </w:rPr>
        <w:t xml:space="preserve">It consists of reviving this institution </w:t>
      </w:r>
      <w:r w:rsidRPr="00A34BAB">
        <w:rPr>
          <w:rStyle w:val="Emphasis"/>
        </w:rPr>
        <w:t>by critically assessing its</w:t>
      </w:r>
      <w:r w:rsidRPr="00A34BAB">
        <w:rPr>
          <w:rStyle w:val="StyleUnderline"/>
        </w:rPr>
        <w:t xml:space="preserve"> collective </w:t>
      </w:r>
      <w:r w:rsidRPr="00A34BAB">
        <w:rPr>
          <w:rStyle w:val="Emphasis"/>
        </w:rPr>
        <w:t>rules</w:t>
      </w:r>
      <w:r w:rsidRPr="00A34BAB">
        <w:rPr>
          <w:rStyle w:val="StyleUnderline"/>
        </w:rPr>
        <w:t xml:space="preserve">, whenever the situation demands it. As such, the governance of the common can only proceed from the principle of democracy – the </w:t>
      </w:r>
      <w:r w:rsidRPr="00A34BAB">
        <w:rPr>
          <w:rStyle w:val="Emphasis"/>
        </w:rPr>
        <w:t>non-democratic governance</w:t>
      </w:r>
      <w:r w:rsidRPr="00A34BAB">
        <w:rPr>
          <w:rStyle w:val="StyleUnderline"/>
        </w:rPr>
        <w:t xml:space="preserve"> of a common </w:t>
      </w:r>
      <w:r w:rsidRPr="00A34BAB">
        <w:rPr>
          <w:rStyle w:val="Emphasis"/>
        </w:rPr>
        <w:t>would threaten</w:t>
      </w:r>
      <w:r w:rsidRPr="00A34BAB">
        <w:t>,</w:t>
      </w:r>
      <w:r w:rsidRPr="00A34BAB">
        <w:rPr>
          <w:rStyle w:val="StyleUnderline"/>
        </w:rPr>
        <w:t xml:space="preserve"> in the short-term, </w:t>
      </w:r>
      <w:r w:rsidRPr="00A34BAB">
        <w:rPr>
          <w:rStyle w:val="Emphasis"/>
        </w:rPr>
        <w:t>the very existence of this common.</w:t>
      </w:r>
      <w:r w:rsidRPr="00A34BAB">
        <w:rPr>
          <w:rStyle w:val="StyleUnderline"/>
        </w:rPr>
        <w:t xml:space="preserve"> I call this the principle of the common, this time in the singular form.</w:t>
      </w:r>
      <w:r w:rsidRPr="00A34BAB">
        <w:rPr>
          <w:sz w:val="16"/>
        </w:rPr>
        <w:t xml:space="preserve"> For that purpose, I refer to the Latin etymology of this word: the common, or ‘cum-munus’, is the co-obligation that results from co-participation in the same activity. This co-obligation cannot proceed from the simple fact of belonging. Democracy is, in essence, co-participation in public affairs. The Occupy movement (for example, the anti-austerity</w:t>
      </w:r>
      <w:r w:rsidRPr="00FB2583">
        <w:rPr>
          <w:sz w:val="16"/>
        </w:rPr>
        <w:t xml:space="preserve">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self-government.</w:t>
      </w:r>
      <w:r>
        <w:rPr>
          <w:rStyle w:val="StyleUnderline"/>
        </w:rPr>
        <w:t xml:space="preserve">¶ </w:t>
      </w:r>
      <w:r w:rsidRPr="00FB2583">
        <w:rPr>
          <w:sz w:val="16"/>
          <w:szCs w:val="16"/>
        </w:rPr>
        <w:t>Yet these examples would seem to speak in favour of the establishment of a local democracy, confined within specific geographic limits (for example, a neighbourhood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like.</w:t>
      </w:r>
      <w:r>
        <w:rPr>
          <w:sz w:val="16"/>
          <w:szCs w:val="16"/>
        </w:rPr>
        <w:t xml:space="preserve">¶ </w:t>
      </w:r>
      <w:r w:rsidRPr="00FB2583">
        <w:rPr>
          <w:sz w:val="16"/>
          <w:szCs w:val="16"/>
        </w:rPr>
        <w:t>CURRENT PARADIGMS TO DEAL WITH THE UNLIMITED COSMOCAPITALISM</w:t>
      </w:r>
      <w:r>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r w:rsidRPr="00867C6E">
        <w:rPr>
          <w:rStyle w:val="Emphasis"/>
          <w:highlight w:val="yellow"/>
        </w:rPr>
        <w:t>cosmocapitalism’</w:t>
      </w:r>
      <w:r w:rsidRPr="00806286">
        <w:rPr>
          <w:rStyle w:val="StyleUnderline"/>
        </w:rPr>
        <w:t xml:space="preserve">. How can this be understood? Cosmocapitalism is not merely a geographical or spatial extension of capitalism, since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even the global population, but rather the political framework, with its institutional and normative qualities whereby the expansion of the market’s logic becomes possible. Max Weber already </w:t>
      </w:r>
      <w:r w:rsidRPr="00916813">
        <w:rPr>
          <w:sz w:val="16"/>
        </w:rPr>
        <w:lastRenderedPageBreak/>
        <w:t xml:space="preserve">described the idea of an immense cosmos which imposes its economic activity on the individual caught within the market’s grasp (Weber, 2002). Today, this cosmos has grown beyond the single economic sphere to include the social sphere. </w:t>
      </w:r>
      <w:r>
        <w:rPr>
          <w:sz w:val="16"/>
        </w:rPr>
        <w:t xml:space="preserve">¶ </w:t>
      </w:r>
      <w:r>
        <w:t xml:space="preserve">3.1 </w:t>
      </w:r>
      <w:r w:rsidRPr="004D5861">
        <w:t xml:space="preserve">Humanity’s Common Heritage Paradigm and the Appropriation of Space¶ </w:t>
      </w:r>
      <w:r w:rsidRPr="004D5861">
        <w:rPr>
          <w:rStyle w:val="Emphasis"/>
        </w:rPr>
        <w:t xml:space="preserve">A first </w:t>
      </w:r>
      <w:r w:rsidRPr="00A34BAB">
        <w:rPr>
          <w:rStyle w:val="Emphasis"/>
        </w:rPr>
        <w:t>example</w:t>
      </w:r>
      <w:r w:rsidRPr="00A34BAB">
        <w:rPr>
          <w:rStyle w:val="StyleUnderline"/>
        </w:rPr>
        <w:t xml:space="preserve"> will allow us to highlight this logic of limitlessness by examining the delegation of tasks between the state and private enterprises. </w:t>
      </w:r>
      <w:r w:rsidRPr="00A34BAB">
        <w:rPr>
          <w:sz w:val="16"/>
        </w:rPr>
        <w:t xml:space="preserve">On 25 November 2015, just a few days before the opening of the 21st Conference of the Parties (COP) of the Framework Convention on Climate Change in Paris, </w:t>
      </w:r>
      <w:r w:rsidRPr="00A34BAB">
        <w:rPr>
          <w:rStyle w:val="StyleUnderline"/>
        </w:rPr>
        <w:t xml:space="preserve">Barack </w:t>
      </w:r>
      <w:r w:rsidRPr="00A34BAB">
        <w:rPr>
          <w:rStyle w:val="Emphasis"/>
        </w:rPr>
        <w:t>Obama passed</w:t>
      </w:r>
      <w:r w:rsidRPr="00A34BAB">
        <w:rPr>
          <w:rStyle w:val="StyleUnderline"/>
        </w:rPr>
        <w:t xml:space="preserve"> law H.R.2262, which provided </w:t>
      </w:r>
      <w:r w:rsidRPr="00A34BAB">
        <w:rPr>
          <w:rStyle w:val="Emphasis"/>
        </w:rPr>
        <w:t>authorization for private American companies to use natural resources from outer space</w:t>
      </w:r>
      <w:r w:rsidRPr="00A34BAB">
        <w:rPr>
          <w:sz w:val="16"/>
        </w:rPr>
        <w:t xml:space="preserve"> (US Congress, 2015). </w:t>
      </w:r>
      <w:r w:rsidRPr="00A34BAB">
        <w:rPr>
          <w:rStyle w:val="StyleUnderline"/>
        </w:rPr>
        <w:t xml:space="preserve">As we know, </w:t>
      </w:r>
      <w:r w:rsidRPr="00A34BAB">
        <w:rPr>
          <w:rStyle w:val="Emphasis"/>
        </w:rPr>
        <w:t>the</w:t>
      </w:r>
      <w:r w:rsidRPr="00A34BAB">
        <w:rPr>
          <w:rStyle w:val="StyleUnderline"/>
        </w:rPr>
        <w:t xml:space="preserve"> 1967 </w:t>
      </w:r>
      <w:r w:rsidRPr="00A34BAB">
        <w:rPr>
          <w:rStyle w:val="Emphasis"/>
        </w:rPr>
        <w:t>Outer Space Treaty established the</w:t>
      </w:r>
      <w:r w:rsidRPr="00A34BAB">
        <w:rPr>
          <w:rStyle w:val="StyleUnderline"/>
        </w:rPr>
        <w:t xml:space="preserve"> legal </w:t>
      </w:r>
      <w:r w:rsidRPr="00A34BAB">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means’.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only.¶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(Calimaq, 2015). Yet, the law passed by Congress seems to pretend the contrary, as it provides a so-called ‘Disclaimer of Extraterritorial</w:t>
      </w:r>
      <w:r w:rsidRPr="00916813">
        <w:rPr>
          <w:sz w:val="16"/>
        </w:rPr>
        <w:t xml:space="preserve"> Sovereignty’ in Section 3 of the Act (US Congress, 2015)</w:t>
      </w:r>
      <w:r>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resources therein without any restriction.¶ 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way of extrapolating the res communes category inherited from Roman law, insofar as non-appropriation </w:t>
      </w:r>
      <w:r w:rsidRPr="00E60491">
        <w:rPr>
          <w:rStyle w:val="StyleUnderline"/>
        </w:rPr>
        <w:t xml:space="preserve">and common use are present, but </w:t>
      </w:r>
      <w:r w:rsidRPr="00E60491">
        <w:rPr>
          <w:rStyle w:val="StyleUnderline"/>
        </w:rPr>
        <w:lastRenderedPageBreak/>
        <w:t xml:space="preserve">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question.¶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in order to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licence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they are able to seize:</w:t>
      </w:r>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as such, leaves leeway for private appropriation.</w:t>
      </w:r>
      <w:r>
        <w:rPr>
          <w:rStyle w:val="StyleUnderline"/>
        </w:rPr>
        <w:t>¶</w:t>
      </w:r>
      <w:r>
        <w:rPr>
          <w:sz w:val="16"/>
        </w:rPr>
        <w:t xml:space="preserve"> </w:t>
      </w:r>
      <w:r w:rsidRPr="00916813">
        <w:rPr>
          <w:sz w:val="16"/>
          <w:szCs w:val="16"/>
        </w:rPr>
        <w:t xml:space="preserve">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(Feydel and Bonneuil,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as long as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actually dries up the Amazonian soil, is not at all taken into consideration (Feydel and Bonneuil,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Programme (UNEP) since 2007: ‘We take advantage of nature because it has value. But we lose it because it is free’ (Feydel and Bonneuil, 2015: p. 62). Thus, ‘[t]he economy has become the currency of politics’ (sic), we have to learn to understand ‘[t]he economic value of nature’ and express it in a way that is clear to political decision makers. In essence, we must remedy the ‘[i]nvisible economics of nature’ by assigning to it a monetary value or a price. In order to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really new? For a long time, biodiversity was conceived of as a group of resources comprised of several distinct elements (genes, species, habitats and so on), which were capable of being owned, purchased and sold. This conception prevailed in Rio during the Convention on Biological Diversity (United Nations, 1992). But, at the end of the twentieth century, a more dynamic representation emerged which posited that ecosystems should be recognized as the ‘third level of biodiversity’, situated above genes and species (Feydel and </w:t>
      </w:r>
      <w:r w:rsidRPr="00916813">
        <w:rPr>
          <w:sz w:val="16"/>
          <w:szCs w:val="16"/>
        </w:rPr>
        <w:lastRenderedPageBreak/>
        <w:t>Bonneuil, 2015: pp. 164–166). Now processes and flows take precedence over individual entities and elements. Although we can measure the intrinsic value of the latter, we can only appreciate the value of process and flow in terms of ‘services’. It is, thus, not biodiversity in and of itself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as a whole should be treated as natural capital. In keeping with this line of thought, the following shift occurs: the biosphere should not enter the commercial sphere merely as a commodity (the logic underlying the sale of timber and industrial capitalism, marketing ‘biological resources’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(i)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variables’?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‘in an effort to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favour of the idea that value is assigned by an external party, which expresses in its own way the notion of ‘ecosystem services’.</w:t>
      </w:r>
      <w:r>
        <w:rPr>
          <w:sz w:val="16"/>
          <w:szCs w:val="16"/>
        </w:rPr>
        <w:t xml:space="preserve">¶ 4. COSMODEMOCRACY ¶ </w:t>
      </w:r>
      <w:r w:rsidRPr="00867C6E">
        <w:rPr>
          <w:rStyle w:val="Emphasis"/>
          <w:highlight w:val="yellow"/>
        </w:rPr>
        <w:t>Given</w:t>
      </w:r>
      <w:r w:rsidRPr="00592BA1">
        <w:rPr>
          <w:rStyle w:val="StyleUnderline"/>
        </w:rPr>
        <w:t xml:space="preserve"> the logic underlying </w:t>
      </w:r>
      <w:r w:rsidRPr="00867C6E">
        <w:rPr>
          <w:rStyle w:val="Emphasis"/>
          <w:highlight w:val="yellow"/>
        </w:rPr>
        <w:t xml:space="preserve">cosmocapitalism,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cosmodemocracy. It is indeed linked to cosmopolitanism; that is, to the idea of global politics and global citizenship.¶ 4.1 Different Types of Cosmopolitanism 4.1.1 Cosmopolitanism as a project¶ Cosmopolitanism can be defined as the feeling and consciousness of belonging to the same world. It can be expressed in many different ways.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citizens of the world,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Anacharsis Cloots, author of Bases constitutionnelles de la République du genre humain (1793). Yet the framework remains one in which the world is assimilated to the nation: the human race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(i) municipal or civil law (ius civitatis), which should be a republican constitution; (ii) international law or the law of nations (ius gentium), which provides for the right of states to engage in mutual relations or international law via a federation of free states; and (iii) cosmopolitan law (ius cosmopoliticum). However, cosmopolitan law is intended to guarantee the right of ‘hospitality’ to all individuals – which is a right of access merely to promote trade. In this way, cosmopolitanism restricts the cosmos to the commercial sphere without establishing a genuine political citizenship.¶ 4.1.2 Factual cosmopolitanization¶ What was once only an idea or ideal has become part of how we now live. </w:t>
      </w:r>
      <w:r>
        <w:rPr>
          <w:sz w:val="16"/>
          <w:szCs w:val="16"/>
        </w:rPr>
        <w:lastRenderedPageBreak/>
        <w:t xml:space="preserve">Cosmopolitanism has become the new reality, both in an objective and subjective sense, and what Ulrich Beck has called ‘banal cosmopolitanism’ (2006: p. 26). This factual cosmopolitanization, borne out of the growth of interdependence and transnationalization of ways of life and cultures, should not be confused with transnational political activities and institutional creations, even if the link between these phenomena seems quite obvious. Factual cosmopolitanization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In order to see, understand, and analyse it, one must abandon the ‘national perspective’ and ‘methodological nationalism’, ¶ 4.1.3 Normative and institutional cosmopolitanism¶ What Beck also failed to see is that normative and institutional cosmopolitanism do not flow freely and naturally from factual cosmopolitanization. This is so, firstly, because of the opposition of forces that have no interest in seeing their powers being eroded. Second, and most importantly, because a strictly empirical conceptualization of factual cosmopolitanization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cosmopolitanization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social and cultural forms of internationalization, demonstrates how the world’s legal fabric extends beyond the mere sum of nations. In the same way that the nation is the product of a historical development which culminates in its legal capacity at the end of the eighteenth century, the ‘internation’, to use Mauss’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Mauss, the enemy is state sovereignty, as it represents an obstacle to real human interests. We are moving towards a world order that will no longer be limited by the coexistence of sovereign nation states, what Renner calls the ‘institutional Oecumene’. The creation of the League of Nations in 1920 gave way to a new era, as the ‘community of nations’ was granted legal standing above the states. Renner claims that, as a result of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in order to respect higher principles which cater to the interests of humanity. Hence Renner’s proposal in 1937: delegates representing ‘partial international interests’ (capital, labour, culture and so on) should be members of the League of Nations Council. It is under this condition that international interests would be taken into account,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interests’. Indeed, the parliamentary system of representation, with all its inherent vices, is simply replicated on a global scale. In order to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But,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underway.¶ 4.2.1 The dual federation of the commons¶ </w:t>
      </w: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t>
      </w:r>
      <w:r w:rsidRPr="00592BA1">
        <w:rPr>
          <w:rStyle w:val="StyleUnderline"/>
        </w:rPr>
        <w:lastRenderedPageBreak/>
        <w:t xml:space="preserve">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non-centred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 4.2.2 Global citizenship¶ 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Today, we observe the elements of an authentic political citizenship, which is diverse, decentred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as long as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inappropriable and instituted as a common.¶ 5. Conclusion¶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commons is </w:t>
      </w:r>
      <w:r w:rsidRPr="00B67E72">
        <w:rPr>
          <w:rStyle w:val="StyleUnderline"/>
        </w:rPr>
        <w:t>fundamentally</w:t>
      </w:r>
      <w:r w:rsidRPr="00B67E72">
        <w:rPr>
          <w:rStyle w:val="Emphasis"/>
        </w:rPr>
        <w:t xml:space="preserve"> plural, polymorphic, non-centred</w:t>
      </w:r>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lastRenderedPageBreak/>
        <w:t>indivisible and</w:t>
      </w:r>
      <w:r w:rsidRPr="00B67E72">
        <w:rPr>
          <w:rStyle w:val="Emphasis"/>
        </w:rPr>
        <w:t xml:space="preserve"> absolute centre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39CB0E02" w14:textId="77777777" w:rsidR="00F63960" w:rsidRPr="00AE7D26" w:rsidRDefault="00F63960" w:rsidP="00F63960">
      <w:pPr>
        <w:pStyle w:val="Heading4"/>
        <w:rPr>
          <w:rFonts w:cs="Calibri"/>
        </w:rPr>
      </w:pPr>
      <w:r w:rsidRPr="00744C0D">
        <w:rPr>
          <w:rFonts w:cs="Calibri"/>
        </w:rPr>
        <w:t xml:space="preserve">Since the national appropriation is banned by the OST, banning private appropriation would ipso facto result in space being a </w:t>
      </w:r>
      <w:r w:rsidRPr="00744C0D">
        <w:rPr>
          <w:rFonts w:cs="Calibri"/>
          <w:u w:val="single"/>
        </w:rPr>
        <w:t>global commons</w:t>
      </w:r>
      <w:r w:rsidRPr="00744C0D">
        <w:rPr>
          <w:rFonts w:cs="Calibri"/>
        </w:rPr>
        <w:t xml:space="preserve">, so the plan is </w:t>
      </w:r>
      <w:r w:rsidRPr="00744C0D">
        <w:rPr>
          <w:rFonts w:cs="Calibri"/>
          <w:u w:val="single"/>
        </w:rPr>
        <w:t>not extra T</w:t>
      </w:r>
      <w:r w:rsidRPr="00744C0D">
        <w:rPr>
          <w:rFonts w:cs="Calibri"/>
        </w:rPr>
        <w:t xml:space="preserve"> and is </w:t>
      </w:r>
      <w:r w:rsidRPr="00744C0D">
        <w:rPr>
          <w:rFonts w:cs="Calibri"/>
          <w:u w:val="single"/>
        </w:rPr>
        <w:t>normal means.</w:t>
      </w:r>
    </w:p>
    <w:p w14:paraId="3DE539DE" w14:textId="77777777" w:rsidR="00F63960" w:rsidRPr="00744C0D" w:rsidRDefault="00F63960" w:rsidP="00F63960">
      <w:r w:rsidRPr="00744C0D">
        <w:rPr>
          <w:rStyle w:val="Style13ptBold"/>
        </w:rPr>
        <w:t>Neto 21</w:t>
      </w:r>
      <w:r w:rsidRPr="00744C0D">
        <w:t xml:space="preserve"> [Bittencourt Neto, Olava de O. “Chapter 1: Outer Space as a Global Commons and the Role of Space Law,” A Research Agenda for Space Policy, Edward Elgar Publishing, Cheltenham, UK, 2021. https://www.elgaronline.com/view/edcoll/9781800374737/9781800374737.00009.xml] CT</w:t>
      </w:r>
    </w:p>
    <w:p w14:paraId="1DE9DD01" w14:textId="77777777" w:rsidR="00F63960" w:rsidRPr="002B74BE" w:rsidRDefault="00F63960" w:rsidP="00F63960">
      <w:pPr>
        <w:ind w:left="720"/>
        <w:rPr>
          <w:sz w:val="16"/>
        </w:rPr>
      </w:pPr>
      <w:r w:rsidRPr="00744C0D">
        <w:rPr>
          <w:sz w:val="16"/>
        </w:rPr>
        <w:t xml:space="preserve">Over the past years, the proliferation of space activities and the diversification of space actors have offered plenty of opportunities but also posed challenges to outer space’s long-term sustainability. The rapidly transforming space sector and growing global space economy have enabled many satellite </w:t>
      </w:r>
      <w:r w:rsidRPr="00257E1A">
        <w:rPr>
          <w:sz w:val="16"/>
        </w:rPr>
        <w:t xml:space="preserve">applications and services, while outer space and orbital slots have become more congested with an increasing space debris population. </w:t>
      </w:r>
      <w:r w:rsidRPr="00257E1A">
        <w:rPr>
          <w:rStyle w:val="StyleUnderline"/>
        </w:rPr>
        <w:t xml:space="preserve">The </w:t>
      </w:r>
      <w:r w:rsidRPr="00257E1A">
        <w:rPr>
          <w:rStyle w:val="Emphasis"/>
        </w:rPr>
        <w:t>commercialization</w:t>
      </w:r>
      <w:r w:rsidRPr="00257E1A">
        <w:rPr>
          <w:rStyle w:val="StyleUnderline"/>
        </w:rPr>
        <w:t xml:space="preserve"> of space activities </w:t>
      </w:r>
      <w:r w:rsidRPr="00257E1A">
        <w:rPr>
          <w:rStyle w:val="Emphasis"/>
        </w:rPr>
        <w:t>has denounced a growing interest in private</w:t>
      </w:r>
      <w:r w:rsidRPr="00257E1A">
        <w:rPr>
          <w:rStyle w:val="StyleUnderline"/>
        </w:rPr>
        <w:t xml:space="preserve">, non-governmental </w:t>
      </w:r>
      <w:r w:rsidRPr="00257E1A">
        <w:rPr>
          <w:rStyle w:val="Emphasis"/>
        </w:rPr>
        <w:t>uses of</w:t>
      </w:r>
      <w:r w:rsidRPr="00257E1A">
        <w:rPr>
          <w:rStyle w:val="StyleUnderline"/>
        </w:rPr>
        <w:t xml:space="preserve"> outer </w:t>
      </w:r>
      <w:r w:rsidRPr="00257E1A">
        <w:rPr>
          <w:rStyle w:val="Emphasis"/>
        </w:rPr>
        <w:t>space</w:t>
      </w:r>
      <w:r w:rsidRPr="00257E1A">
        <w:rPr>
          <w:rStyle w:val="StyleUnderline"/>
        </w:rPr>
        <w:t>, including space resources.</w:t>
      </w:r>
      <w:r w:rsidRPr="00257E1A">
        <w:rPr>
          <w:sz w:val="16"/>
        </w:rPr>
        <w:t xml:space="preserve"> As such, outer space continues to prove itself as a strategic domain from scientific, economic, and security standpoints. </w:t>
      </w:r>
      <w:r w:rsidRPr="00257E1A">
        <w:rPr>
          <w:rStyle w:val="StyleUnderline"/>
        </w:rPr>
        <w:t xml:space="preserve">As far as international law is concerned, novel </w:t>
      </w:r>
      <w:r w:rsidRPr="00257E1A">
        <w:rPr>
          <w:rStyle w:val="Emphasis"/>
        </w:rPr>
        <w:t xml:space="preserve">debates have emerged about the ontological nature of </w:t>
      </w:r>
      <w:r w:rsidRPr="00257E1A">
        <w:rPr>
          <w:rStyle w:val="StyleUnderline"/>
        </w:rPr>
        <w:t xml:space="preserve">outer </w:t>
      </w:r>
      <w:r w:rsidRPr="00257E1A">
        <w:rPr>
          <w:rStyle w:val="Emphasis"/>
        </w:rPr>
        <w:t>space</w:t>
      </w:r>
      <w:r w:rsidRPr="00257E1A">
        <w:rPr>
          <w:rStyle w:val="StyleUnderline"/>
        </w:rPr>
        <w:t xml:space="preserve">. Incredibly vast, magnificent, and complex by nature, it constitutes a unique domain, unlike anywhere else on Earth. </w:t>
      </w:r>
      <w:r w:rsidRPr="00257E1A">
        <w:rPr>
          <w:sz w:val="16"/>
        </w:rPr>
        <w:t>Throughout the years, outer space has been subject to a specific international framework based on legal principles established at the dawn of the Space Age, notably open access to and non-appropriation of outer space. Space law treaties and international instruments govern space activities and provide relevant input concerning the legal status of outer space. The 1967 Outer Space Treaty (OST), in its first article, solemnly</w:t>
      </w:r>
      <w:r w:rsidRPr="00744C0D">
        <w:rPr>
          <w:sz w:val="16"/>
        </w:rPr>
        <w:t xml:space="preserve"> declares that the exploration and use of outer space “shall be the province of mankind”. Therefore, a common interest and shared fate await humankind as we advance through the cosmos. Collective action, based on international cooperation and mutual assistance, is of the essence. Nevertheless, a universal definition and delimitation of outer space, as a distinct domain on Planet Earth, remains to be multilaterally accorded (Bittencourt, 2015). Given the evolving nature of space activities and economy, the legal status of outer space has led to intensive debates in various fora. </w:t>
      </w:r>
      <w:r w:rsidRPr="00744C0D">
        <w:rPr>
          <w:rStyle w:val="StyleUnderline"/>
        </w:rPr>
        <w:t xml:space="preserve">By constituting </w:t>
      </w:r>
      <w:r w:rsidRPr="00744C0D">
        <w:rPr>
          <w:rStyle w:val="Emphasis"/>
          <w:highlight w:val="yellow"/>
        </w:rPr>
        <w:t>a resource domain to which all nations have access, but to which none</w:t>
      </w:r>
      <w:r w:rsidRPr="00744C0D">
        <w:rPr>
          <w:rStyle w:val="StyleUnderline"/>
        </w:rPr>
        <w:t xml:space="preserve"> has the right to </w:t>
      </w:r>
      <w:r w:rsidRPr="00744C0D">
        <w:rPr>
          <w:rStyle w:val="Emphasis"/>
          <w:highlight w:val="yellow"/>
        </w:rPr>
        <w:t>claim sovereignty,</w:t>
      </w:r>
      <w:r w:rsidRPr="00744C0D">
        <w:rPr>
          <w:rStyle w:val="StyleUnderline"/>
        </w:rPr>
        <w:t xml:space="preserve"> outer </w:t>
      </w:r>
      <w:r w:rsidRPr="00744C0D">
        <w:rPr>
          <w:rStyle w:val="Emphasis"/>
          <w:highlight w:val="yellow"/>
        </w:rPr>
        <w:t>space may be understood as</w:t>
      </w:r>
      <w:r w:rsidRPr="00744C0D">
        <w:rPr>
          <w:rStyle w:val="StyleUnderline"/>
        </w:rPr>
        <w:t xml:space="preserve"> an example of </w:t>
      </w:r>
      <w:r w:rsidRPr="00744C0D">
        <w:rPr>
          <w:rStyle w:val="Emphasis"/>
          <w:highlight w:val="yellow"/>
        </w:rPr>
        <w:t xml:space="preserve">global commons </w:t>
      </w:r>
      <w:r w:rsidRPr="00744C0D">
        <w:rPr>
          <w:rStyle w:val="StyleUnderline"/>
        </w:rPr>
        <w:t xml:space="preserve">– similarly to the high seas, deep seabed, and Antarctica </w:t>
      </w:r>
      <w:r w:rsidRPr="00744C0D">
        <w:rPr>
          <w:sz w:val="16"/>
        </w:rPr>
        <w:t xml:space="preserve">(Buck, 1998, p. 6). Therefore, outer space and its natural resources, including those located at the Moon and other celestial bodies, are not subject to national appropriation by any means. </w:t>
      </w:r>
      <w:r w:rsidRPr="00744C0D">
        <w:rPr>
          <w:rStyle w:val="StyleUnderline"/>
        </w:rPr>
        <w:t>The legal status of outer space as a global commons is of extraordinary importance and relevance for space law and space policy.</w:t>
      </w:r>
      <w:r w:rsidRPr="00744C0D">
        <w:rPr>
          <w:sz w:val="16"/>
        </w:rPr>
        <w:t xml:space="preserve"> Indeed, it influences the application and interpretation of the legal framework developed for the governance of outer space activities, vis-à-vis the domain and its resource units. To accurately assess this scenario, a comparative approach is followed. The specific features of global commons and legal ramifications justify further appraisal to comprehend definitions and correlated concepts well.</w:t>
      </w:r>
      <w:r>
        <w:rPr>
          <w:sz w:val="16"/>
        </w:rPr>
        <w:t xml:space="preserve">¶ </w:t>
      </w:r>
      <w:r w:rsidRPr="00744C0D">
        <w:rPr>
          <w:sz w:val="16"/>
          <w:szCs w:val="16"/>
        </w:rPr>
        <w:t>2. Key problems and conflicts</w:t>
      </w:r>
      <w:r>
        <w:rPr>
          <w:sz w:val="16"/>
          <w:szCs w:val="16"/>
        </w:rPr>
        <w:t xml:space="preserve">¶ </w:t>
      </w:r>
      <w:r w:rsidRPr="00744C0D">
        <w:rPr>
          <w:rStyle w:val="Emphasis"/>
          <w:highlight w:val="yellow"/>
        </w:rPr>
        <w:t>In space law</w:t>
      </w:r>
      <w:r w:rsidRPr="00744C0D">
        <w:rPr>
          <w:rStyle w:val="StyleUnderline"/>
        </w:rPr>
        <w:t xml:space="preserve"> as in space policy, </w:t>
      </w:r>
      <w:r w:rsidRPr="00744C0D">
        <w:rPr>
          <w:rStyle w:val="Emphasis"/>
          <w:highlight w:val="yellow"/>
        </w:rPr>
        <w:t>words matter. By legally classifying outer space as a global commons,</w:t>
      </w:r>
      <w:r w:rsidRPr="00744C0D">
        <w:rPr>
          <w:rStyle w:val="StyleUnderline"/>
        </w:rPr>
        <w:t xml:space="preserve"> relevant political </w:t>
      </w:r>
      <w:r w:rsidRPr="00744C0D">
        <w:rPr>
          <w:rStyle w:val="Emphasis"/>
          <w:highlight w:val="yellow"/>
        </w:rPr>
        <w:t>consequences</w:t>
      </w:r>
      <w:r w:rsidRPr="00257E1A">
        <w:rPr>
          <w:rStyle w:val="Emphasis"/>
        </w:rPr>
        <w:t xml:space="preserve">, both national and international, naturally </w:t>
      </w:r>
      <w:r w:rsidRPr="00744C0D">
        <w:rPr>
          <w:rStyle w:val="Emphasis"/>
          <w:highlight w:val="yellow"/>
        </w:rPr>
        <w:t>ensue</w:t>
      </w:r>
      <w:r w:rsidRPr="00744C0D">
        <w:rPr>
          <w:rStyle w:val="StyleUnderline"/>
        </w:rPr>
        <w:t>.</w:t>
      </w:r>
      <w:r w:rsidRPr="00744C0D">
        <w:rPr>
          <w:sz w:val="16"/>
        </w:rPr>
        <w:t xml:space="preserve"> In order to properly understand the nuances and avoid misconceptions, one should revisit principles of international law. Centuries of customs, often based on Roman law concepts, have led to important regulations and definitions. The proper evaluation of those concepts may illuminate the path forwards.</w:t>
      </w:r>
      <w:r>
        <w:rPr>
          <w:sz w:val="16"/>
        </w:rPr>
        <w:t xml:space="preserve">¶ </w:t>
      </w:r>
      <w:r w:rsidRPr="00744C0D">
        <w:rPr>
          <w:sz w:val="16"/>
          <w:szCs w:val="16"/>
        </w:rPr>
        <w:t>Global Commons Concept</w:t>
      </w:r>
      <w:r>
        <w:rPr>
          <w:sz w:val="16"/>
          <w:szCs w:val="16"/>
        </w:rPr>
        <w:t xml:space="preserve">¶ </w:t>
      </w:r>
      <w:r w:rsidRPr="00744C0D">
        <w:rPr>
          <w:sz w:val="16"/>
        </w:rPr>
        <w:t xml:space="preserve">Legally defining “global commons” has proved to be a challenge, leading to incompatible views. </w:t>
      </w:r>
      <w:r w:rsidRPr="00744C0D">
        <w:rPr>
          <w:rStyle w:val="Emphasis"/>
          <w:highlight w:val="yellow"/>
        </w:rPr>
        <w:t>Global commons are</w:t>
      </w:r>
      <w:r w:rsidRPr="00744C0D">
        <w:rPr>
          <w:rStyle w:val="StyleUnderline"/>
        </w:rPr>
        <w:t xml:space="preserve"> socially constructed, as explained by John Vogler, being determined by “shifts in human knowledge, capability and perceptions of scarcity” (Vogler, 2012, p. 61). As a legal concept, its roots may be traced back to Roman law. </w:t>
      </w:r>
      <w:r w:rsidRPr="00744C0D">
        <w:rPr>
          <w:sz w:val="16"/>
        </w:rPr>
        <w:t xml:space="preserve">More specifically, reference should be made to the notions of res nullius and res communis, applicable to domains not subjected to rights of a specific subject. Res nullius is understood as encompassing things belonging to no one or areas </w:t>
      </w:r>
      <w:r w:rsidRPr="00744C0D">
        <w:rPr>
          <w:sz w:val="16"/>
        </w:rPr>
        <w:lastRenderedPageBreak/>
        <w:t xml:space="preserve">free to be acquired by occupatio.1 Terrae nullius, a derivative international law concept, is applicable to unclaimed areas that may be occupied by states (Rose, 2003; Shaw, 2017, p. 372). </w:t>
      </w:r>
      <w:r w:rsidRPr="00744C0D">
        <w:rPr>
          <w:rStyle w:val="Emphasis"/>
          <w:highlight w:val="yellow"/>
        </w:rPr>
        <w:t>Not subjected to exclusive sovereignty</w:t>
      </w:r>
      <w:r w:rsidRPr="00744C0D">
        <w:rPr>
          <w:rStyle w:val="StyleUnderline"/>
        </w:rPr>
        <w:t xml:space="preserve">, global commons </w:t>
      </w:r>
      <w:r w:rsidRPr="00744C0D">
        <w:rPr>
          <w:rStyle w:val="Emphasis"/>
          <w:highlight w:val="yellow"/>
        </w:rPr>
        <w:t>may either be unowned</w:t>
      </w:r>
      <w:r w:rsidRPr="00744C0D">
        <w:rPr>
          <w:rStyle w:val="StyleUnderline"/>
        </w:rPr>
        <w:t xml:space="preserve"> resource </w:t>
      </w:r>
      <w:r w:rsidRPr="00744C0D">
        <w:rPr>
          <w:rStyle w:val="Emphasis"/>
          <w:highlight w:val="yellow"/>
        </w:rPr>
        <w:t>domains, or deemed as belonging to the international community in totum</w:t>
      </w:r>
      <w:r w:rsidRPr="00744C0D">
        <w:rPr>
          <w:sz w:val="16"/>
        </w:rPr>
        <w:t xml:space="preserve">. </w:t>
      </w:r>
      <w:r w:rsidRPr="00744C0D">
        <w:rPr>
          <w:rStyle w:val="StyleUnderline"/>
        </w:rPr>
        <w:t xml:space="preserve">Soroos explains that unowned domains can be regarded as commons if generally understood that </w:t>
      </w:r>
      <w:r w:rsidRPr="00744C0D">
        <w:rPr>
          <w:rStyle w:val="Emphasis"/>
          <w:highlight w:val="yellow"/>
        </w:rPr>
        <w:t>they cannot be claimed by any individual actor,</w:t>
      </w:r>
      <w:r w:rsidRPr="00744C0D">
        <w:rPr>
          <w:rStyle w:val="StyleUnderline"/>
        </w:rPr>
        <w:t xml:space="preserve"> neither partially nor as a whole. </w:t>
      </w:r>
      <w:r w:rsidRPr="00744C0D">
        <w:rPr>
          <w:rStyle w:val="Emphasis"/>
          <w:highlight w:val="yellow"/>
        </w:rPr>
        <w:t>A regulatory scheme may</w:t>
      </w:r>
      <w:r w:rsidRPr="00744C0D">
        <w:rPr>
          <w:rStyle w:val="Emphasis"/>
        </w:rPr>
        <w:t xml:space="preserve"> </w:t>
      </w:r>
      <w:r w:rsidRPr="00744C0D">
        <w:rPr>
          <w:rStyle w:val="StyleUnderline"/>
        </w:rPr>
        <w:t xml:space="preserve">eventually </w:t>
      </w:r>
      <w:r w:rsidRPr="00744C0D">
        <w:rPr>
          <w:rStyle w:val="Emphasis"/>
          <w:highlight w:val="yellow"/>
        </w:rPr>
        <w:t>be accorded by users, to reflect shared interests</w:t>
      </w:r>
      <w:r w:rsidRPr="00744C0D">
        <w:rPr>
          <w:rStyle w:val="StyleUnderline"/>
        </w:rPr>
        <w:t>. On the other hand, domains considered as belonging to the international community presume that all states are their partial owners, therefore legitimized to take part in the decision-making processes related to its uses</w:t>
      </w:r>
      <w:r w:rsidRPr="00744C0D">
        <w:rPr>
          <w:sz w:val="16"/>
        </w:rPr>
        <w:t xml:space="preserve"> (Soroos, 2001, p. 45).</w:t>
      </w:r>
    </w:p>
    <w:p w14:paraId="2FD043A9" w14:textId="77777777" w:rsidR="00F63960" w:rsidRPr="0008548D" w:rsidRDefault="00F63960" w:rsidP="00F63960">
      <w:pPr>
        <w:rPr>
          <w:b/>
          <w:iCs/>
          <w:highlight w:val="yellow"/>
          <w:u w:val="single"/>
        </w:rPr>
      </w:pPr>
    </w:p>
    <w:p w14:paraId="2CE30642" w14:textId="7EB54214" w:rsidR="009A4108" w:rsidRDefault="003B2CD5" w:rsidP="003B2CD5">
      <w:pPr>
        <w:pStyle w:val="Heading1"/>
      </w:pPr>
      <w:r>
        <w:lastRenderedPageBreak/>
        <w:t>1ar cards</w:t>
      </w:r>
    </w:p>
    <w:p w14:paraId="0AB4F487" w14:textId="223EF178" w:rsidR="003B2CD5" w:rsidRDefault="003B2CD5" w:rsidP="003B2CD5">
      <w:pPr>
        <w:pStyle w:val="Heading2"/>
      </w:pPr>
      <w:r>
        <w:lastRenderedPageBreak/>
        <w:t>Asteroid mining</w:t>
      </w:r>
    </w:p>
    <w:p w14:paraId="2EC941BA" w14:textId="77777777" w:rsidR="003B2CD5" w:rsidRPr="00744C0D" w:rsidRDefault="003B2CD5" w:rsidP="003B2CD5">
      <w:pPr>
        <w:pStyle w:val="Heading4"/>
        <w:numPr>
          <w:ilvl w:val="1"/>
          <w:numId w:val="15"/>
        </w:numPr>
        <w:tabs>
          <w:tab w:val="num" w:pos="360"/>
        </w:tabs>
        <w:ind w:left="0" w:firstLine="0"/>
        <w:rPr>
          <w:rFonts w:cs="Calibri"/>
        </w:rPr>
      </w:pPr>
      <w:r w:rsidRPr="00744C0D">
        <w:rPr>
          <w:rFonts w:cs="Calibri"/>
        </w:rPr>
        <w:t>Resource extraction should not be considered appropriation – treaties and legal doctrines prove. Wrench 19</w:t>
      </w:r>
    </w:p>
    <w:p w14:paraId="79EB54C2" w14:textId="77777777" w:rsidR="003B2CD5" w:rsidRPr="00744C0D" w:rsidRDefault="003B2CD5" w:rsidP="003B2CD5">
      <w:r w:rsidRPr="00744C0D">
        <w:t xml:space="preserve">Wrench ’19 - John G. Wrench [attorney at the Institute for Justice], “Non-Appropriation, No Problem: The Outer Space Treaty Is Ready for Asteroid Mining,” 51 Case W. Res. J. Int'l L. 437 (2019)Available at: </w:t>
      </w:r>
      <w:hyperlink r:id="rId48" w:history="1">
        <w:r w:rsidRPr="00744C0D">
          <w:rPr>
            <w:rStyle w:val="Hyperlink"/>
          </w:rPr>
          <w:t>https://scholarlycommons.law.case.edu/jil/vol51/iss1/11</w:t>
        </w:r>
      </w:hyperlink>
      <w:r w:rsidRPr="00744C0D">
        <w:t xml:space="preserve">  AT</w:t>
      </w:r>
    </w:p>
    <w:p w14:paraId="541F8EA9" w14:textId="77777777" w:rsidR="003B2CD5" w:rsidRPr="00744C0D" w:rsidRDefault="003B2CD5" w:rsidP="003B2CD5">
      <w:pPr>
        <w:rPr>
          <w:sz w:val="12"/>
        </w:rPr>
      </w:pPr>
      <w:r w:rsidRPr="00744C0D">
        <w:rPr>
          <w:sz w:val="12"/>
        </w:rPr>
        <w:t xml:space="preserve">II. </w:t>
      </w:r>
      <w:r w:rsidRPr="00744C0D">
        <w:rPr>
          <w:rStyle w:val="StyleUnderline"/>
        </w:rPr>
        <w:t>Legal Regimes Distinguishing Resource Extraction from Appropriation¶</w:t>
      </w:r>
      <w:r w:rsidRPr="00744C0D">
        <w:rPr>
          <w:sz w:val="12"/>
        </w:rPr>
        <w:t xml:space="preserve"> Although the OST does not provide a comprehensive guideline for resource extraction in outer space, its foundational logic provides a workable distinction between ownership and use. This part explores three property regimes developed under the same fundamental constraints as the non-appropriation principle: the United Nations Convention on the Law of the Sea (“UNCLOS”), the Antarctica Treaty System, and the prior appropriation doctrine as applied in United States water law.63 Under each regime, parties may establish some form of ownership in extracted resources despite being restricted from claiming sovereignty over the underlying land. ¶ Each section includes a brief discussion of the property regime’s history, its major traits and their relationship to the overarching characteristics of the non-appropriation principle. This part further describes how each property regime fits within the non-appropriation principle’s prohibition on claims to land, while prohibiting waste, separating land ownership from rights to extracted resources, enforcing liability for destruction or damage, and establishing a simple regulatory system to manage claims. ¶ A. The Law(s) of the Sea: UNCLOS and the Seabed Act ¶ International and national maritime laws addressing resource extraction deal with many of the same obstacles present in outer space. Like outer space, “[t]he seabed is rich in minerals…[c]ollecting and mining these minerals is expensive and requires sophisticated technology capable of reaching the great depths.”64 Additionally, the international regulatory regime created to address seabed mining contemplates widely applicable issues including the “protection and preservation of the marine environment,” “promot[ing] the peaceful uses of the seas and oceans,” and the “efficient utilization” of the resources therein.65 Although international law forms the backbone of seabed mining regulations, individual nations have concurrently developed their own regulations. ¶ The foremost international maritime law is the United Nations Convention on the Law of the Sea (“UNCLOS”).66 The current iteration of UNCLOS came into force in 1982, replacing decades of international treaties that had not addressed seabed mining.67 The 1982 UNCLOS established the International Seabed Authority (“ISA”), a body responsible for managing seabed mining through regulations and licensing.68 UNCLOS further established a dispute resolution system through the Seabed Disputes Chamber of the International Tribunal.69 ¶ The United States found some features of the 1982 UNCLOS objectionable. Originally, the ISA was empowered to create an entity called the “Enterprise”, which would conduct mining operations for the benefit of developing countries alongside private mining operations.70 Under this agreement, private businesses were compelled to provide the Enterprise with the location of discovered minerals and the technology necessary to extract them, all in addition to the funding from member states.71 Some of these requirements proved controversial. ¶ Several developed nations subsequently rejected UNCLOS and signed the “Provisional Understanding Regarding Deep Seabed Matters” (“The Provisional Understanding”) in 1984.72 The Provisional Understanding established “…procedures to follow in order to avoid overlapping claims to seabed sites,” while encouraging reciprocal recognition of other party’s claims.73 The Group of 77—a coalition of developing countries—and the ISA, criticized the Provisional Understanding on the grounds that it established an illegal regime.74 As one critic concedes, however, the Provisional Understanding is probably legal because it “…neither claims sovereignty or ownership…nor grants exclusive rights…” to seabed areas.75 ¶ UNCLOS was renegotiated in 1994, in part due to the changes brought about by the end of the Cold War and decreased focus on deep-seabed mining.76 Among the changes, it secured permanent seats on the ISA Council for the United States and Russia,77 created a Finance Committee consisting of the five parties with the largest financial contributions,78 removed mandatory funding of the Enterprise,79 made technology-sharing optional,80 and made development plans a prerequisite for granting permits for resource mining.81 Despite these changes, the United States “remains the only major seafaring nation” that has not ratified 1994 Agreement.82 ¶ The United States’ disagreements with the 1982 UNCLOS led to the creation of an interim national law called the Deep Seabed Hard Mineral Resources Act (“Seabed Act”).83 While the Seabed Act is intended as a temporary regime, it acknowledges that a functional international regime may take some time to develop.84 Under the Seabed Act, companies are required to obtain licenses and permits to explore and extract, both of which expire after a period of years.85 ¶ The United States has not entirely abandoned UNCLOS. Addressing recent conflicts in the South China Sea, President Trump called for “…claimants to clarify and comport their maritime claims in accordance with the international law of the sea as reflected in the 1982 United Nations Convention on the Law of the Sea…”86 Additionally, several United States presidents have supported ratification of UNCLOS since the 1994 Agreement.87 And, although President Reagan was dissatisfied with the 1982 UNCLOS, changes incorporated into the 1994 Agreement have addressed those complaints.88 ¶ </w:t>
      </w:r>
      <w:r w:rsidRPr="00744C0D">
        <w:rPr>
          <w:rStyle w:val="StyleUnderline"/>
        </w:rPr>
        <w:t xml:space="preserve">The laws regulating resource extraction in the sea share major traits with the non-appropriation principle, as UNCLOS and </w:t>
      </w:r>
      <w:r w:rsidRPr="00744C0D">
        <w:rPr>
          <w:rStyle w:val="StyleUnderline"/>
          <w:highlight w:val="yellow"/>
        </w:rPr>
        <w:t>the Seabed Act allow parties to establish property rights in extracted resources without violating the non-appropriation principle</w:t>
      </w:r>
      <w:r w:rsidRPr="00744C0D">
        <w:rPr>
          <w:rStyle w:val="StyleUnderline"/>
        </w:rPr>
        <w:t xml:space="preserve">. First, under both regimes, </w:t>
      </w:r>
      <w:r w:rsidRPr="00744C0D">
        <w:rPr>
          <w:rStyle w:val="StyleUnderline"/>
          <w:highlight w:val="yellow"/>
        </w:rPr>
        <w:t>parties extract minerals without laying claim to underlying land.</w:t>
      </w:r>
      <w:r w:rsidRPr="00744C0D">
        <w:rPr>
          <w:rStyle w:val="StyleUnderline"/>
        </w:rPr>
        <w:t>89 Secondly, UNCLOS’s requirement for development plans and the Seabed Act’s licensing-system place some pressure on parties to extract resources or forfeit their rights.90 This feature prevents parties from sleeping on a license, thereby encouraging productive use of land</w:t>
      </w:r>
      <w:r w:rsidRPr="00744C0D">
        <w:rPr>
          <w:sz w:val="12"/>
        </w:rPr>
        <w:t xml:space="preserve">. In other words, the licensing system reduces waste and protects against de facto ownership of land resulting from inordinately long periods of occupation. The United States, by adopting both traits from UNCLOS, and voicing its willingness to enter into a robust international regime for resource extraction, indicates support for an international regime reflecting those features. ¶ Even if the United States’ framework under the Seabed Act were adopted as a model for resource extraction in space, it comports with the non-appropriation principle. The United States’ conceptual distinction between land ownership and resource extraction is a gauge for whether it would accept a similar arrangement for space law.91 And, while the United States is only one of many members of the international community, it is difficult to conceive of a successful international agreement without the involvement of the major spacefaring nations. ¶ B. The Antarctic Treaty System ¶ The Antarctic Treaty92 and the subsequent agreements collectively regulating the peaceful use of Antarctica form the “Antarctic Treaty System.”93 The first of these treaties was created in 1959 to preserve environmental integrity and prohibit violence in the region.94 Antarctica’s size, impenetrableness, and vast resource stores have made it a reoccurring model for outer space law.95 While the Antarctic Treaty System shares key features with the law of outer space, its development and subsequent legal regime is distinctive. Several nations made property claims to Antarctica before the first Antarctic Treaty.96 Parties suspended those claims, however, in effort to moderate claims and prevent Antarctica from becoming a site of violent competition.97 Although the 1959 Antarctic Treaty does not directly address resource-mining, parties “…understood that the question of how Antarctic mineral activity was to be regulated…would not go away.”98 ¶ </w:t>
      </w:r>
      <w:r w:rsidRPr="00744C0D">
        <w:rPr>
          <w:rStyle w:val="StyleUnderline"/>
        </w:rPr>
        <w:t>The international community originally attempted to establish a legal regime for Antarctica that distinguished between sovereign claims and resource extraction</w:t>
      </w:r>
      <w:r w:rsidRPr="00744C0D">
        <w:rPr>
          <w:sz w:val="12"/>
        </w:rPr>
        <w:t xml:space="preserve">. The Convention on the Regulation of Antarctic Mineral Resource Act (“CRAMRA”) was the first venture to provide a foundation for an international property regime in Antarctica.99 </w:t>
      </w:r>
      <w:r w:rsidRPr="00744C0D">
        <w:rPr>
          <w:rStyle w:val="StyleUnderline"/>
        </w:rPr>
        <w:t xml:space="preserve">CRAMRA defined, as a means to regulate resource mining, three categories of resource-related activity: “prospecting”, “exploration”, and </w:t>
      </w:r>
      <w:r w:rsidRPr="00744C0D">
        <w:rPr>
          <w:rStyle w:val="StyleUnderline"/>
        </w:rPr>
        <w:lastRenderedPageBreak/>
        <w:t>“development.”</w:t>
      </w:r>
      <w:r w:rsidRPr="00744C0D">
        <w:rPr>
          <w:sz w:val="12"/>
        </w:rPr>
        <w:t xml:space="preserve">100 The Regulatory Committee, one of several institutions established under CRAMRA, was responsible for considering permit applications for the “exploration and development” of mineral resources.101 </w:t>
      </w:r>
      <w:r w:rsidRPr="00744C0D">
        <w:rPr>
          <w:rStyle w:val="StyleUnderline"/>
        </w:rPr>
        <w:t>Unlike exploration and development, prospecting does not require the authorization of any of the institutions.102</w:t>
      </w:r>
      <w:r w:rsidRPr="00744C0D">
        <w:rPr>
          <w:sz w:val="12"/>
        </w:rPr>
        <w:t xml:space="preserve"> ¶ CRAMRA’s definition of “prospecting” is crucial for understanding the role of property rights under the regime. Prospecting includes the investigation of areas for potential exploration or development using a variety of sensing technologies.103 Dredging, excavation, or drilling, however, are defined as “prospecting” only if used for the purpose of obtaining small-scale samples or drilling less than 25 metres.104 Furthermore, activities defined as “prospecting” do not confer property rights to mineral resources.105 As a result, an operator gains property rights to mineral resources “…at the exact point where prospecting activities cease to be prospecting activities and become exploration or development activities.”106 ¶ The six years of negotiation that culminated in CRAMRA107 were not ultimately fruitful. Under its terms, CRAMRA could not enter into force unless all states with territorial claims to Antarctica were parties to it.108 Australia and France, while supportive of CRAMRA during negotiations, stated in 1989 that they would not ratify the Convention.109 Consequently, no nations have ratified CRAMRA.110 ¶ Antarctic resource extraction is currently regulated under the Protocol on Environmental Protection to the Antarctic Treaty, also known as the “Madrid Protocol”.111 Concluded in 1991, the Madrid Protocol prohibits “…[a]ny activity relating to mineral resources, other than scientific research…”112 Parties to the Madrid Protocol are able to reconsider the ban on commercial resource mining in 2048 and have reaffirmed the moratorium as recently as 2016.113 ¶ Although it was not ultimately adopted, CRAMRA’s negotiation provides insight into the international community’s willingness to create a resource extraction regime starting from a premise that ownership and use are distinct. Although CRAMRA permitted nations to extract resources, extraction explicitly could not amount to ownership of the underlying land.114 From that premise, CRAMRA does not grant property rights to parties who have merely used sensing technologies on the land, requiring more significant labor through activities like drilling or dredging.115 ¶ While the Madrid Protocol removes commercial resource extraction as an option, it allows nations to extract scientific samples without requiring—or permitting—claims of sovereignty.116 Because the Madrid Protocol “neither modif[ies] nor amends” the framework laid out by the Antarctic Treaty,117 extraction—whether scientific or commercial—remains separate from the ownership of underlying land. While the international community chose to restrict commercial extraction in Antarctica, that arrangement is a result of environmental concerns and not the failure to develop a property regime.118 CRAMRA’s successful illustration of a property regime remains instructive for the international community as it develops finer points of space law. ¶ C. The Prior Appropriation Doctrine ¶ The prior appropriation doctrine is a system developed in the American West to simplify miners’ water claims, granting rights to use the water to whoever made beneficial use of it first.119 The prior appropriation doctrine is useful for analyzing the law of outer space in both functional and abstract ways. First, scientists expect that water will be necessary for creating fuel and breathable air in outer space.120 ¶ Secondly, the prior appropriation doctrine evolved to resolve various claims in the water-scarce American West.121 The prior appropriation doctrine developed against the backdrop of commercial/private tension, embodies deeply-rooted American ethical assumptions, and contemplates the “public ownership” of underlying land.122 The prior appropriation doctrine is also “a rule of scarcity, not plenty,” and is therefore concerned with managing limited resources.123 These features of the doctrine make it a useful comparison to the demands of outer space resource extraction. Most importantly, the prior appropriation doctrine has resulted in an intuitive set of rules distinguishing between ownership and productive use. ¶ </w:t>
      </w:r>
      <w:r w:rsidRPr="00744C0D">
        <w:rPr>
          <w:rStyle w:val="StyleUnderline"/>
        </w:rPr>
        <w:t xml:space="preserve">The prior appropriation doctrine grew out of the chaos and grit that embodied the mining rush to the Western United States.124 The unpredictable availability of water, combined with the need for a simple adjudicative system, led </w:t>
      </w:r>
      <w:r w:rsidRPr="00744C0D">
        <w:rPr>
          <w:rStyle w:val="StyleUnderline"/>
          <w:highlight w:val="yellow"/>
        </w:rPr>
        <w:t>early miners and farmers to adopt an “intuitive common sense” system of rules to resolve water claims</w:t>
      </w:r>
      <w:r w:rsidRPr="00744C0D">
        <w:rPr>
          <w:rStyle w:val="StyleUnderline"/>
        </w:rPr>
        <w:t xml:space="preserve">.125 Essentially, the first claimant to make actual beneficial use of the water has senior rights to later users.126 </w:t>
      </w:r>
      <w:r w:rsidRPr="00744C0D">
        <w:rPr>
          <w:rStyle w:val="StyleUnderline"/>
          <w:highlight w:val="yellow"/>
        </w:rPr>
        <w:t>Claimants do not own the land,</w:t>
      </w:r>
      <w:r w:rsidRPr="00744C0D">
        <w:rPr>
          <w:rStyle w:val="StyleUnderline"/>
        </w:rPr>
        <w:t xml:space="preserve"> however, </w:t>
      </w:r>
      <w:r w:rsidRPr="00744C0D">
        <w:rPr>
          <w:rStyle w:val="StyleUnderline"/>
          <w:highlight w:val="yellow"/>
        </w:rPr>
        <w:t>but rather the right to use the water</w:t>
      </w:r>
      <w:r w:rsidRPr="00744C0D">
        <w:rPr>
          <w:sz w:val="12"/>
        </w:rPr>
        <w:t xml:space="preserve">.127 Consequently, claimants may transfer their rights to the use but the public ultimately owns the water.128 Each of these features is explored below. ¶ Central to the prior appropriation doctrine, and exemplified in Colorado’s constitution, is that water is a publicly owned resource.129 This concept stands in contrast to the idea that ownership of land is tied to ownership of the land’s water.130 The prior appropriation doctrine severs those concepts from one another, justifying citizens’ right to appropriate water while nullifying riparian claims.131 This feature is a doctrinal cornerstone of the prior appropriation system, as it distributes ultimate decision-making authority to the public while protecting valid claims. ¶ Not all claimants establish or retain valid claims to use diverted water. Prior appropriation requires a claimant to make actual beneficial use of the water to obtain and retain their right to continue that use.132 In the context of the doctrine’s development, this stipulation prevented vast, speculative hoarding of property for the purpose of a later sale.133 This emphasis on “antispeculation” is derived from the era’s intensely anti-monopoly sentiment, favoring the distribution of water rights to those who could make actual use of the land.134 Therefore, claimants must define the location and expected scope of their use to establish or transfer rights.135 ¶ Parties who establish valid claims are protected against other future users who seek to use the same water at the earlier claimant’s detriment. Parties who make actual beneficial use of water have “seniority” over later claimants who use the water for similar purposes.136 In this system of senior and junior claimants, the latter must yield their use to senior claimants in times of water scarcity.137 Although this arrangement protects senior claimants from losing their use in times of scarcity, one scholar notes that claims often avoid their seniority.138 Furthermore, some states simply prohibit senior claimants from enforcing their priority over junior claimants when doing so would be futile.139 Claimants may actually benefit from avoiding enforcement, especially when enforcement is sought solely to prove seniority at the expense of junior claimants.140 Because prior appropriation separates the ownership of land from rights to beneficial use of water, claimants can freely transfer their validly established water rights.141 The technology claimants use to divert water for “out-of-stream” uses, like mining and agriculture, helps make the use “measurable and enforceable,” and therefore identifiable for transfer.142 Although transfers require new users to satisfy the actual beneficial-use requirement, the arrangement is flexible enough to facilitate the temporary transfer of use rights.143 ¶ The prior appropriation’s system of senior and junior claimants is enforced and regulated by a centralized authority. Acting in a “trusteeship role,” the government is responsible for enforcing validly established water rights.144 Although enforcement is sometimes avoided, as noted above, the value of a senior claim is necessarily dependent on the enforcement of those rights, especially when water is in short supply.145 In addition to adjudicating claims, the government is responsible for the “conservation of the public’s water resources.”146 Here, the implications of the “public ownership” concept is significant: ¶ …[T]he state assumed a trusteeship role to administer the waters of the state for the benefit of the public. As such, it became responsible not only for minimal administrative functions but also for administration of the kind a trustee owes to the beneficiary of the trust. Its responsibilities include, first and foremost, the conservation of the estate and avoidance of waste; second, the promotion of beneficial use by assisting the appropriator in achieving use objectives to the maximum extent feasible; third, the representation of beneficiaries in a parens patriae capacity and maintaining the use regimen on the river system; and fourth, the promotion of efficiency and prudence of the kind expected of a trustee.147 ¶ The prior appropriation doctrine serves as a unique example for space law because of how it conceptualizes land ownership. </w:t>
      </w:r>
      <w:r w:rsidRPr="00744C0D">
        <w:rPr>
          <w:rStyle w:val="StyleUnderline"/>
          <w:highlight w:val="yellow"/>
        </w:rPr>
        <w:t>Underlying land is available for use not because it is “unowned,” but because it is owned by a community</w:t>
      </w:r>
      <w:r w:rsidRPr="00744C0D">
        <w:rPr>
          <w:rStyle w:val="StyleUnderline"/>
        </w:rPr>
        <w:t xml:space="preserve"> who has the right to make productive use of it.148 Because the community owns the land, claimants have an obligation to use the land properly and the government is responsible for stewardship</w:t>
      </w:r>
      <w:r w:rsidRPr="00744C0D">
        <w:rPr>
          <w:sz w:val="12"/>
        </w:rPr>
        <w:t xml:space="preserve">.149 This framing fits neatly with proponents of the idea that outer space is collectively “owned” by the international community. Regardless, stewardship and government ownership do not necessarily displace the potential for productive use. ¶ Parties do not violate the non-appropriation principle simply by extracting—or as here, diverting—resources from the land. At no point does extraction equate to a sovereign claim over the land. In instances where non-productive use or the like violates those principles, property rights disappear. Furthermore, the OST encourages the idea that outer space is to be used to benefit the broader international community.150 The prior appropriation doctrine illustrates that parties can establish and transfer robust property rights in resources independent from land-ownership, while promoting beneficial use.¶ Conclusion ¶ </w:t>
      </w:r>
      <w:r w:rsidRPr="00744C0D">
        <w:rPr>
          <w:rStyle w:val="StyleUnderline"/>
          <w:highlight w:val="yellow"/>
        </w:rPr>
        <w:t>The non-appropriation doctrine restricts parties from making sovereign claims over underlying land</w:t>
      </w:r>
      <w:r w:rsidRPr="00744C0D">
        <w:rPr>
          <w:rStyle w:val="StyleUnderline"/>
        </w:rPr>
        <w:t xml:space="preserve">—the same restriction embedded in each of previous section’s legal regimes. </w:t>
      </w:r>
      <w:r w:rsidRPr="00744C0D">
        <w:rPr>
          <w:rStyle w:val="StyleUnderline"/>
          <w:highlight w:val="yellow"/>
        </w:rPr>
        <w:t xml:space="preserve">Without violating the nonappropriation principle, those </w:t>
      </w:r>
      <w:r w:rsidRPr="00744C0D">
        <w:rPr>
          <w:rStyle w:val="StyleUnderline"/>
          <w:highlight w:val="yellow"/>
        </w:rPr>
        <w:lastRenderedPageBreak/>
        <w:t>regimes grant parties the right to extract resources from land they do not own</w:t>
      </w:r>
      <w:r w:rsidRPr="00744C0D">
        <w:rPr>
          <w:rStyle w:val="StyleUnderline"/>
        </w:rPr>
        <w:t>, transfer that right, and limit wasteful use</w:t>
      </w:r>
      <w:r w:rsidRPr="00744C0D">
        <w:rPr>
          <w:sz w:val="12"/>
        </w:rPr>
        <w:t>. Each system similarly vests an entity with the authority to regulate and enforce those rules. With some tailoring,</w:t>
      </w:r>
      <w:r w:rsidRPr="00744C0D">
        <w:rPr>
          <w:rStyle w:val="StyleUnderline"/>
        </w:rPr>
        <w:t xml:space="preserve"> </w:t>
      </w:r>
      <w:r w:rsidRPr="00744C0D">
        <w:rPr>
          <w:rStyle w:val="StyleUnderline"/>
          <w:highlight w:val="yellow"/>
        </w:rPr>
        <w:t>those rules could graft onto</w:t>
      </w:r>
      <w:r w:rsidRPr="00744C0D">
        <w:rPr>
          <w:rStyle w:val="StyleUnderline"/>
        </w:rPr>
        <w:t xml:space="preserve"> the uniqueness of </w:t>
      </w:r>
      <w:r w:rsidRPr="00744C0D">
        <w:rPr>
          <w:rStyle w:val="StyleUnderline"/>
          <w:highlight w:val="yellow"/>
        </w:rPr>
        <w:t>outer space resource extraction</w:t>
      </w:r>
      <w:r w:rsidRPr="00744C0D">
        <w:rPr>
          <w:rStyle w:val="StyleUnderline"/>
        </w:rPr>
        <w:t>.</w:t>
      </w:r>
    </w:p>
    <w:p w14:paraId="63C24476" w14:textId="6AF44756" w:rsidR="003B2CD5" w:rsidRDefault="003B2CD5" w:rsidP="003B2CD5">
      <w:pPr>
        <w:pStyle w:val="Heading2"/>
      </w:pPr>
      <w:r>
        <w:lastRenderedPageBreak/>
        <w:t>Space based solar</w:t>
      </w:r>
    </w:p>
    <w:p w14:paraId="1434F6C5" w14:textId="77777777" w:rsidR="003B2CD5" w:rsidRPr="00744C0D" w:rsidRDefault="003B2CD5" w:rsidP="003B2CD5">
      <w:pPr>
        <w:pStyle w:val="Heading4"/>
        <w:rPr>
          <w:rFonts w:cs="Calibri"/>
        </w:rPr>
      </w:pPr>
      <w:r w:rsidRPr="00744C0D">
        <w:rPr>
          <w:rFonts w:cs="Calibri"/>
        </w:rPr>
        <w:t>Space based solar is a fantasy.</w:t>
      </w:r>
    </w:p>
    <w:p w14:paraId="4EEBA7E7" w14:textId="77777777" w:rsidR="003B2CD5" w:rsidRPr="00744C0D" w:rsidRDefault="003B2CD5" w:rsidP="003B2CD5">
      <w:r w:rsidRPr="00744C0D">
        <w:rPr>
          <w:rStyle w:val="Style13ptBold"/>
        </w:rPr>
        <w:t xml:space="preserve">Handmer ’19 - </w:t>
      </w:r>
      <w:r w:rsidRPr="00744C0D">
        <w:t xml:space="preserve">Casey Handmer [Founder, Terraform Industries; Former Software System Architect at NASA Jet Propulsion Laboratories, former NASA Frontier Development Lab Space Scientist; Post-doc and graduate researcher at the Cal Tech], “Space-based solar power is not a thing,” </w:t>
      </w:r>
      <w:r w:rsidRPr="00744C0D">
        <w:rPr>
          <w:i/>
        </w:rPr>
        <w:t>Casey Handmer’s Blog</w:t>
      </w:r>
      <w:r w:rsidRPr="00744C0D">
        <w:t xml:space="preserve"> (Web). Aug. 20, 2019. Accessed Feb. 6, 2022. &lt;https://caseyhandmer.wordpress.com/2019/08/20/space-based-solar-power-is-not-a-thing/&gt; AT</w:t>
      </w:r>
    </w:p>
    <w:p w14:paraId="41951592" w14:textId="77777777" w:rsidR="003B2CD5" w:rsidRDefault="003B2CD5" w:rsidP="003B2CD5">
      <w:pPr>
        <w:rPr>
          <w:sz w:val="12"/>
        </w:rPr>
      </w:pPr>
      <w:r w:rsidRPr="00744C0D">
        <w:rPr>
          <w:rStyle w:val="StyleUnderline"/>
          <w:highlight w:val="yellow"/>
        </w:rPr>
        <w:t>Transmission losses</w:t>
      </w:r>
      <w:r w:rsidRPr="00744C0D">
        <w:rPr>
          <w:sz w:val="12"/>
        </w:rPr>
        <w:t xml:space="preserve">: The process of converting sunlight to electricity is about 20% efficient, depending on the type of panel – and this is a loss common to both systems. In addition, the space-based system has to convert the electrical power back into EM radiation, which is converted back into power on Earth. Proponents think that it should be possible to perform each conversion with 90% efficiency, but even beam-forming that well is not possible without a much larger antenna. My personal opinion is that the </w:t>
      </w:r>
      <w:r w:rsidRPr="00744C0D">
        <w:rPr>
          <w:rStyle w:val="StyleUnderline"/>
          <w:highlight w:val="yellow"/>
        </w:rPr>
        <w:t>end-to-end microwave link efficiency would be lucky to exceed 40% efficiency, which erodes the competitive advantage</w:t>
      </w:r>
      <w:r w:rsidRPr="00744C0D">
        <w:rPr>
          <w:sz w:val="12"/>
        </w:rPr>
        <w:t xml:space="preserve"> substantially.¶ </w:t>
      </w:r>
      <w:r w:rsidRPr="00744C0D">
        <w:rPr>
          <w:rStyle w:val="StyleUnderline"/>
          <w:highlight w:val="yellow"/>
        </w:rPr>
        <w:t>Thermal losses: The conversion efficiency of the</w:t>
      </w:r>
      <w:r w:rsidRPr="00744C0D">
        <w:rPr>
          <w:sz w:val="12"/>
        </w:rPr>
        <w:t xml:space="preserve"> high-power </w:t>
      </w:r>
      <w:r w:rsidRPr="00744C0D">
        <w:rPr>
          <w:rStyle w:val="StyleUnderline"/>
          <w:highlight w:val="yellow"/>
        </w:rPr>
        <w:t>microwave transmitter has a nasty side-effect,</w:t>
      </w:r>
      <w:r w:rsidRPr="00744C0D">
        <w:rPr>
          <w:sz w:val="12"/>
        </w:rPr>
        <w:t xml:space="preserve"> namely that </w:t>
      </w:r>
      <w:r w:rsidRPr="00744C0D">
        <w:rPr>
          <w:rStyle w:val="StyleUnderline"/>
          <w:highlight w:val="yellow"/>
        </w:rPr>
        <w:t>what isn’t transmitted is wasted as heat, and that heat has to go somewhere</w:t>
      </w:r>
      <w:r w:rsidRPr="00744C0D">
        <w:rPr>
          <w:sz w:val="12"/>
        </w:rPr>
        <w:t xml:space="preserve">. If the transmitter is 80% efficient (which is being very generous), then it will have to radiate 200MW of thermal power. This is a different problem to the thermal losses in the solar panels, which are more like 4GW but spread over a huge area that is in radiative thermal equilibrium with its environment. Instead, the microwave power </w:t>
      </w:r>
      <w:r w:rsidRPr="00744C0D">
        <w:rPr>
          <w:rStyle w:val="StyleUnderline"/>
          <w:highlight w:val="yellow"/>
        </w:rPr>
        <w:t>electronics will need a huge cooling system</w:t>
      </w:r>
      <w:r w:rsidRPr="00744C0D">
        <w:rPr>
          <w:sz w:val="12"/>
        </w:rPr>
        <w:t xml:space="preserve">. If the electronics can operate at 350K, then the radiator power will be 850W/m^2, so the radiator will need a total area of 23ha, comparable to the total size of the solar array and the microwave transmission antenna. In contrast to the usual claims of perfect scaling efficiency with solar arrays in microgravity, a large space-based solar power system will also need a huge antenna and cooling system, which don’t scale quite as nicely.¶ </w:t>
      </w:r>
      <w:r w:rsidRPr="00744C0D">
        <w:rPr>
          <w:rStyle w:val="StyleUnderline"/>
          <w:highlight w:val="yellow"/>
        </w:rPr>
        <w:t>Logistics costs</w:t>
      </w:r>
      <w:r w:rsidRPr="00744C0D">
        <w:rPr>
          <w:sz w:val="12"/>
        </w:rPr>
        <w:t xml:space="preserve">: Consider transportation cost. Today, SpaceX has crushed the orbital transport market with a price of around $2000/kg. Compare this to the worldwide network of intermodal containers, which can transport anything in 20T units almost anywhere on Earth for about $0.05/kg. Even if all of Elon Musk’s wildest Starship dreams come true, </w:t>
      </w:r>
      <w:r w:rsidRPr="00744C0D">
        <w:rPr>
          <w:rStyle w:val="StyleUnderline"/>
          <w:highlight w:val="yellow"/>
        </w:rPr>
        <w:t>transport costs will dominate the total capex of</w:t>
      </w:r>
      <w:r w:rsidRPr="00744C0D">
        <w:rPr>
          <w:sz w:val="12"/>
        </w:rPr>
        <w:t xml:space="preserve"> any </w:t>
      </w:r>
      <w:r w:rsidRPr="00744C0D">
        <w:rPr>
          <w:rStyle w:val="StyleUnderline"/>
          <w:highlight w:val="yellow"/>
        </w:rPr>
        <w:t>space-based solar</w:t>
      </w:r>
      <w:r w:rsidRPr="00744C0D">
        <w:rPr>
          <w:sz w:val="12"/>
        </w:rPr>
        <w:t xml:space="preserve"> system, by many orders of magnitude. </w:t>
      </w:r>
      <w:r w:rsidRPr="00744C0D">
        <w:rPr>
          <w:rStyle w:val="StyleUnderline"/>
          <w:highlight w:val="yellow"/>
        </w:rPr>
        <w:t>A factor of 10x improvement in resource does not make up for transport costs which are more than 10,000x higher.</w:t>
      </w:r>
      <w:r w:rsidRPr="00744C0D">
        <w:rPr>
          <w:rStyle w:val="StyleUnderline"/>
        </w:rPr>
        <w:t xml:space="preserve"> </w:t>
      </w:r>
      <w:r w:rsidRPr="00744C0D">
        <w:rPr>
          <w:sz w:val="12"/>
        </w:rPr>
        <w:t xml:space="preserve">If logistics costs are more than 0.1% of current solar farm costs (they’re more like 20%), then increased </w:t>
      </w:r>
      <w:r w:rsidRPr="00744C0D">
        <w:rPr>
          <w:rStyle w:val="StyleUnderline"/>
          <w:highlight w:val="yellow"/>
        </w:rPr>
        <w:t>transport costs completely negate the improved solar resource. It’s not even close.</w:t>
      </w:r>
      <w:r w:rsidRPr="00744C0D">
        <w:rPr>
          <w:rStyle w:val="StyleUnderline"/>
        </w:rPr>
        <w:t xml:space="preserve">¶ </w:t>
      </w:r>
      <w:r w:rsidRPr="00744C0D">
        <w:rPr>
          <w:sz w:val="12"/>
        </w:rPr>
        <w:t xml:space="preserve">One further aspect of logistics bears closer examination. In our baseline case, we considered an array of panels strung up on posts, compared to a mesh of wire strung up on posts. It turns out that (as of 2019) </w:t>
      </w:r>
      <w:r w:rsidRPr="00744C0D">
        <w:rPr>
          <w:rStyle w:val="StyleUnderline"/>
          <w:highlight w:val="yellow"/>
        </w:rPr>
        <w:t>a substantial fraction of the overall cost</w:t>
      </w:r>
      <w:r w:rsidRPr="00744C0D">
        <w:rPr>
          <w:sz w:val="12"/>
        </w:rPr>
        <w:t xml:space="preserve"> of a solar PV station </w:t>
      </w:r>
      <w:r w:rsidRPr="00744C0D">
        <w:rPr>
          <w:rStyle w:val="StyleUnderline"/>
          <w:highlight w:val="yellow"/>
        </w:rPr>
        <w:t>is the mounting hardware</w:t>
      </w:r>
      <w:r w:rsidRPr="00744C0D">
        <w:rPr>
          <w:sz w:val="12"/>
        </w:rPr>
        <w:t xml:space="preserve">, which is also required by the microwave receiver. So if the mounting hardware costs 20% of the overall deployment cost for terrestrial solar, that places a strong upper bound on total system cost allowable for space-based. In other words, does anyone seriously believe that the microwave receiving antenna could cost 20% of the overall system capex, the other 80% to be used to launch thousands of tonnes of high performance gear into space? Put another way, the most cost-effective way to get a GW of power out of a microwave receiving antenna is obviously to tear down the wire mesh and sling up a bunch of solar panels, which can be ordered with a lead time of weeks from any of dozens of suppliers worldwide with widely available financing.¶ Finally, </w:t>
      </w:r>
      <w:r w:rsidRPr="00744C0D">
        <w:rPr>
          <w:rStyle w:val="StyleUnderline"/>
          <w:highlight w:val="yellow"/>
        </w:rPr>
        <w:t>the space technology penalty</w:t>
      </w:r>
      <w:r w:rsidRPr="00744C0D">
        <w:rPr>
          <w:sz w:val="12"/>
        </w:rPr>
        <w:t xml:space="preserve">. </w:t>
      </w:r>
      <w:r w:rsidRPr="00744C0D">
        <w:rPr>
          <w:rStyle w:val="StyleUnderline"/>
          <w:highlight w:val="yellow"/>
        </w:rPr>
        <w:t>On Earth</w:t>
      </w:r>
      <w:r w:rsidRPr="00744C0D">
        <w:rPr>
          <w:sz w:val="12"/>
        </w:rPr>
        <w:t xml:space="preserve">, we are living in an extremely exciting time for energy. </w:t>
      </w:r>
      <w:r w:rsidRPr="00744C0D">
        <w:rPr>
          <w:rStyle w:val="StyleUnderline"/>
          <w:highlight w:val="yellow"/>
        </w:rPr>
        <w:t>Hundreds of major companies are competing</w:t>
      </w:r>
      <w:r w:rsidRPr="00744C0D">
        <w:rPr>
          <w:sz w:val="12"/>
        </w:rPr>
        <w:t xml:space="preserve"> on development cycles measuring only months to provide solar panels in an industry that’s growing at 20% a year. As a result, costs have fallen by 10% a year, and in the last few years, solar and batteries have neared, equaled, then utterly crushed all other forms of electricity generation. Initially, this process occurred on remote islands with high fuel import costs. Then the sunnier parts of the US. The rampage continues northwards at about 200 miles a year. The industry can sustain 30% deployment growth rate worldwide for another decade at least, before saturation occurs.¶ Today, I can pick up the phone and any of dozens of contractors in the LA market can fill hundreds of acres with panels, each built to survive 30 years under the harsh sun and sized perfectly for deployment using the latest tech, which is men in orange vests with forklifts.¶ In contrast, </w:t>
      </w:r>
      <w:r w:rsidRPr="00744C0D">
        <w:rPr>
          <w:rStyle w:val="StyleUnderline"/>
          <w:highlight w:val="yellow"/>
        </w:rPr>
        <w:t>space technology has not benefited from such breakneck</w:t>
      </w:r>
      <w:r w:rsidRPr="00744C0D">
        <w:rPr>
          <w:sz w:val="12"/>
        </w:rPr>
        <w:t xml:space="preserve"> levels of </w:t>
      </w:r>
      <w:r w:rsidRPr="00744C0D">
        <w:rPr>
          <w:rStyle w:val="StyleUnderline"/>
          <w:highlight w:val="yellow"/>
        </w:rPr>
        <w:t>growth</w:t>
      </w:r>
      <w:r w:rsidRPr="00744C0D">
        <w:rPr>
          <w:sz w:val="12"/>
        </w:rPr>
        <w:t xml:space="preserve">, demand, and investment. </w:t>
      </w:r>
      <w:r w:rsidRPr="00744C0D">
        <w:rPr>
          <w:rStyle w:val="StyleUnderline"/>
          <w:highlight w:val="yellow"/>
        </w:rPr>
        <w:t>Prohibitive maintenance costs demand perfect performance, and low rates of deployment ensure a slow innovation feedback loop. The result is that none of the current incredibly cheap solar panels could work in space, where thermal and vacuum, not to mention stresses of launch, would destroy their operation in days.</w:t>
      </w:r>
      <w:r w:rsidRPr="00744C0D">
        <w:rPr>
          <w:rStyle w:val="StyleUnderline"/>
        </w:rPr>
        <w:t>¶</w:t>
      </w:r>
      <w:r w:rsidRPr="00744C0D">
        <w:rPr>
          <w:sz w:val="12"/>
        </w:rPr>
        <w:t xml:space="preserve"> Instead, </w:t>
      </w:r>
      <w:r w:rsidRPr="00744C0D">
        <w:rPr>
          <w:rStyle w:val="StyleUnderline"/>
          <w:highlight w:val="yellow"/>
        </w:rPr>
        <w:t>space operators rely on more traditional supply chains, with the result that building anything for space takes years and costs billions</w:t>
      </w:r>
      <w:r w:rsidRPr="00744C0D">
        <w:rPr>
          <w:sz w:val="12"/>
        </w:rPr>
        <w:t>. Right now, a billion dollars invested will buy about 100MW of solar panels on the Earth, or 100kW of solar panels in space. This is a factor of 1000, and it also erases the advantages of more sunlight in space.¶ These four elements, transmission, thermal, logistics, and space technology, inflate the relative cost of space-based solar power to the point where it simply cannot compete with terrestrial solar</w:t>
      </w:r>
      <w:r w:rsidRPr="00744C0D">
        <w:rPr>
          <w:rStyle w:val="StyleUnderline"/>
          <w:highlight w:val="yellow"/>
        </w:rPr>
        <w:t>. It’s not a matter of 5% here or there. It’s literally thousands of times more expensive. It’s not a thing.</w:t>
      </w:r>
      <w:r w:rsidRPr="00744C0D">
        <w:rPr>
          <w:rStyle w:val="StyleUnderline"/>
        </w:rPr>
        <w:t>¶</w:t>
      </w:r>
      <w:r w:rsidRPr="00744C0D">
        <w:rPr>
          <w:sz w:val="12"/>
        </w:rPr>
        <w:t xml:space="preserve"> I can relax assumptions all day. I can grant 100% transmission efficiency, $10/kg orbital launch costs, complete development and procurement cost parity, and a crippling land s</w:t>
      </w:r>
    </w:p>
    <w:p w14:paraId="0F6954EA" w14:textId="77777777" w:rsidR="003B2CD5" w:rsidRDefault="003B2CD5" w:rsidP="003B2CD5">
      <w:pPr>
        <w:rPr>
          <w:sz w:val="12"/>
        </w:rPr>
      </w:pPr>
    </w:p>
    <w:p w14:paraId="56EB4470" w14:textId="77777777" w:rsidR="003B2CD5" w:rsidRDefault="003B2CD5" w:rsidP="003B2CD5">
      <w:pPr>
        <w:rPr>
          <w:sz w:val="12"/>
        </w:rPr>
      </w:pPr>
    </w:p>
    <w:p w14:paraId="1AAD55B4" w14:textId="77777777" w:rsidR="003B2CD5" w:rsidRDefault="003B2CD5" w:rsidP="003B2CD5">
      <w:pPr>
        <w:rPr>
          <w:sz w:val="12"/>
        </w:rPr>
      </w:pPr>
    </w:p>
    <w:p w14:paraId="06BDAC24" w14:textId="77777777" w:rsidR="003B2CD5" w:rsidRDefault="003B2CD5" w:rsidP="003B2CD5">
      <w:pPr>
        <w:rPr>
          <w:sz w:val="12"/>
        </w:rPr>
      </w:pPr>
      <w:r w:rsidRPr="00744C0D">
        <w:rPr>
          <w:sz w:val="12"/>
        </w:rPr>
        <w:t xml:space="preserve">hortage on Earth. Even then, space-based solar power still won’t be able to compete, because the antenna receiver alone is basically a solar plant in disguise¶ I can grant a post-scarcity fully automated luxury communist space economy with self-replicating robots processing asteroids into solar panels, and even then people will still prefer to have solar panels on their roof, to avoid supply interruptions and utility bills. Or maybe they’ll all be post-humans living in some data center orbiting Jupiter. Let’s reel it back in a bit.¶ There is </w:t>
      </w:r>
      <w:r w:rsidRPr="00744C0D">
        <w:rPr>
          <w:rStyle w:val="StyleUnderline"/>
          <w:highlight w:val="yellow"/>
        </w:rPr>
        <w:t>one additional reason why space-based solar power won’t be built, and that is investment risk. It is the same reason why nuclear power won’t solve climate change. Power plants traditionally front load much of their costs, and space-based solar is no exception. So what, advocates say, all infrastructure costs a huge amount up front, and that investment is paid off gradually over decades of use by everyone.</w:t>
      </w:r>
      <w:r w:rsidRPr="00744C0D">
        <w:rPr>
          <w:rStyle w:val="StyleUnderline"/>
        </w:rPr>
        <w:t xml:space="preserve"> </w:t>
      </w:r>
      <w:r w:rsidRPr="00744C0D">
        <w:rPr>
          <w:sz w:val="12"/>
        </w:rPr>
        <w:t xml:space="preserve">Let’s say that despite all the above issues, a business plan emerges which can justify borrowing the necessary capital to build and deploy a bunch of space-based power stations, backed by a “purchase power agreement”, where a utility agrees to buy all the power at a currently acceptable price for some number of decades. </w:t>
      </w:r>
      <w:r w:rsidRPr="00744C0D">
        <w:rPr>
          <w:rStyle w:val="StyleUnderline"/>
          <w:highlight w:val="yellow"/>
        </w:rPr>
        <w:t>Like nuclear power, which requires 50 or more years of operations to pay off construction and decommissioning costs, signing such an agreement in 2019 is an enormously risky thing for a utility to do, because of future price uncertainty.</w:t>
      </w:r>
      <w:r w:rsidRPr="00744C0D">
        <w:rPr>
          <w:rStyle w:val="StyleUnderline"/>
        </w:rPr>
        <w:t>¶</w:t>
      </w:r>
      <w:r w:rsidRPr="00744C0D">
        <w:rPr>
          <w:sz w:val="12"/>
        </w:rPr>
        <w:t xml:space="preserve"> Indeed, just last month a major solar farm was announced in Nevada with a power price of $35/MWh, including storage. This price would have seemed impossibly low even last year, and yet I am certain that we will not have to wait long to see solar projects built for less than $10/MWh. For the first time in nearly 50 years, energy is rapidly getting cheaper and there’s no limit in sight. Against a backdrop of supply costs dropping by 10%/year, </w:t>
      </w:r>
      <w:r w:rsidRPr="00744C0D">
        <w:rPr>
          <w:rStyle w:val="StyleUnderline"/>
          <w:highlight w:val="yellow"/>
        </w:rPr>
        <w:t>it will not be possible to find financial backers for projects that have a ROI time measured in decades.</w:t>
      </w:r>
      <w:r w:rsidRPr="00744C0D">
        <w:rPr>
          <w:sz w:val="12"/>
        </w:rPr>
        <w:t xml:space="preserve"> It is simply not possible to predict whether they will be able to make any money.</w:t>
      </w:r>
    </w:p>
    <w:p w14:paraId="38619F9C" w14:textId="77777777" w:rsidR="003B2CD5" w:rsidRPr="003B2CD5" w:rsidRDefault="003B2CD5" w:rsidP="003B2CD5"/>
    <w:sectPr w:rsidR="003B2CD5" w:rsidRPr="003B2C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96643B"/>
    <w:multiLevelType w:val="hybridMultilevel"/>
    <w:tmpl w:val="A10854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8C29E3"/>
    <w:multiLevelType w:val="hybridMultilevel"/>
    <w:tmpl w:val="B7FCC7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7A00DB"/>
    <w:multiLevelType w:val="hybridMultilevel"/>
    <w:tmpl w:val="20ACB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464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792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FEB"/>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CD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6EC"/>
    <w:rsid w:val="00516A88"/>
    <w:rsid w:val="00522065"/>
    <w:rsid w:val="005224F2"/>
    <w:rsid w:val="00533F1C"/>
    <w:rsid w:val="00536D8B"/>
    <w:rsid w:val="005379C3"/>
    <w:rsid w:val="005519C2"/>
    <w:rsid w:val="005523E0"/>
    <w:rsid w:val="0055320F"/>
    <w:rsid w:val="0055699B"/>
    <w:rsid w:val="0056020A"/>
    <w:rsid w:val="0056083D"/>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A4645"/>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17AF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108"/>
    <w:rsid w:val="009A6464"/>
    <w:rsid w:val="009B69F5"/>
    <w:rsid w:val="009C5FF7"/>
    <w:rsid w:val="009C6292"/>
    <w:rsid w:val="009D15DB"/>
    <w:rsid w:val="009D3133"/>
    <w:rsid w:val="009E066E"/>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BA4"/>
    <w:rsid w:val="00B75C54"/>
    <w:rsid w:val="00B8710E"/>
    <w:rsid w:val="00B92A93"/>
    <w:rsid w:val="00BA0BA0"/>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07FE4"/>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960"/>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B19A8F"/>
  <w14:defaultImageDpi w14:val="300"/>
  <w15:docId w15:val="{306EF39B-80B2-374A-92AF-579B91F51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396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A46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46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7A46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7A464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46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4645"/>
  </w:style>
  <w:style w:type="character" w:customStyle="1" w:styleId="Heading1Char">
    <w:name w:val="Heading 1 Char"/>
    <w:aliases w:val="Pocket Char"/>
    <w:basedOn w:val="DefaultParagraphFont"/>
    <w:link w:val="Heading1"/>
    <w:uiPriority w:val="9"/>
    <w:rsid w:val="007A46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4645"/>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7A464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7A464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A464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7A4645"/>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7A464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A464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A4645"/>
    <w:rPr>
      <w:color w:val="auto"/>
      <w:u w:val="none"/>
    </w:rPr>
  </w:style>
  <w:style w:type="paragraph" w:styleId="DocumentMap">
    <w:name w:val="Document Map"/>
    <w:basedOn w:val="Normal"/>
    <w:link w:val="DocumentMapChar"/>
    <w:uiPriority w:val="99"/>
    <w:semiHidden/>
    <w:unhideWhenUsed/>
    <w:rsid w:val="007A46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4645"/>
    <w:rPr>
      <w:rFonts w:ascii="Lucida Grande" w:hAnsi="Lucida Grande" w:cs="Lucida Grande"/>
    </w:rPr>
  </w:style>
  <w:style w:type="paragraph" w:customStyle="1" w:styleId="Emphasis1">
    <w:name w:val="Emphasis1"/>
    <w:basedOn w:val="Normal"/>
    <w:link w:val="Emphasis"/>
    <w:autoRedefine/>
    <w:uiPriority w:val="20"/>
    <w:qFormat/>
    <w:rsid w:val="009E066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F6396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F63960"/>
    <w:pPr>
      <w:ind w:left="720"/>
      <w:contextualSpacing/>
    </w:pPr>
  </w:style>
  <w:style w:type="character" w:styleId="CommentReference">
    <w:name w:val="annotation reference"/>
    <w:basedOn w:val="DefaultParagraphFont"/>
    <w:uiPriority w:val="99"/>
    <w:semiHidden/>
    <w:unhideWhenUsed/>
    <w:rsid w:val="00F63960"/>
    <w:rPr>
      <w:sz w:val="16"/>
      <w:szCs w:val="16"/>
    </w:rPr>
  </w:style>
  <w:style w:type="paragraph" w:styleId="CommentText">
    <w:name w:val="annotation text"/>
    <w:basedOn w:val="Normal"/>
    <w:link w:val="CommentTextChar"/>
    <w:uiPriority w:val="99"/>
    <w:semiHidden/>
    <w:unhideWhenUsed/>
    <w:rsid w:val="00F63960"/>
    <w:pPr>
      <w:spacing w:line="240" w:lineRule="auto"/>
    </w:pPr>
    <w:rPr>
      <w:sz w:val="20"/>
      <w:szCs w:val="20"/>
    </w:rPr>
  </w:style>
  <w:style w:type="character" w:customStyle="1" w:styleId="CommentTextChar">
    <w:name w:val="Comment Text Char"/>
    <w:basedOn w:val="DefaultParagraphFont"/>
    <w:link w:val="CommentText"/>
    <w:uiPriority w:val="99"/>
    <w:semiHidden/>
    <w:rsid w:val="00F63960"/>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fontTable" Target="fontTable.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hyperlink" Target="https://scholarlycommons.law.case.edu/jil/vol51/iss1/1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31</Pages>
  <Words>24507</Words>
  <Characters>139695</Characters>
  <Application>Microsoft Office Word</Application>
  <DocSecurity>0</DocSecurity>
  <Lines>1164</Lines>
  <Paragraphs>327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163875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12</cp:revision>
  <dcterms:created xsi:type="dcterms:W3CDTF">2022-02-19T19:00:00Z</dcterms:created>
  <dcterms:modified xsi:type="dcterms:W3CDTF">2022-02-19T21:13:00Z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