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17195" w14:textId="629B08F5" w:rsidR="002C1230" w:rsidRDefault="002C1230" w:rsidP="002C1230">
      <w:pPr>
        <w:pStyle w:val="Heading2"/>
      </w:pPr>
      <w:proofErr w:type="spellStart"/>
      <w:r>
        <w:t>Postwork</w:t>
      </w:r>
      <w:proofErr w:type="spellEnd"/>
      <w:r>
        <w:t xml:space="preserve"> K</w:t>
      </w:r>
    </w:p>
    <w:p w14:paraId="50F4BE10" w14:textId="77777777" w:rsidR="002C1230" w:rsidRPr="004F3F7A" w:rsidRDefault="002C1230" w:rsidP="002C123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582C481F" w14:textId="77777777" w:rsidR="002C1230" w:rsidRPr="0024759A" w:rsidRDefault="002C1230" w:rsidP="002C123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5D7C513" w14:textId="77777777" w:rsidR="002C1230" w:rsidRPr="00F23A1A" w:rsidRDefault="002C1230" w:rsidP="002C1230">
      <w:pPr>
        <w:rPr>
          <w:sz w:val="16"/>
        </w:rPr>
      </w:pPr>
      <w:r w:rsidRPr="00F23A1A">
        <w:rPr>
          <w:sz w:val="16"/>
        </w:rPr>
        <w:t>The societal dependence on work</w:t>
      </w:r>
    </w:p>
    <w:p w14:paraId="31B02E63" w14:textId="77777777" w:rsidR="002C1230" w:rsidRPr="009A6DC9" w:rsidRDefault="002C1230" w:rsidP="002C123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4EF0668D" w14:textId="77777777" w:rsidR="002C1230" w:rsidRPr="009A6DC9" w:rsidRDefault="002C1230" w:rsidP="002C123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779B2036" w14:textId="77777777" w:rsidR="002C1230" w:rsidRPr="00F23A1A" w:rsidRDefault="002C1230" w:rsidP="002C123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152FB487" w14:textId="77777777" w:rsidR="002C1230" w:rsidRPr="00F23A1A" w:rsidRDefault="002C1230" w:rsidP="002C123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622D4AB9" w14:textId="77777777" w:rsidR="002C1230" w:rsidRPr="00F23A1A" w:rsidRDefault="002C1230" w:rsidP="002C123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E98976F" w14:textId="77777777" w:rsidR="002C1230" w:rsidRPr="00DD394F" w:rsidRDefault="002C1230" w:rsidP="002C123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For modern industrial society work is ‘both its chief means and its ultimate goal’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3EF683AC" w14:textId="77777777" w:rsidR="002C1230" w:rsidRDefault="002C1230" w:rsidP="002C1230">
      <w:pPr>
        <w:pStyle w:val="Heading4"/>
      </w:pPr>
      <w:r>
        <w:t>Work necessitates material throughput and waste that destroys the environment, even when the jobs are ‘green’</w:t>
      </w:r>
    </w:p>
    <w:p w14:paraId="12262B30" w14:textId="77777777" w:rsidR="002C1230" w:rsidRPr="0000117A" w:rsidRDefault="002C1230" w:rsidP="002C123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D5391C6" w14:textId="77777777" w:rsidR="002C1230" w:rsidRPr="006E7E43" w:rsidRDefault="002C1230" w:rsidP="002C1230">
      <w:pPr>
        <w:rPr>
          <w:sz w:val="16"/>
        </w:rPr>
      </w:pPr>
      <w:r w:rsidRPr="006E7E43">
        <w:rPr>
          <w:sz w:val="16"/>
        </w:rPr>
        <w:t>An ecological critique of work</w:t>
      </w:r>
    </w:p>
    <w:p w14:paraId="6A0C41C1" w14:textId="77777777" w:rsidR="002C1230" w:rsidRPr="006E7E43" w:rsidRDefault="002C1230" w:rsidP="002C1230">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343675F" w14:textId="77777777" w:rsidR="002C1230" w:rsidRPr="006E7E43" w:rsidRDefault="002C1230" w:rsidP="002C1230">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7BE194AE" w14:textId="77777777" w:rsidR="002C1230" w:rsidRPr="006E7E43" w:rsidRDefault="002C1230" w:rsidP="002C123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1811CA14" w14:textId="77777777" w:rsidR="002C1230" w:rsidRPr="006E7E43" w:rsidRDefault="002C1230" w:rsidP="002C123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D822645" w14:textId="77777777" w:rsidR="002C1230" w:rsidRDefault="002C1230" w:rsidP="002C1230">
      <w:pPr>
        <w:pStyle w:val="Heading4"/>
      </w:pPr>
      <w:r>
        <w:t>Unions are intrinsically invested in labor being good – they don’t strike to get rid of work; they strike to get people back to work. Lundström 14:</w:t>
      </w:r>
    </w:p>
    <w:p w14:paraId="05033070" w14:textId="77777777" w:rsidR="002C1230" w:rsidRPr="00050F02" w:rsidRDefault="002C1230" w:rsidP="002C1230">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665E677" w14:textId="77777777" w:rsidR="002C1230" w:rsidRPr="004F3F7A" w:rsidRDefault="002C1230" w:rsidP="002C1230">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a majority of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6E4762C2" w14:textId="77777777" w:rsidR="002C1230" w:rsidRDefault="002C1230" w:rsidP="002C123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43A48C29" w14:textId="77777777" w:rsidR="002C1230" w:rsidRPr="00E73C56" w:rsidRDefault="002C1230" w:rsidP="002C123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1AA1D916" w14:textId="77777777" w:rsidR="002C1230" w:rsidRPr="00CD77D8" w:rsidRDefault="002C1230" w:rsidP="002C123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E11F2D0" w14:textId="77777777" w:rsidR="002C1230" w:rsidRPr="009A6DC9" w:rsidRDefault="002C1230" w:rsidP="002C123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219CFCE4" w14:textId="77777777" w:rsidR="002C1230" w:rsidRPr="00A72FF2" w:rsidRDefault="002C1230" w:rsidP="002C123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1E9E7CD0" w14:textId="77777777" w:rsidR="002C1230" w:rsidRPr="00A72FF2" w:rsidRDefault="002C1230" w:rsidP="002C123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41270411" w14:textId="77777777" w:rsidR="002C1230" w:rsidRPr="00A72FF2" w:rsidRDefault="002C1230" w:rsidP="002C1230">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10D3C51D" w14:textId="77777777" w:rsidR="002C1230" w:rsidRPr="00A72FF2" w:rsidRDefault="002C1230" w:rsidP="002C1230">
      <w:pPr>
        <w:rPr>
          <w:sz w:val="14"/>
        </w:rPr>
      </w:pPr>
      <w:r w:rsidRPr="00A72FF2">
        <w:rPr>
          <w:sz w:val="14"/>
        </w:rPr>
        <w:t xml:space="preserve">The ecological case for </w:t>
      </w:r>
      <w:proofErr w:type="spellStart"/>
      <w:r w:rsidRPr="00A72FF2">
        <w:rPr>
          <w:sz w:val="14"/>
        </w:rPr>
        <w:t>postwork</w:t>
      </w:r>
      <w:proofErr w:type="spellEnd"/>
    </w:p>
    <w:p w14:paraId="273DA135" w14:textId="77777777" w:rsidR="002C1230" w:rsidRPr="00A72FF2" w:rsidRDefault="002C1230" w:rsidP="002C123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w:t>
      </w:r>
      <w:proofErr w:type="gramStart"/>
      <w:r w:rsidRPr="001E2270">
        <w:rPr>
          <w:rStyle w:val="StyleUnderline"/>
        </w:rPr>
        <w:t>political, and</w:t>
      </w:r>
      <w:proofErr w:type="gramEnd"/>
      <w:r w:rsidRPr="001E2270">
        <w:rPr>
          <w:rStyle w:val="StyleUnderline"/>
        </w:rPr>
        <w:t xml:space="preserve">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025E4686" w14:textId="77777777" w:rsidR="002C1230" w:rsidRPr="00A72FF2" w:rsidRDefault="002C1230" w:rsidP="002C123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energy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locally specific, intermittent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75C4351A" w14:textId="77777777" w:rsidR="002C1230" w:rsidRPr="008018E5" w:rsidRDefault="002C1230" w:rsidP="002C123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03363005" w14:textId="77777777" w:rsidR="002C1230" w:rsidRPr="00A72FF2" w:rsidRDefault="002C1230" w:rsidP="002C123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50DCE6E3" w14:textId="77777777" w:rsidR="002C1230" w:rsidRPr="00A72FF2" w:rsidRDefault="002C1230" w:rsidP="002C123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45927FB6" w14:textId="77777777" w:rsidR="002C1230" w:rsidRPr="00A72FF2" w:rsidRDefault="002C1230" w:rsidP="002C123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03A5385" w14:textId="77777777" w:rsidR="002C1230" w:rsidRPr="004F0127" w:rsidRDefault="002C1230" w:rsidP="002C123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opening up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78A2C617" w14:textId="77777777" w:rsidR="002C1230" w:rsidRPr="00A72FF2" w:rsidRDefault="002C1230" w:rsidP="002C123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17966A14" w14:textId="77777777" w:rsidR="002C1230" w:rsidRPr="00A72FF2" w:rsidRDefault="002C1230" w:rsidP="002C123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00702F5A" w14:textId="77777777" w:rsidR="002C1230" w:rsidRPr="00A72FF2" w:rsidRDefault="002C1230" w:rsidP="002C123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AD53801" w14:textId="77777777" w:rsidR="002C1230" w:rsidRPr="00A72FF2" w:rsidRDefault="002C1230" w:rsidP="002C123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10D273EE" w14:textId="77777777" w:rsidR="002C1230" w:rsidRPr="00A72FF2" w:rsidRDefault="002C1230" w:rsidP="002C1230">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wage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74B63053" w14:textId="77777777" w:rsidR="002C1230" w:rsidRPr="008018E5" w:rsidRDefault="002C1230" w:rsidP="002C123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society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0C68C935" w14:textId="77777777" w:rsidR="002C1230" w:rsidRDefault="002C1230" w:rsidP="002C1230">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D0FC4FA" w14:textId="7C265BA3" w:rsidR="00E42E4C" w:rsidRDefault="00E42E4C" w:rsidP="00F601E6"/>
    <w:p w14:paraId="669678D2" w14:textId="59C013B5" w:rsidR="002C1230" w:rsidRDefault="002C1230" w:rsidP="002C1230">
      <w:pPr>
        <w:pStyle w:val="Heading2"/>
      </w:pPr>
      <w:r>
        <w:t xml:space="preserve">Violence PIC </w:t>
      </w:r>
    </w:p>
    <w:p w14:paraId="6929808C" w14:textId="77777777" w:rsidR="002C1230" w:rsidRDefault="002C1230" w:rsidP="002C1230">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except for violent strike tactics.</w:t>
      </w:r>
    </w:p>
    <w:p w14:paraId="78355AB1" w14:textId="77777777" w:rsidR="002C1230" w:rsidRPr="002C1230" w:rsidRDefault="002C1230" w:rsidP="002C1230"/>
    <w:p w14:paraId="31E51E5B" w14:textId="77777777" w:rsidR="002C1230" w:rsidRPr="000E0231" w:rsidRDefault="002C1230" w:rsidP="002C1230">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3DCA4BD2" w14:textId="77777777" w:rsidR="002C1230" w:rsidRPr="000E0231" w:rsidRDefault="002C1230" w:rsidP="002C1230">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14CB8B10" w14:textId="77777777" w:rsidR="002C1230" w:rsidRPr="000E0231" w:rsidRDefault="002C1230" w:rsidP="002C1230">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5FA29B22" w14:textId="467E76DF" w:rsidR="002C1230" w:rsidRDefault="002C1230" w:rsidP="002C1230">
      <w:pPr>
        <w:rPr>
          <w:rFonts w:asciiTheme="minorHAnsi" w:hAnsiTheme="minorHAnsi" w:cstheme="minorHAnsi"/>
        </w:rPr>
      </w:pPr>
    </w:p>
    <w:p w14:paraId="368EDB47" w14:textId="4F89B75F" w:rsidR="002C1230" w:rsidRDefault="002C1230" w:rsidP="002C1230">
      <w:pPr>
        <w:pStyle w:val="Heading2"/>
      </w:pPr>
      <w:r>
        <w:t>Inflation DA</w:t>
      </w:r>
    </w:p>
    <w:p w14:paraId="12B177ED" w14:textId="77777777" w:rsidR="002C1230" w:rsidRDefault="002C1230" w:rsidP="002C1230">
      <w:pPr>
        <w:pStyle w:val="Heading4"/>
      </w:pPr>
      <w:bookmarkStart w:id="0" w:name="_Toc86481137"/>
      <w:r>
        <w:t>Post-pandemic recovery is fragile and risks spilling over internationally, new economic crises risks plunging us over the edge</w:t>
      </w:r>
    </w:p>
    <w:p w14:paraId="3D526829" w14:textId="77777777" w:rsidR="002C1230" w:rsidRPr="00053436" w:rsidRDefault="002C1230" w:rsidP="002C1230">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1D72B50E" w14:textId="77777777" w:rsidR="002C1230" w:rsidRDefault="002C1230" w:rsidP="002C1230">
      <w:pPr>
        <w:rPr>
          <w:rStyle w:val="StyleUnderline"/>
        </w:rPr>
      </w:pPr>
      <w:r w:rsidRPr="00DF5420">
        <w:rPr>
          <w:rStyle w:val="StyleUnderline"/>
          <w:highlight w:val="cyan"/>
        </w:rPr>
        <w:t>Responses to the pandemic have caused new</w:t>
      </w:r>
      <w:r w:rsidRPr="0019668F">
        <w:rPr>
          <w:sz w:val="16"/>
        </w:rPr>
        <w:t xml:space="preserve"> domestic and geopolitical </w:t>
      </w:r>
      <w:r w:rsidRPr="00DF5420">
        <w:rPr>
          <w:rStyle w:val="StyleUnderline"/>
          <w:highlight w:val="cyan"/>
        </w:rPr>
        <w:t>tensions that threaten stability</w:t>
      </w:r>
      <w:r w:rsidRPr="0019668F">
        <w:rPr>
          <w:sz w:val="16"/>
        </w:rPr>
        <w:t>. Digital division and a future “lost generation” are likely to test social cohesion from within borders—</w:t>
      </w:r>
      <w:r w:rsidRPr="00DF5420">
        <w:rPr>
          <w:rStyle w:val="StyleUnderline"/>
          <w:highlight w:val="cyan"/>
        </w:rPr>
        <w:t>exacerbating</w:t>
      </w:r>
      <w:r w:rsidRPr="0019668F">
        <w:rPr>
          <w:sz w:val="16"/>
        </w:rPr>
        <w:t xml:space="preserve"> geopolitical fragmentation and </w:t>
      </w:r>
      <w:r w:rsidRPr="00DF5420">
        <w:rPr>
          <w:rStyle w:val="StyleUnderline"/>
          <w:highlight w:val="cyan"/>
        </w:rPr>
        <w:t>global economic fragility</w:t>
      </w:r>
      <w:r w:rsidRPr="0019668F">
        <w:rPr>
          <w:sz w:val="16"/>
        </w:rPr>
        <w:t xml:space="preserve">. With stalemates and flashpoints increasing in frequency, GRPS respondents rated “state collapse” and “multilateralism collapse” as critical long-term threats. Middle powers—influential states that together represent a greater share of the global economy than the US and China combined—often champion multilateral cooperation in trade, diplomacy, climate, security and, most recently, global health. However, if geopolitical tensions persist, middle powers will struggle to facilitate a global recovery—at a time when international coordination is essential—and reinforce resilience against future crises. GRPS respondents signal a challenging geopolitical outlook marked by “interstate relations fracture”, “interstate conflict” and “resource </w:t>
      </w:r>
      <w:proofErr w:type="spellStart"/>
      <w:r w:rsidRPr="0019668F">
        <w:rPr>
          <w:sz w:val="16"/>
        </w:rPr>
        <w:t>geopolitization</w:t>
      </w:r>
      <w:proofErr w:type="spellEnd"/>
      <w:r w:rsidRPr="0019668F">
        <w:rPr>
          <w:sz w:val="16"/>
        </w:rPr>
        <w:t xml:space="preserve">”—all forecasted as critical threats to the world in three to five years. </w:t>
      </w:r>
      <w:r w:rsidRPr="0019668F">
        <w:rPr>
          <w:rStyle w:val="StyleUnderline"/>
        </w:rPr>
        <w:t>A polarized industrial</w:t>
      </w:r>
      <w:r>
        <w:rPr>
          <w:rStyle w:val="StyleUnderline"/>
        </w:rPr>
        <w:t xml:space="preserve"> </w:t>
      </w:r>
      <w:r w:rsidRPr="0019668F">
        <w:rPr>
          <w:rStyle w:val="StyleUnderline"/>
        </w:rPr>
        <w:t>landscape may emerge in the</w:t>
      </w:r>
      <w:r>
        <w:rPr>
          <w:rStyle w:val="StyleUnderline"/>
        </w:rPr>
        <w:t xml:space="preserve"> </w:t>
      </w:r>
      <w:r w:rsidRPr="0019668F">
        <w:rPr>
          <w:rStyle w:val="StyleUnderline"/>
        </w:rPr>
        <w:t>post-pandemic economy</w:t>
      </w:r>
      <w:r>
        <w:rPr>
          <w:rStyle w:val="StyleUnderline"/>
        </w:rPr>
        <w:t xml:space="preserve"> </w:t>
      </w:r>
      <w:r w:rsidRPr="0019668F">
        <w:rPr>
          <w:sz w:val="16"/>
        </w:rPr>
        <w:t xml:space="preserve">As economies emerge from the shock and stimulus of COVID-19, businesses face a shakeout. </w:t>
      </w:r>
      <w:r w:rsidRPr="00DF5420">
        <w:rPr>
          <w:rStyle w:val="StyleUnderline"/>
          <w:highlight w:val="cyan"/>
        </w:rPr>
        <w:t>Existing trends have been given fresh momentum by the crisis</w:t>
      </w:r>
      <w:r w:rsidRPr="0019668F">
        <w:rPr>
          <w:rStyle w:val="StyleUnderline"/>
        </w:rPr>
        <w:t>:</w:t>
      </w:r>
      <w:r>
        <w:rPr>
          <w:rStyle w:val="StyleUnderline"/>
        </w:rPr>
        <w:t xml:space="preserve"> </w:t>
      </w:r>
      <w:r w:rsidRPr="0019668F">
        <w:rPr>
          <w:rStyle w:val="StyleUnderline"/>
        </w:rPr>
        <w:t>nationally focused agendas to stem economic losses,</w:t>
      </w:r>
      <w:r>
        <w:rPr>
          <w:rStyle w:val="StyleUnderline"/>
        </w:rPr>
        <w:t xml:space="preserve"> </w:t>
      </w:r>
      <w:r w:rsidRPr="0019668F">
        <w:rPr>
          <w:sz w:val="16"/>
        </w:rPr>
        <w:t xml:space="preserve">technological transformation and changes in societal structure—including consumer behaviors, the nature of work and the role of technology both at work and at home. </w:t>
      </w:r>
      <w:r w:rsidRPr="00DF5420">
        <w:rPr>
          <w:rStyle w:val="StyleUnderline"/>
          <w:highlight w:val="cyan"/>
        </w:rPr>
        <w:t>The business risks emanating from these trends have been amplified by the crisis and include stagnation</w:t>
      </w:r>
      <w:r w:rsidRPr="0019668F">
        <w:rPr>
          <w:rStyle w:val="StyleUnderline"/>
        </w:rPr>
        <w:t xml:space="preserve"> in advanced economies</w:t>
      </w:r>
      <w:r w:rsidRPr="0019668F">
        <w:rPr>
          <w:sz w:val="16"/>
        </w:rPr>
        <w:t xml:space="preserve"> and lost potential in emerging and developing markets, </w:t>
      </w:r>
      <w:r w:rsidRPr="00DF5420">
        <w:rPr>
          <w:rStyle w:val="StyleUnderline"/>
          <w:highlight w:val="cyan"/>
        </w:rPr>
        <w:t>the collapse of small businesses,</w:t>
      </w:r>
      <w:r w:rsidRPr="0019668F">
        <w:rPr>
          <w:rStyle w:val="StyleUnderline"/>
        </w:rPr>
        <w:t xml:space="preserve"> widening the gaps between</w:t>
      </w:r>
      <w:r>
        <w:rPr>
          <w:rStyle w:val="StyleUnderline"/>
        </w:rPr>
        <w:t xml:space="preserve"> </w:t>
      </w:r>
      <w:r w:rsidRPr="0019668F">
        <w:rPr>
          <w:rStyle w:val="StyleUnderline"/>
        </w:rPr>
        <w:t>major and minor companies and reducing market</w:t>
      </w:r>
      <w:r>
        <w:rPr>
          <w:rStyle w:val="StyleUnderline"/>
        </w:rPr>
        <w:t xml:space="preserve"> </w:t>
      </w:r>
      <w:r w:rsidRPr="0019668F">
        <w:rPr>
          <w:rStyle w:val="StyleUnderline"/>
        </w:rPr>
        <w:t xml:space="preserve">dynamism, </w:t>
      </w:r>
      <w:r w:rsidRPr="00DF5420">
        <w:rPr>
          <w:rStyle w:val="StyleUnderline"/>
          <w:highlight w:val="cyan"/>
        </w:rPr>
        <w:t>and exacerbation of inequality; making it harder to achieve long-term sustainable development</w:t>
      </w:r>
      <w:r>
        <w:rPr>
          <w:rStyle w:val="StyleUnderline"/>
        </w:rPr>
        <w:t>.</w:t>
      </w:r>
    </w:p>
    <w:p w14:paraId="54988A7D" w14:textId="77777777" w:rsidR="002C1230" w:rsidRPr="004866D2" w:rsidRDefault="002C1230" w:rsidP="002C1230">
      <w:pPr>
        <w:rPr>
          <w:sz w:val="16"/>
        </w:rPr>
      </w:pPr>
    </w:p>
    <w:p w14:paraId="7B05C449" w14:textId="77777777" w:rsidR="002C1230" w:rsidRDefault="002C1230" w:rsidP="002C1230">
      <w:pPr>
        <w:pStyle w:val="Heading4"/>
      </w:pPr>
      <w:r>
        <w:t>Strikes trigger inflation snowball, collapsing the economy</w:t>
      </w:r>
    </w:p>
    <w:p w14:paraId="27480D6C" w14:textId="77777777" w:rsidR="002C1230" w:rsidRDefault="002C1230" w:rsidP="002C1230">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1237A71A" w14:textId="77777777" w:rsidR="002C1230" w:rsidRDefault="002C1230" w:rsidP="002C1230">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4866D2">
        <w:rPr>
          <w:b/>
          <w:bCs/>
          <w:highlight w:val="yellow"/>
          <w:u w:val="single"/>
        </w:rPr>
        <w:t>if thousands of more workers in critical industries go 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4866D2">
        <w:rPr>
          <w:b/>
          <w:bCs/>
          <w:highlight w:val="yellow"/>
          <w:u w:val="single"/>
        </w:rPr>
        <w:t>The John Deere workers balked at a proposed 5% raise — and not without cause. With inflation running closer to 6%, a 5% raise could mean a loss in real income to the rank-and-file workers.</w:t>
      </w:r>
      <w:r>
        <w:rPr>
          <w:b/>
          <w:bCs/>
          <w:u w:val="single"/>
        </w:rPr>
        <w:t xml:space="preserve"> </w:t>
      </w:r>
      <w:r w:rsidRPr="00BB0FF1">
        <w:rPr>
          <w:sz w:val="16"/>
        </w:rPr>
        <w:t>Here’s the vicious cycle we could be looking at in due time</w:t>
      </w:r>
      <w:r w:rsidRPr="00BB0FF1">
        <w:rPr>
          <w:b/>
          <w:bCs/>
          <w:u w:val="single"/>
        </w:rPr>
        <w:t xml:space="preserve">. </w:t>
      </w:r>
      <w:r w:rsidRPr="004866D2">
        <w:rPr>
          <w:b/>
          <w:bCs/>
          <w:highlight w:val="yellow"/>
          <w:u w:val="single"/>
        </w:rPr>
        <w:t xml:space="preserve">Inflation means higher prices at the stores, which means workers want higher pay, which means companies have higher costs, which means the firms have to raise their prices further. And the process repeats. </w:t>
      </w:r>
      <w:r w:rsidRPr="004866D2">
        <w:rPr>
          <w:b/>
          <w:bCs/>
          <w:i/>
          <w:iCs/>
          <w:highlight w:val="yellow"/>
          <w:u w:val="single"/>
        </w:rPr>
        <w:t>Six percent inflation could snowball into 8% to 10%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4866D2">
        <w:rPr>
          <w:b/>
          <w:bCs/>
          <w:highlight w:val="yellow"/>
          <w:u w:val="single"/>
        </w:rPr>
        <w:t>Bottlenecks now squeeze a supply chain that was once the hallmark of American economic efficiency at every turn. It’s getting worse, and the unions and their rank-and-file workers paying higher bills aren’t happy. Nor should they be. History shows that strikes are a form of mutually assured destruction. Both sides generally lose in the long term from work stoppages — and so does America</w:t>
      </w:r>
      <w:r w:rsidRPr="004866D2">
        <w:rPr>
          <w:sz w:val="16"/>
          <w:highlight w:val="yellow"/>
        </w:rPr>
        <w:t xml:space="preserve">. </w:t>
      </w:r>
      <w:r w:rsidRPr="004866D2">
        <w:rPr>
          <w:b/>
          <w:bCs/>
          <w:highlight w:val="yellow"/>
          <w:u w:val="single"/>
        </w:rPr>
        <w:t>The best way for Washington to ensure long-term worker</w:t>
      </w:r>
      <w:r w:rsidRPr="00BB0FF1">
        <w:rPr>
          <w:sz w:val="16"/>
        </w:rPr>
        <w:t xml:space="preserve"> gains, for union or nonunion workers, </w:t>
      </w:r>
      <w:r w:rsidRPr="004866D2">
        <w:rPr>
          <w:b/>
          <w:bCs/>
          <w:highlight w:val="yellow"/>
          <w:u w:val="single"/>
        </w:rPr>
        <w:t>is to get inflation, which is a de facto wage tax, under control.</w:t>
      </w:r>
      <w:r w:rsidRPr="00BB0FF1">
        <w:rPr>
          <w:sz w:val="16"/>
        </w:rPr>
        <w:t xml:space="preserve"> </w:t>
      </w:r>
    </w:p>
    <w:p w14:paraId="7C125321" w14:textId="77777777" w:rsidR="002C1230" w:rsidRDefault="002C1230" w:rsidP="002C1230">
      <w:pPr>
        <w:rPr>
          <w:sz w:val="16"/>
        </w:rPr>
      </w:pPr>
    </w:p>
    <w:p w14:paraId="660C0C27" w14:textId="2E907058" w:rsidR="002C1230" w:rsidRPr="00BB0FF1" w:rsidRDefault="002C1230" w:rsidP="002C1230">
      <w:pPr>
        <w:pStyle w:val="Heading2"/>
      </w:pPr>
      <w:r>
        <w:t xml:space="preserve">Recession + Nuke War </w:t>
      </w:r>
    </w:p>
    <w:p w14:paraId="773B150C" w14:textId="77777777" w:rsidR="002C1230" w:rsidRDefault="002C1230" w:rsidP="002C1230">
      <w:pPr>
        <w:pStyle w:val="Heading4"/>
      </w:pPr>
      <w:r>
        <w:t>Inflation guarantees recession- responsible governmental policy now is key</w:t>
      </w:r>
    </w:p>
    <w:p w14:paraId="30A3683E" w14:textId="77777777" w:rsidR="002C1230" w:rsidRPr="003B5DDA" w:rsidRDefault="002C1230" w:rsidP="002C1230">
      <w:r w:rsidRPr="003B5DDA">
        <w:rPr>
          <w:rStyle w:val="Style13ptBold"/>
        </w:rPr>
        <w:t>Long 2021</w:t>
      </w:r>
      <w:r>
        <w:t xml:space="preserve">. Heather Long, economics correspondent for The Washington Post. “The economy isn’t going back to February 2020. Fundamental shifts have occurred.” </w:t>
      </w:r>
      <w:proofErr w:type="spellStart"/>
      <w:r>
        <w:t>WaPo</w:t>
      </w:r>
      <w:proofErr w:type="spellEnd"/>
      <w:r>
        <w:t xml:space="preserve"> June 20, 2021. &lt;https://www.washingtonpost.com/business/2021/06/20/us-economy-changes/&gt; Accessed 6/26/21. ARJH/msdi2021</w:t>
      </w:r>
    </w:p>
    <w:p w14:paraId="07E2E82C" w14:textId="77777777" w:rsidR="002C1230" w:rsidRPr="004866D2" w:rsidRDefault="002C1230" w:rsidP="002C1230">
      <w:pPr>
        <w:rPr>
          <w:sz w:val="14"/>
        </w:rPr>
      </w:pPr>
      <w:r w:rsidRPr="003B5DDA">
        <w:rPr>
          <w:sz w:val="14"/>
        </w:rPr>
        <w:t>“</w:t>
      </w:r>
      <w:r w:rsidRPr="003B5DDA">
        <w:rPr>
          <w:rStyle w:val="StyleUnderline"/>
        </w:rPr>
        <w:t>This is an extraordinarily unusual time</w:t>
      </w:r>
      <w:r w:rsidRPr="003B5DDA">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DF5420">
        <w:rPr>
          <w:rStyle w:val="StyleUnderline"/>
          <w:highlight w:val="cyan"/>
        </w:rPr>
        <w:t>inflation</w:t>
      </w:r>
      <w:r w:rsidRPr="003B5DDA">
        <w:rPr>
          <w:sz w:val="14"/>
        </w:rPr>
        <w:t xml:space="preserve">, which hit a 13-year high in May, and </w:t>
      </w:r>
      <w:r w:rsidRPr="00DF5420">
        <w:rPr>
          <w:rStyle w:val="StyleUnderline"/>
          <w:highlight w:val="cyan"/>
        </w:rPr>
        <w:t>is</w:t>
      </w:r>
      <w:r w:rsidRPr="003B5DDA">
        <w:rPr>
          <w:rStyle w:val="StyleUnderline"/>
        </w:rPr>
        <w:t xml:space="preserve"> widely viewed as </w:t>
      </w:r>
      <w:r w:rsidRPr="00DF5420">
        <w:rPr>
          <w:rStyle w:val="StyleUnderline"/>
          <w:highlight w:val="cyan"/>
        </w:rPr>
        <w:t>the biggest risk that could sink</w:t>
      </w:r>
      <w:r w:rsidRPr="003B5DDA">
        <w:rPr>
          <w:sz w:val="14"/>
        </w:rPr>
        <w:t xml:space="preserve"> — or at least stall — </w:t>
      </w:r>
      <w:r w:rsidRPr="00DF5420">
        <w:rPr>
          <w:rStyle w:val="StyleUnderline"/>
          <w:highlight w:val="cyan"/>
        </w:rPr>
        <w:t>the recovery’s progress</w:t>
      </w:r>
      <w:r w:rsidRPr="003B5DDA">
        <w:rPr>
          <w:sz w:val="14"/>
        </w:rPr>
        <w:t xml:space="preserve">. Although </w:t>
      </w:r>
      <w:r w:rsidRPr="003B5DDA">
        <w:rPr>
          <w:rStyle w:val="StyleUnderline"/>
        </w:rPr>
        <w:t>the Fed predicts this will be a short-lived phenomenon,</w:t>
      </w:r>
      <w:r w:rsidRPr="003B5DDA">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DF5420">
        <w:rPr>
          <w:rStyle w:val="StyleUnderline"/>
          <w:highlight w:val="cyan"/>
        </w:rPr>
        <w:t>there will be</w:t>
      </w:r>
      <w:r w:rsidRPr="003B5DDA">
        <w:rPr>
          <w:rStyle w:val="StyleUnderline"/>
        </w:rPr>
        <w:t xml:space="preserve"> more </w:t>
      </w:r>
      <w:r w:rsidRPr="00DF5420">
        <w:rPr>
          <w:rStyle w:val="StyleUnderline"/>
          <w:highlight w:val="cyan"/>
        </w:rPr>
        <w:t>political pressure to tame any inflation</w:t>
      </w:r>
      <w:r w:rsidRPr="003B5DDA">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w:t>
      </w:r>
      <w:proofErr w:type="gramStart"/>
      <w:r w:rsidRPr="003B5DDA">
        <w:rPr>
          <w:sz w:val="14"/>
        </w:rPr>
        <w:t>child care</w:t>
      </w:r>
      <w:proofErr w:type="gramEnd"/>
      <w:r w:rsidRPr="003B5DDA">
        <w:rPr>
          <w:sz w:val="14"/>
        </w:rPr>
        <w:t xml:space="preserv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hotel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downsides, especially layoffs for workers without college degrees. “</w:t>
      </w:r>
      <w:r w:rsidRPr="003B5DDA">
        <w:rPr>
          <w:rStyle w:val="StyleUnderline"/>
        </w:rPr>
        <w:t>This is not a sure thing that we reap the benefits of faster growth without negative side effects</w:t>
      </w:r>
      <w:r w:rsidRPr="003B5DDA">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3B5DDA">
        <w:rPr>
          <w:sz w:val="14"/>
        </w:rPr>
        <w:t>Konter</w:t>
      </w:r>
      <w:proofErr w:type="spellEnd"/>
      <w:r w:rsidRPr="003B5DDA">
        <w:rPr>
          <w:sz w:val="14"/>
        </w:rPr>
        <w:t xml:space="preserve"> in Savannah, Ga., says reality on the ground is a lot different than charts on a Wall Street trading terminal. Sky-high prices for lumber remain at stores and many suppliers because they still have to sell all the wood they bought at the top. </w:t>
      </w:r>
      <w:proofErr w:type="spellStart"/>
      <w:r w:rsidRPr="003B5DDA">
        <w:rPr>
          <w:sz w:val="14"/>
        </w:rPr>
        <w:t>Konter</w:t>
      </w:r>
      <w:proofErr w:type="spellEnd"/>
      <w:r w:rsidRPr="003B5DDA">
        <w:rPr>
          <w:sz w:val="14"/>
        </w:rPr>
        <w:t xml:space="preserve"> doesn’t expect retail prices to change until August or September. For the first time in his 44-year career building homes, </w:t>
      </w:r>
      <w:proofErr w:type="spellStart"/>
      <w:r w:rsidRPr="003B5DDA">
        <w:rPr>
          <w:sz w:val="14"/>
        </w:rPr>
        <w:t>Konter</w:t>
      </w:r>
      <w:proofErr w:type="spellEnd"/>
      <w:r w:rsidRPr="003B5DDA">
        <w:rPr>
          <w:sz w:val="14"/>
        </w:rPr>
        <w:t xml:space="preserve"> altered his standard contract to no longer guarantee a firm date or price. He has to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3B5DDA">
        <w:rPr>
          <w:sz w:val="14"/>
        </w:rPr>
        <w:t>Konter</w:t>
      </w:r>
      <w:proofErr w:type="spellEnd"/>
      <w:r w:rsidRPr="003B5DDA">
        <w:rPr>
          <w:sz w:val="14"/>
        </w:rPr>
        <w:t xml:space="preserve"> said, adding, “There are so many people that are being left out of getting a home because of the additional input costs. It’s almost impossible to build an entry-level home.” While many </w:t>
      </w:r>
      <w:r w:rsidRPr="00DF5420">
        <w:rPr>
          <w:rStyle w:val="StyleUnderline"/>
          <w:highlight w:val="cyan"/>
        </w:rPr>
        <w:t>economists</w:t>
      </w:r>
      <w:r w:rsidRPr="003B5DDA">
        <w:rPr>
          <w:sz w:val="14"/>
        </w:rPr>
        <w:t xml:space="preserve"> and Wall Street traders </w:t>
      </w:r>
      <w:r w:rsidRPr="00DF5420">
        <w:rPr>
          <w:rStyle w:val="StyleUnderline"/>
          <w:highlight w:val="cyan"/>
        </w:rPr>
        <w:t>believe the Fed’s prediction that inflation will subside later this year</w:t>
      </w:r>
      <w:r w:rsidRPr="00DF5420">
        <w:rPr>
          <w:sz w:val="14"/>
          <w:highlight w:val="cyan"/>
        </w:rPr>
        <w:t>,</w:t>
      </w:r>
      <w:r w:rsidRPr="003B5DDA">
        <w:rPr>
          <w:sz w:val="14"/>
        </w:rPr>
        <w:t xml:space="preserve"> they are quick to say </w:t>
      </w:r>
      <w:r w:rsidRPr="003B5DDA">
        <w:rPr>
          <w:rStyle w:val="StyleUnderline"/>
        </w:rPr>
        <w:t xml:space="preserve">their biggest fear is that the Fed is wrong. </w:t>
      </w:r>
      <w:r w:rsidRPr="00DF5420">
        <w:rPr>
          <w:rStyle w:val="StyleUnderline"/>
          <w:highlight w:val="cyan"/>
        </w:rPr>
        <w:t>If a lot of people start believing inflation</w:t>
      </w:r>
      <w:r w:rsidRPr="003B5DDA">
        <w:rPr>
          <w:rStyle w:val="StyleUnderline"/>
        </w:rPr>
        <w:t xml:space="preserve"> of 5 percent a year </w:t>
      </w:r>
      <w:r w:rsidRPr="00DF5420">
        <w:rPr>
          <w:rStyle w:val="StyleUnderline"/>
          <w:highlight w:val="cyan"/>
        </w:rPr>
        <w:t>is here to stay</w:t>
      </w:r>
      <w:r w:rsidRPr="003B5DDA">
        <w:rPr>
          <w:sz w:val="14"/>
        </w:rPr>
        <w:t xml:space="preserve">, then they will demand higher pay and businesses will respond by raising consumer prices again, igniting a vicious cycle. </w:t>
      </w:r>
      <w:r w:rsidRPr="00DF5420">
        <w:rPr>
          <w:rStyle w:val="StyleUnderline"/>
          <w:highlight w:val="cyan"/>
        </w:rPr>
        <w:t>The Fed would have to respond</w:t>
      </w:r>
      <w:r w:rsidRPr="003B5DDA">
        <w:rPr>
          <w:rStyle w:val="StyleUnderline"/>
        </w:rPr>
        <w:t xml:space="preserve"> to that</w:t>
      </w:r>
      <w:r w:rsidRPr="003B5DDA">
        <w:rPr>
          <w:sz w:val="14"/>
        </w:rPr>
        <w:t xml:space="preserve"> cycle </w:t>
      </w:r>
      <w:r w:rsidRPr="00DF5420">
        <w:rPr>
          <w:rStyle w:val="StyleUnderline"/>
          <w:highlight w:val="cyan"/>
        </w:rPr>
        <w:t>by hiking interest rates quickly, a tactic that typically causes recessions</w:t>
      </w:r>
      <w:r w:rsidRPr="003B5DDA">
        <w:rPr>
          <w:sz w:val="14"/>
        </w:rPr>
        <w:t xml:space="preserve">. “In the next few months, we’ll have very </w:t>
      </w:r>
      <w:r w:rsidRPr="003B5DDA">
        <w:rPr>
          <w:rStyle w:val="StyleUnderline"/>
        </w:rPr>
        <w:t>high inflation numbers. It’s unlikely to persist, but it’s a real risk that it does. That risk is higher now than it has been for decades,”</w:t>
      </w:r>
      <w:r w:rsidRPr="003B5DDA">
        <w:rPr>
          <w:sz w:val="14"/>
        </w:rPr>
        <w:t xml:space="preserve"> said former Fed official Randall </w:t>
      </w:r>
      <w:proofErr w:type="spellStart"/>
      <w:r w:rsidRPr="003B5DDA">
        <w:rPr>
          <w:sz w:val="14"/>
        </w:rPr>
        <w:t>Kroszner</w:t>
      </w:r>
      <w:proofErr w:type="spellEnd"/>
      <w:r w:rsidRPr="003B5DDA">
        <w:rPr>
          <w:sz w:val="14"/>
        </w:rPr>
        <w:t>. “Will consumers accept it as temporary? We really don’t know. In some ways, this is faith-based monetary policy.”</w:t>
      </w:r>
    </w:p>
    <w:p w14:paraId="26F184B3" w14:textId="77777777" w:rsidR="002C1230" w:rsidRDefault="002C1230" w:rsidP="002C1230">
      <w:pPr>
        <w:pStyle w:val="Heading4"/>
      </w:pPr>
      <w:r>
        <w:t>Economic crises break down international order necessary for keeping peace, increasing the risk of conflict and nuclear escalation</w:t>
      </w:r>
    </w:p>
    <w:p w14:paraId="1A7CA105" w14:textId="77777777" w:rsidR="002C1230" w:rsidRPr="00053436" w:rsidRDefault="002C1230" w:rsidP="002C1230">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3A39F610" w14:textId="77777777" w:rsidR="002C1230" w:rsidRPr="007D05D3" w:rsidRDefault="002C1230" w:rsidP="002C1230">
      <w:pPr>
        <w:rPr>
          <w:sz w:val="16"/>
        </w:rPr>
      </w:pPr>
      <w:r w:rsidRPr="00223057">
        <w:rPr>
          <w:sz w:val="16"/>
        </w:rPr>
        <w:t xml:space="preserve">Growing </w:t>
      </w:r>
      <w:proofErr w:type="gramStart"/>
      <w:r w:rsidRPr="00223057">
        <w:rPr>
          <w:sz w:val="16"/>
        </w:rPr>
        <w:t>nationalism</w:t>
      </w:r>
      <w:proofErr w:type="gramEnd"/>
      <w:r w:rsidRPr="00223057">
        <w:rPr>
          <w:sz w:val="16"/>
        </w:rPr>
        <w:t xml:space="preserve"> </w:t>
      </w:r>
      <w:r w:rsidRPr="0019668F">
        <w:rPr>
          <w:rStyle w:val="StyleUnderline"/>
        </w:rPr>
        <w:t>The economic downturn is accelerating a greater pivot inward for</w:t>
      </w:r>
      <w:r w:rsidRPr="00223057">
        <w:rPr>
          <w:sz w:val="16"/>
        </w:rPr>
        <w:t xml:space="preserve"> many </w:t>
      </w:r>
      <w:r w:rsidRPr="0019668F">
        <w:rPr>
          <w:rStyle w:val="StyleUnderline"/>
        </w:rPr>
        <w:t xml:space="preserve">governments as they seek to maintain fragile domestic </w:t>
      </w:r>
      <w:r w:rsidRPr="00223057">
        <w:rPr>
          <w:sz w:val="16"/>
        </w:rPr>
        <w:t xml:space="preserve">political and social </w:t>
      </w:r>
      <w:r w:rsidRPr="0019668F">
        <w:rPr>
          <w:rStyle w:val="StyleUnderline"/>
        </w:rPr>
        <w:t>stability</w:t>
      </w:r>
      <w:r w:rsidRPr="00223057">
        <w:rPr>
          <w:sz w:val="16"/>
        </w:rPr>
        <w:t xml:space="preserve">. GPRS respondents rank “livelihood crises” and “prolonged stagnation” as top short-term risks, and </w:t>
      </w:r>
      <w:r w:rsidRPr="0019668F">
        <w:rPr>
          <w:rStyle w:val="StyleUnderline"/>
        </w:rPr>
        <w:t>economic concerns figure in four out of the top five medium-term risks</w:t>
      </w:r>
      <w:r w:rsidRPr="00223057">
        <w:rPr>
          <w:sz w:val="16"/>
        </w:rPr>
        <w:t xml:space="preserve"> (see Figure I: Global Risks Horizon). These </w:t>
      </w:r>
      <w:r w:rsidRPr="00DF5420">
        <w:rPr>
          <w:rStyle w:val="StyleUnderline"/>
          <w:highlight w:val="cyan"/>
        </w:rPr>
        <w:t>economic pressures</w:t>
      </w:r>
      <w:r w:rsidRPr="00223057">
        <w:rPr>
          <w:sz w:val="16"/>
        </w:rPr>
        <w:t xml:space="preserve"> and concomitant deepening nationalism </w:t>
      </w:r>
      <w:r w:rsidRPr="00DF5420">
        <w:rPr>
          <w:rStyle w:val="StyleUnderline"/>
          <w:highlight w:val="cyan"/>
        </w:rPr>
        <w:t>could result in</w:t>
      </w:r>
      <w:r w:rsidRPr="00223057">
        <w:rPr>
          <w:sz w:val="16"/>
        </w:rPr>
        <w:t xml:space="preserve"> middle power governments being unwilling or unable to contribute to </w:t>
      </w:r>
      <w:r w:rsidRPr="00DF5420">
        <w:rPr>
          <w:rStyle w:val="StyleUnderline"/>
          <w:highlight w:val="cyan"/>
        </w:rPr>
        <w:t>global risk</w:t>
      </w:r>
      <w:r w:rsidRPr="00223057">
        <w:rPr>
          <w:sz w:val="16"/>
        </w:rPr>
        <w:t xml:space="preserve"> mitigation. In many countries, regardless of governance approach, nationalistic impulses have paralleled the pandemic-induced centralization of power.15 Policy decisions taken in 2020 may persist beyond the pandemic, enabling some governments to use repressive measures to control restive populations and allowing leaders with autocratic tendencies to pursue broader, longer-term agendas. “Political entrepreneurs” could seek to leverage growing nationalism to move governments away from globalization and cooperation.16 Restrictions on migration that were imposed during the pandemic may not be quickly eased.17 Stifled influence and weakened world order The drivers outlined above, while universal, will reinforce specific challenges to middle power influence. In advanced middle power economies, widening </w:t>
      </w:r>
      <w:proofErr w:type="spellStart"/>
      <w:r w:rsidRPr="00223057">
        <w:rPr>
          <w:sz w:val="16"/>
        </w:rPr>
        <w:t>defence</w:t>
      </w:r>
      <w:proofErr w:type="spellEnd"/>
      <w:r w:rsidRPr="00223057">
        <w:rPr>
          <w:sz w:val="16"/>
        </w:rPr>
        <w:t xml:space="preserve"> and technology gaps are hindering leadership potential on critical transnational issues. Large, emerging markets are similarly hamstrung, with the ravages of COVID-19 further increasing vulnerability to superpower influence. </w:t>
      </w:r>
      <w:r w:rsidRPr="0019668F">
        <w:rPr>
          <w:rStyle w:val="StyleUnderline"/>
        </w:rPr>
        <w:t>The risks</w:t>
      </w:r>
      <w:r w:rsidRPr="00223057">
        <w:rPr>
          <w:sz w:val="16"/>
        </w:rPr>
        <w:t xml:space="preserve"> facing these countries </w:t>
      </w:r>
      <w:r w:rsidRPr="00DF5420">
        <w:rPr>
          <w:rStyle w:val="StyleUnderline"/>
          <w:highlight w:val="cyan"/>
        </w:rPr>
        <w:t>could translate to more global conflict and a weaker system in which to mediate it.</w:t>
      </w:r>
      <w:r>
        <w:rPr>
          <w:rStyle w:val="StyleUnderline"/>
        </w:rPr>
        <w:t xml:space="preserve"> </w:t>
      </w:r>
      <w:r w:rsidRPr="00223057">
        <w:rPr>
          <w:sz w:val="16"/>
        </w:rPr>
        <w:t xml:space="preserve">Caught in the middle </w:t>
      </w:r>
      <w:proofErr w:type="spellStart"/>
      <w:r w:rsidRPr="00223057">
        <w:rPr>
          <w:sz w:val="16"/>
        </w:rPr>
        <w:t>Middle</w:t>
      </w:r>
      <w:proofErr w:type="spellEnd"/>
      <w:r w:rsidRPr="00223057">
        <w:rPr>
          <w:sz w:val="16"/>
        </w:rPr>
        <w:t xml:space="preserve"> powers are uniquely positioned to offer alternative pathways for the world on trade, security and technology. However, growing capability gaps may force a choice between two rival blocs rather than allowing the middle powers to develop a diverse network of mutually beneficial agreements. For example, either the European Union (EU) (which accounts for nearly a third of global merchandise trade)18 or India (which is projected to become the world’s most populated country in 2027)19 could provide a counterbalance in the evolving geopolitical order in areas such as manufacturing and trade, but they will struggle to stand apart in digital and </w:t>
      </w:r>
      <w:proofErr w:type="spellStart"/>
      <w:r w:rsidRPr="00223057">
        <w:rPr>
          <w:sz w:val="16"/>
        </w:rPr>
        <w:t>defence</w:t>
      </w:r>
      <w:proofErr w:type="spellEnd"/>
      <w:r w:rsidRPr="00223057">
        <w:rPr>
          <w:sz w:val="16"/>
        </w:rPr>
        <w:t xml:space="preserve"> realms.20 </w:t>
      </w:r>
      <w:r w:rsidRPr="00DF5420">
        <w:rPr>
          <w:rStyle w:val="StyleUnderline"/>
          <w:highlight w:val="cyan"/>
        </w:rPr>
        <w:t>Growing competition between the United States and China</w:t>
      </w:r>
      <w:r w:rsidRPr="0019668F">
        <w:rPr>
          <w:rStyle w:val="StyleUnderline"/>
        </w:rPr>
        <w:t xml:space="preserve"> may</w:t>
      </w:r>
      <w:r w:rsidRPr="00223057">
        <w:rPr>
          <w:sz w:val="16"/>
        </w:rPr>
        <w:t xml:space="preserve"> also hinder other regional powers that might otherwise wish to pursue a balancing strategy. Middle Eastern governments could </w:t>
      </w:r>
      <w:r w:rsidRPr="0019668F">
        <w:rPr>
          <w:rStyle w:val="StyleUnderline"/>
        </w:rPr>
        <w:t xml:space="preserve">be </w:t>
      </w:r>
      <w:r w:rsidRPr="00DF5420">
        <w:rPr>
          <w:rStyle w:val="StyleUnderline"/>
          <w:highlight w:val="cyan"/>
        </w:rPr>
        <w:t>thrust into a tug of war</w:t>
      </w:r>
      <w:r w:rsidRPr="00223057">
        <w:rPr>
          <w:sz w:val="16"/>
        </w:rPr>
        <w:t xml:space="preserve">, with renewed US diplomacy efforts juxtaposed against increased Chinese economic initiatives in the region.21 In Latin America and Africa, China’s deepening economic ties could potentially rival historic security-based alliances and cultural connections with the United States.22 Forced to choose sides, governments may face economic or diplomatic consequences, </w:t>
      </w:r>
      <w:r w:rsidRPr="0019668F">
        <w:rPr>
          <w:rStyle w:val="StyleUnderline"/>
        </w:rPr>
        <w:t>as proxy disputes play out in control over economic or geographic resources. The</w:t>
      </w:r>
      <w:r w:rsidRPr="00223057">
        <w:rPr>
          <w:sz w:val="16"/>
        </w:rPr>
        <w:t xml:space="preserve"> </w:t>
      </w:r>
      <w:r w:rsidRPr="0019668F">
        <w:rPr>
          <w:rStyle w:val="StyleUnderline"/>
        </w:rPr>
        <w:t>deepening of geopolitical fault lines</w:t>
      </w:r>
      <w:r w:rsidRPr="00223057">
        <w:rPr>
          <w:sz w:val="16"/>
        </w:rPr>
        <w:t xml:space="preserve"> and the lack of viable middle power alternatives make it harder for countries to cultivate connective tissue with a diverse set of partner countries based on mutual values and maximizing efficiencies. Instead, </w:t>
      </w:r>
      <w:r w:rsidRPr="0019668F">
        <w:rPr>
          <w:rStyle w:val="StyleUnderline"/>
        </w:rPr>
        <w:t xml:space="preserve">networks will become thick in some directions and non-existent in others. </w:t>
      </w:r>
      <w:r w:rsidRPr="00DF5420">
        <w:rPr>
          <w:rStyle w:val="StyleUnderline"/>
          <w:highlight w:val="cyan"/>
        </w:rPr>
        <w:t>The COVID-19 crisis</w:t>
      </w:r>
      <w:r w:rsidRPr="0019668F">
        <w:rPr>
          <w:rStyle w:val="StyleUnderline"/>
        </w:rPr>
        <w:t xml:space="preserve"> has amplified this dynamic, as digital interactions </w:t>
      </w:r>
      <w:r w:rsidRPr="00DF5420">
        <w:rPr>
          <w:rStyle w:val="StyleUnderline"/>
          <w:highlight w:val="cyan"/>
        </w:rPr>
        <w:t>represent a “huge loss in efficiency for diplomacy</w:t>
      </w:r>
      <w:r w:rsidRPr="0019668F">
        <w:rPr>
          <w:rStyle w:val="StyleUnderline"/>
        </w:rPr>
        <w:t>” compared with face-to-face discussions</w:t>
      </w:r>
      <w:r w:rsidRPr="00223057">
        <w:rPr>
          <w:sz w:val="16"/>
        </w:rPr>
        <w:t xml:space="preserve">.23 With some alliances weakening, </w:t>
      </w:r>
      <w:r w:rsidRPr="00DF5420">
        <w:rPr>
          <w:rStyle w:val="StyleUnderline"/>
          <w:highlight w:val="cyan"/>
        </w:rPr>
        <w:t>diplomatic relationships will become more unstable at points where superpower tectonic plates meet or withdraw</w:t>
      </w:r>
      <w:r w:rsidRPr="0019668F">
        <w:rPr>
          <w:rStyle w:val="StyleUnderline"/>
        </w:rPr>
        <w:t>.</w:t>
      </w:r>
      <w:r>
        <w:rPr>
          <w:rStyle w:val="StyleUnderline"/>
        </w:rPr>
        <w:t xml:space="preserve"> </w:t>
      </w:r>
      <w:r w:rsidRPr="00223057">
        <w:rPr>
          <w:sz w:val="16"/>
        </w:rPr>
        <w:t xml:space="preserve">At the same time, without superpower referees or middle power enforcement, global norms may no longer govern state </w:t>
      </w:r>
      <w:proofErr w:type="spellStart"/>
      <w:r w:rsidRPr="00223057">
        <w:rPr>
          <w:sz w:val="16"/>
        </w:rPr>
        <w:t>behaviour</w:t>
      </w:r>
      <w:proofErr w:type="spellEnd"/>
      <w:r w:rsidRPr="00223057">
        <w:rPr>
          <w:sz w:val="16"/>
        </w:rPr>
        <w:t xml:space="preserve">. Some governments will thus see the solidification of rival blocs as an opportunity to engage in regional posturing, which will have destabilizing effects.24 Across societies, domestic discord and economic crises will increase the risk of autocracy, with corresponding censorship, surveillance, restriction of movement and abrogation of rights.25 </w:t>
      </w:r>
      <w:r w:rsidRPr="00DF5420">
        <w:rPr>
          <w:rStyle w:val="StyleUnderline"/>
          <w:highlight w:val="cyan"/>
        </w:rPr>
        <w:t>Economic crises</w:t>
      </w:r>
      <w:r w:rsidRPr="0019668F">
        <w:rPr>
          <w:rStyle w:val="StyleUnderline"/>
        </w:rPr>
        <w:t xml:space="preserve"> will</w:t>
      </w:r>
      <w:r w:rsidRPr="00223057">
        <w:rPr>
          <w:sz w:val="16"/>
        </w:rPr>
        <w:t xml:space="preserve"> also </w:t>
      </w:r>
      <w:r w:rsidRPr="00DF5420">
        <w:rPr>
          <w:rStyle w:val="StyleUnderline"/>
          <w:highlight w:val="cyan"/>
        </w:rPr>
        <w:t>amplify</w:t>
      </w:r>
      <w:r w:rsidRPr="0019668F">
        <w:rPr>
          <w:rStyle w:val="StyleUnderline"/>
        </w:rPr>
        <w:t xml:space="preserve"> the challenges for</w:t>
      </w:r>
      <w:r w:rsidRPr="00223057">
        <w:rPr>
          <w:sz w:val="16"/>
        </w:rPr>
        <w:t xml:space="preserve"> middle powers as they navigate </w:t>
      </w:r>
      <w:r w:rsidRPr="00DF5420">
        <w:rPr>
          <w:rStyle w:val="StyleUnderline"/>
          <w:highlight w:val="cyan"/>
        </w:rPr>
        <w:t>geopolitical competition</w:t>
      </w:r>
      <w:r w:rsidRPr="0019668F">
        <w:rPr>
          <w:rStyle w:val="StyleUnderline"/>
        </w:rPr>
        <w:t>.</w:t>
      </w:r>
      <w:r w:rsidRPr="00223057">
        <w:rPr>
          <w:sz w:val="16"/>
        </w:rPr>
        <w:t xml:space="preserve"> ASEAN countries, for example, had offered a potential new manufacturing base as the United States and China decouple, but the pandemic has left these countries strapped for cash to invest in the necessary infrastructure and productive capacity.26 </w:t>
      </w:r>
      <w:r w:rsidRPr="00223057">
        <w:rPr>
          <w:rStyle w:val="StyleUnderline"/>
        </w:rPr>
        <w:t>Economic fallout is pushing many countries to debt distress</w:t>
      </w:r>
      <w:r w:rsidRPr="00223057">
        <w:rPr>
          <w:sz w:val="16"/>
        </w:rPr>
        <w:t xml:space="preserve"> (see Chapter 1, Global Risks 2021). While G20 countries are supporting debt restructure for poorer nations,27 larger economies too may be at risk of default in the longer term;28 this would leave them further stranded—and unable to exercise leadership—on the global stage. Multilateral meltdown Middle power weaknesses will be </w:t>
      </w:r>
      <w:r w:rsidRPr="00DF5420">
        <w:rPr>
          <w:rStyle w:val="StyleUnderline"/>
          <w:highlight w:val="cyan"/>
        </w:rPr>
        <w:t>reinforced in weakened institutions</w:t>
      </w:r>
      <w:r w:rsidRPr="00223057">
        <w:rPr>
          <w:rStyle w:val="StyleUnderline"/>
        </w:rPr>
        <w:t xml:space="preserve">, which may translate to more uncertainty and lagging progress on shared global challenges such as climate change, health, poverty reduction and technology governance. </w:t>
      </w:r>
      <w:r w:rsidRPr="00223057">
        <w:rPr>
          <w:sz w:val="16"/>
        </w:rPr>
        <w:t xml:space="preserve">In the absence of strong regulating institutions, the Arctic and space represent new realms for potential conflict as the superpowers and middle powers alike compete to extract resources and secure strategic advantage.29 If the global superpowers continue to accumulate economic, military and technological power in a zero-sum playing field, some middle powers could increasingly fall behind. </w:t>
      </w:r>
      <w:r w:rsidRPr="00DF5420">
        <w:rPr>
          <w:rStyle w:val="StyleUnderline"/>
          <w:highlight w:val="cyan"/>
        </w:rPr>
        <w:t>Without cooperation</w:t>
      </w:r>
      <w:r w:rsidRPr="00223057">
        <w:rPr>
          <w:rStyle w:val="StyleUnderline"/>
        </w:rPr>
        <w:t xml:space="preserve"> or access to important innovations</w:t>
      </w:r>
      <w:r w:rsidRPr="00223057">
        <w:rPr>
          <w:sz w:val="16"/>
        </w:rPr>
        <w:t>, middle powers will struggle to define solutions to the world’s problems. In the long term, GRPS respondents</w:t>
      </w:r>
      <w:r w:rsidRPr="00223057">
        <w:rPr>
          <w:rStyle w:val="StyleUnderline"/>
        </w:rPr>
        <w:t xml:space="preserve"> </w:t>
      </w:r>
      <w:r w:rsidRPr="00223057">
        <w:rPr>
          <w:sz w:val="16"/>
        </w:rPr>
        <w:t>forecasted</w:t>
      </w:r>
      <w:r w:rsidRPr="00223057">
        <w:rPr>
          <w:rStyle w:val="StyleUnderline"/>
        </w:rPr>
        <w:t xml:space="preserve"> “</w:t>
      </w:r>
      <w:r w:rsidRPr="00DF5420">
        <w:rPr>
          <w:rStyle w:val="StyleUnderline"/>
          <w:highlight w:val="cyan"/>
        </w:rPr>
        <w:t xml:space="preserve">weapons of mass destruction” </w:t>
      </w:r>
      <w:r w:rsidRPr="007876DA">
        <w:rPr>
          <w:rStyle w:val="StyleUnderline"/>
        </w:rPr>
        <w:t xml:space="preserve">and “state collapse” </w:t>
      </w:r>
      <w:r w:rsidRPr="00DF5420">
        <w:rPr>
          <w:rStyle w:val="StyleUnderline"/>
          <w:highlight w:val="cyan"/>
        </w:rPr>
        <w:t>as the</w:t>
      </w:r>
      <w:r w:rsidRPr="00223057">
        <w:rPr>
          <w:rStyle w:val="StyleUnderline"/>
        </w:rPr>
        <w:t xml:space="preserve"> two </w:t>
      </w:r>
      <w:r w:rsidRPr="00DF5420">
        <w:rPr>
          <w:rStyle w:val="StyleUnderline"/>
          <w:highlight w:val="cyan"/>
        </w:rPr>
        <w:t>top critical threat</w:t>
      </w:r>
      <w:r w:rsidRPr="007876DA">
        <w:rPr>
          <w:sz w:val="12"/>
          <w:szCs w:val="12"/>
        </w:rPr>
        <w:t>s</w:t>
      </w:r>
      <w:r w:rsidRPr="00223057">
        <w:rPr>
          <w:sz w:val="16"/>
        </w:rPr>
        <w:t xml:space="preserve">: in the absence of strong institutions or clear rules, </w:t>
      </w:r>
      <w:r w:rsidRPr="00DF5420">
        <w:rPr>
          <w:rStyle w:val="StyleUnderline"/>
          <w:highlight w:val="cyan"/>
        </w:rPr>
        <w:t>clashes</w:t>
      </w:r>
      <w:r w:rsidRPr="00223057">
        <w:rPr>
          <w:sz w:val="16"/>
        </w:rPr>
        <w:t xml:space="preserve">— such as those in Nagorno-Karabakh or the </w:t>
      </w:r>
      <w:proofErr w:type="spellStart"/>
      <w:r w:rsidRPr="00223057">
        <w:rPr>
          <w:sz w:val="16"/>
        </w:rPr>
        <w:t>Galwan</w:t>
      </w:r>
      <w:proofErr w:type="spellEnd"/>
      <w:r w:rsidRPr="00223057">
        <w:rPr>
          <w:sz w:val="16"/>
        </w:rPr>
        <w:t xml:space="preserve"> Valley—</w:t>
      </w:r>
      <w:r w:rsidRPr="00223057">
        <w:rPr>
          <w:rStyle w:val="StyleUnderline"/>
        </w:rPr>
        <w:t xml:space="preserve">may more frequently </w:t>
      </w:r>
      <w:r w:rsidRPr="00DF5420">
        <w:rPr>
          <w:rStyle w:val="StyleUnderline"/>
          <w:highlight w:val="cyan"/>
        </w:rPr>
        <w:t>flare into full-fledged interstate conflicts</w:t>
      </w:r>
      <w:r w:rsidRPr="00223057">
        <w:rPr>
          <w:sz w:val="16"/>
        </w:rPr>
        <w:t xml:space="preserve">,30 </w:t>
      </w:r>
      <w:r w:rsidRPr="00E02D42">
        <w:rPr>
          <w:rStyle w:val="StyleUnderline"/>
        </w:rPr>
        <w:t xml:space="preserve">which is </w:t>
      </w:r>
      <w:r w:rsidRPr="00DF5420">
        <w:rPr>
          <w:rStyle w:val="StyleUnderline"/>
          <w:highlight w:val="cyan"/>
        </w:rPr>
        <w:t xml:space="preserve">particularly worrisome where </w:t>
      </w:r>
      <w:r w:rsidRPr="00E02D42">
        <w:rPr>
          <w:rStyle w:val="StyleUnderline"/>
        </w:rPr>
        <w:t xml:space="preserve">unresolved tensions among </w:t>
      </w:r>
      <w:r w:rsidRPr="00DF5420">
        <w:rPr>
          <w:rStyle w:val="StyleUnderline"/>
          <w:highlight w:val="cyan"/>
        </w:rPr>
        <w:t>nuclear powers are concerned</w:t>
      </w:r>
      <w:r w:rsidRPr="00DF5420">
        <w:rPr>
          <w:sz w:val="16"/>
          <w:highlight w:val="cyan"/>
        </w:rPr>
        <w:t>.</w:t>
      </w:r>
      <w:r w:rsidRPr="00223057">
        <w:rPr>
          <w:sz w:val="16"/>
        </w:rPr>
        <w:t xml:space="preserve"> These conflicts may lead to state collapse, with weakened middle powers less willing or less able to step in to find a peaceful solution. </w:t>
      </w:r>
      <w:bookmarkEnd w:id="0"/>
    </w:p>
    <w:p w14:paraId="5CA194F5" w14:textId="77777777" w:rsidR="002C1230" w:rsidRDefault="002C1230" w:rsidP="002C1230">
      <w:pPr>
        <w:pStyle w:val="Heading4"/>
      </w:pPr>
      <w:r>
        <w:t xml:space="preserve">Nuclear war would </w:t>
      </w:r>
      <w:proofErr w:type="gramStart"/>
      <w:r>
        <w:t>causes</w:t>
      </w:r>
      <w:proofErr w:type="gramEnd"/>
      <w:r>
        <w:t xml:space="preserve"> extinction: massive death, destruction of food production, and massive climate shifts</w:t>
      </w:r>
    </w:p>
    <w:p w14:paraId="3DDC7058" w14:textId="77777777" w:rsidR="002C1230" w:rsidRPr="00E02D42" w:rsidRDefault="002C1230" w:rsidP="002C1230">
      <w:proofErr w:type="spellStart"/>
      <w:r w:rsidRPr="00F7737B">
        <w:rPr>
          <w:rStyle w:val="Style13ptBold"/>
        </w:rPr>
        <w:t>Dodds</w:t>
      </w:r>
      <w:proofErr w:type="spellEnd"/>
      <w:r w:rsidRPr="00F7737B">
        <w:rPr>
          <w:rStyle w:val="Style13ptBold"/>
        </w:rPr>
        <w:t xml:space="preserve"> 2019</w:t>
      </w:r>
      <w:r>
        <w:t xml:space="preserve">. Walter </w:t>
      </w:r>
      <w:proofErr w:type="spellStart"/>
      <w:r>
        <w:t>Dodds</w:t>
      </w:r>
      <w:proofErr w:type="spellEnd"/>
      <w:r>
        <w:t xml:space="preserve"> is a University Distinguished Professor at Kansas State University. “Chapter 6 Nuclear Weapons” </w:t>
      </w:r>
      <w:r w:rsidRPr="00F7737B">
        <w:rPr>
          <w:i/>
          <w:iCs/>
        </w:rPr>
        <w:t>The World’s Worst Problems,</w:t>
      </w:r>
      <w:r>
        <w:rPr>
          <w:i/>
          <w:iCs/>
        </w:rPr>
        <w:t xml:space="preserve"> </w:t>
      </w:r>
      <w:r w:rsidRPr="00F7737B">
        <w:t>Springer Nature Switzerland AG 2019</w:t>
      </w:r>
      <w:r>
        <w:t>. &lt;https://doi.org/10.1007/978-3-030-30410-2_6&gt; Accessed 6/23/21. ARJH/msdi2021</w:t>
      </w:r>
    </w:p>
    <w:p w14:paraId="4CCEA4AD" w14:textId="77777777" w:rsidR="002C1230" w:rsidRDefault="002C1230" w:rsidP="002C1230">
      <w:pPr>
        <w:rPr>
          <w:sz w:val="14"/>
        </w:rPr>
      </w:pPr>
      <w:r w:rsidRPr="00F7737B">
        <w:rPr>
          <w:sz w:val="14"/>
        </w:rPr>
        <w:t xml:space="preserve">Atmospheric scientists knew of these effects before development of extensive nuclear arsenals and predicted that nuclear war could lead to similar conditions. More recently, scientists have used global circulation models (the models used to predict global warming from greenhouse gas emissions) to calculate the effects of nuclear war [59]. The models suggest that all-out </w:t>
      </w:r>
      <w:r w:rsidRPr="00DF5420">
        <w:rPr>
          <w:rStyle w:val="StyleUnderline"/>
          <w:highlight w:val="cyan"/>
        </w:rPr>
        <w:t>nuclear war would lead to</w:t>
      </w:r>
      <w:r w:rsidRPr="00F7737B">
        <w:rPr>
          <w:rStyle w:val="StyleUnderline"/>
        </w:rPr>
        <w:t xml:space="preserve"> an average global cooling of about 14 °F for several years</w:t>
      </w:r>
      <w:r w:rsidRPr="00F7737B">
        <w:rPr>
          <w:sz w:val="14"/>
        </w:rPr>
        <w:t xml:space="preserve"> and even a decade later the cooling would be about half that. </w:t>
      </w:r>
      <w:r w:rsidRPr="00F7737B">
        <w:rPr>
          <w:rStyle w:val="StyleUnderline"/>
        </w:rPr>
        <w:t xml:space="preserve">This </w:t>
      </w:r>
      <w:r w:rsidRPr="00DF5420">
        <w:rPr>
          <w:rStyle w:val="StyleUnderline"/>
          <w:highlight w:val="cyan"/>
        </w:rPr>
        <w:t>extreme cooling</w:t>
      </w:r>
      <w:r w:rsidRPr="00F7737B">
        <w:rPr>
          <w:sz w:val="14"/>
        </w:rPr>
        <w:t xml:space="preserve"> (more extreme than the last global ice age) </w:t>
      </w:r>
      <w:r w:rsidRPr="00F7737B">
        <w:rPr>
          <w:rStyle w:val="StyleUnderline"/>
        </w:rPr>
        <w:t>would kill many plants around the world</w:t>
      </w:r>
      <w:r w:rsidRPr="00F7737B">
        <w:rPr>
          <w:sz w:val="14"/>
        </w:rPr>
        <w:t xml:space="preserve"> not adapted to the colder temperatures. Iowa and the Ukraine would freeze for an entire year. </w:t>
      </w:r>
      <w:r w:rsidRPr="00DF5420">
        <w:rPr>
          <w:rStyle w:val="StyleUnderline"/>
          <w:highlight w:val="cyan"/>
        </w:rPr>
        <w:t>Agriculture would become extremely difficult in</w:t>
      </w:r>
      <w:r w:rsidRPr="00F7737B">
        <w:rPr>
          <w:rStyle w:val="StyleUnderline"/>
        </w:rPr>
        <w:t xml:space="preserve"> the mid-latitudes that are currently </w:t>
      </w:r>
      <w:r w:rsidRPr="00DF5420">
        <w:rPr>
          <w:rStyle w:val="StyleUnderline"/>
          <w:highlight w:val="cyan"/>
        </w:rPr>
        <w:t>the bread- basket of the world</w:t>
      </w:r>
      <w:r w:rsidRPr="00F7737B">
        <w:rPr>
          <w:sz w:val="14"/>
        </w:rPr>
        <w:t xml:space="preserve">. Three years after the explosions, cooling would still shorten growing season in most of the United States and Europe by 3 months. </w:t>
      </w:r>
      <w:r w:rsidRPr="00F7737B">
        <w:rPr>
          <w:rStyle w:val="StyleUnderline"/>
        </w:rPr>
        <w:t>Even a limited nuclear exchange would cause global cooling and</w:t>
      </w:r>
      <w:r w:rsidRPr="00F7737B">
        <w:rPr>
          <w:sz w:val="14"/>
        </w:rPr>
        <w:t xml:space="preserve"> some </w:t>
      </w:r>
      <w:r w:rsidRPr="00F7737B">
        <w:rPr>
          <w:rStyle w:val="StyleUnderline"/>
        </w:rPr>
        <w:t xml:space="preserve">crop failure. </w:t>
      </w:r>
      <w:r w:rsidRPr="00DF5420">
        <w:rPr>
          <w:rStyle w:val="StyleUnderline"/>
          <w:highlight w:val="cyan"/>
        </w:rPr>
        <w:t>Global starvation would result</w:t>
      </w:r>
      <w:r w:rsidRPr="00F7737B">
        <w:rPr>
          <w:rStyle w:val="StyleUnderline"/>
        </w:rPr>
        <w:t xml:space="preserve"> in parts of the world where people were able to survive the initial effects of the nuclear explosions and subsequent radiation poisoning.</w:t>
      </w:r>
      <w:r w:rsidRPr="00F7737B">
        <w:rPr>
          <w:sz w:val="14"/>
        </w:rPr>
        <w:t xml:space="preserve"> </w:t>
      </w:r>
      <w:r w:rsidRPr="00DF5420">
        <w:rPr>
          <w:rStyle w:val="StyleUnderline"/>
          <w:highlight w:val="cyan"/>
        </w:rPr>
        <w:t>The drastic decreases in temperature would probably kill many plants on Earth.</w:t>
      </w:r>
      <w:r w:rsidRPr="00F7737B">
        <w:rPr>
          <w:rStyle w:val="StyleUnderline"/>
        </w:rPr>
        <w:t xml:space="preserve"> Tropical plants that are not able to withstand freezing would certainly die. </w:t>
      </w:r>
      <w:r w:rsidRPr="00F7737B">
        <w:rPr>
          <w:sz w:val="14"/>
        </w:rPr>
        <w:t xml:space="preserve">Temperate plants would either be completely frozen or experience freezing temperatures at times of year they are not adapted to. </w:t>
      </w:r>
      <w:r w:rsidRPr="00F7737B">
        <w:rPr>
          <w:rStyle w:val="StyleUnderline"/>
        </w:rPr>
        <w:t>Ultimately, the climate would warm as the particulate material settled out of the atmosphere, and the dead vegetation would start to decompose</w:t>
      </w:r>
      <w:r w:rsidRPr="00F7737B">
        <w:rPr>
          <w:sz w:val="14"/>
        </w:rPr>
        <w:t xml:space="preserve">. The decomposition would result in carbon dioxide production. </w:t>
      </w:r>
      <w:proofErr w:type="gramStart"/>
      <w:r w:rsidRPr="00F7737B">
        <w:rPr>
          <w:sz w:val="14"/>
        </w:rPr>
        <w:t>Usually</w:t>
      </w:r>
      <w:proofErr w:type="gramEnd"/>
      <w:r w:rsidRPr="00F7737B">
        <w:rPr>
          <w:sz w:val="14"/>
        </w:rPr>
        <w:t xml:space="preserve"> carbon dioxide release by decomposition is balanced by uptake during the process of photosynthesis. However, </w:t>
      </w:r>
      <w:r w:rsidRPr="00DF5420">
        <w:rPr>
          <w:rStyle w:val="StyleUnderline"/>
          <w:highlight w:val="cyan"/>
        </w:rPr>
        <w:t>if many of the plants are killed by cold</w:t>
      </w:r>
      <w:r w:rsidRPr="00F7737B">
        <w:rPr>
          <w:sz w:val="14"/>
        </w:rPr>
        <w:t xml:space="preserve">, or injured by increases in ultraviolet from ozone depletion, </w:t>
      </w:r>
      <w:r w:rsidRPr="00F7737B">
        <w:rPr>
          <w:rStyle w:val="StyleUnderline"/>
        </w:rPr>
        <w:t xml:space="preserve">there is limited photosynthesis, and </w:t>
      </w:r>
      <w:r w:rsidRPr="00DF5420">
        <w:rPr>
          <w:rStyle w:val="StyleUnderline"/>
          <w:highlight w:val="cyan"/>
        </w:rPr>
        <w:t>there would be a strong increase in carbon dioxide in the atmosphere</w:t>
      </w:r>
      <w:r w:rsidRPr="00F7737B">
        <w:rPr>
          <w:rStyle w:val="StyleUnderline"/>
        </w:rPr>
        <w:t>.</w:t>
      </w:r>
      <w:r>
        <w:rPr>
          <w:rStyle w:val="StyleUnderline"/>
        </w:rPr>
        <w:t xml:space="preserve"> </w:t>
      </w:r>
      <w:r w:rsidRPr="00F7737B">
        <w:rPr>
          <w:sz w:val="14"/>
        </w:rPr>
        <w:t xml:space="preserve">Additionally, </w:t>
      </w:r>
      <w:r w:rsidRPr="00F7737B">
        <w:rPr>
          <w:rStyle w:val="StyleUnderline"/>
        </w:rPr>
        <w:t>the huge fires from the nuclear explosions would lead to the primary product of combustion, carbon dioxide</w:t>
      </w:r>
      <w:r w:rsidRPr="00F7737B">
        <w:rPr>
          <w:sz w:val="14"/>
        </w:rPr>
        <w:t xml:space="preserve">. The fires would immediately increase atmospheric carbon dioxide, and this would take decades to leave the atmosphere. In a nutshell, </w:t>
      </w:r>
      <w:r w:rsidRPr="00F7737B">
        <w:rPr>
          <w:rStyle w:val="StyleUnderline"/>
        </w:rPr>
        <w:t xml:space="preserve">increases in atmospheric carbon dioxide would cause the entire atmosphere of Earth to warm and lead to increased surface temperatures </w:t>
      </w:r>
      <w:r w:rsidRPr="00F7737B">
        <w:rPr>
          <w:sz w:val="14"/>
        </w:rPr>
        <w:t xml:space="preserve">(I will discuss this in more detail in the next chapter). Thus, once the soot particles settled out of the upper atmosphere, and nuclear winter eased, the globe would warm drastically. </w:t>
      </w:r>
      <w:r w:rsidRPr="00F7737B">
        <w:rPr>
          <w:rStyle w:val="StyleUnderline"/>
        </w:rPr>
        <w:t xml:space="preserve">This </w:t>
      </w:r>
      <w:r w:rsidRPr="00DF5420">
        <w:rPr>
          <w:rStyle w:val="StyleUnderline"/>
          <w:highlight w:val="cyan"/>
        </w:rPr>
        <w:t>nuclear summer would follow</w:t>
      </w:r>
      <w:r w:rsidRPr="00F7737B">
        <w:rPr>
          <w:rStyle w:val="StyleUnderline"/>
        </w:rPr>
        <w:t xml:space="preserve"> the </w:t>
      </w:r>
      <w:r w:rsidRPr="00DF5420">
        <w:rPr>
          <w:rStyle w:val="StyleUnderline"/>
          <w:highlight w:val="cyan"/>
        </w:rPr>
        <w:t>nuclear winter</w:t>
      </w:r>
      <w:r w:rsidRPr="00F7737B">
        <w:rPr>
          <w:rStyle w:val="StyleUnderline"/>
        </w:rPr>
        <w:t xml:space="preserve">. One can imagine ice and snow building up for a decade and then a very </w:t>
      </w:r>
      <w:r w:rsidRPr="00DF5420">
        <w:rPr>
          <w:rStyle w:val="StyleUnderline"/>
          <w:highlight w:val="cyan"/>
        </w:rPr>
        <w:t>rapid warming leading to catastrophic flooding</w:t>
      </w:r>
      <w:r w:rsidRPr="00F7737B">
        <w:rPr>
          <w:rStyle w:val="StyleUnderline"/>
        </w:rPr>
        <w:t>.</w:t>
      </w:r>
      <w:r>
        <w:rPr>
          <w:rStyle w:val="StyleUnderline"/>
        </w:rPr>
        <w:t xml:space="preserve"> </w:t>
      </w:r>
      <w:r w:rsidRPr="00F7737B">
        <w:rPr>
          <w:sz w:val="14"/>
        </w:rPr>
        <w:t xml:space="preserve">Post-fusion World? </w:t>
      </w:r>
      <w:r w:rsidRPr="00DF5420">
        <w:rPr>
          <w:rStyle w:val="StyleUnderline"/>
          <w:highlight w:val="cyan"/>
        </w:rPr>
        <w:t>Given the drastic effects of full-scale nuclear war</w:t>
      </w:r>
      <w:r w:rsidRPr="00F7737B">
        <w:rPr>
          <w:sz w:val="14"/>
        </w:rPr>
        <w:t xml:space="preserve">, the resulting world would be very different from the Earth we inhabit today. </w:t>
      </w:r>
      <w:r w:rsidRPr="00F7737B">
        <w:rPr>
          <w:rStyle w:val="StyleUnderline"/>
        </w:rPr>
        <w:t>Only the hardiest plants and insects would be able to survive the radioactive radiation, the increased exposure to ultraviolet rays from the sun, and the drastic swings in temperatures.</w:t>
      </w:r>
      <w:r w:rsidRPr="00F7737B">
        <w:rPr>
          <w:sz w:val="14"/>
        </w:rPr>
        <w:t xml:space="preserve"> Essentially all large animals and most large plants would disappear. If some people were able to hole up for several decades until the Earth once again became habitable, </w:t>
      </w:r>
      <w:r w:rsidRPr="00F7737B">
        <w:rPr>
          <w:rStyle w:val="StyleUnderline"/>
        </w:rPr>
        <w:t>there would be little capacity for food production</w:t>
      </w:r>
      <w:r w:rsidRPr="00F7737B">
        <w:rPr>
          <w:sz w:val="14"/>
        </w:rPr>
        <w:t xml:space="preserve">, and the Earth would be a very desolate place. </w:t>
      </w:r>
      <w:r w:rsidRPr="00DF5420">
        <w:rPr>
          <w:rStyle w:val="StyleUnderline"/>
          <w:highlight w:val="cyan"/>
        </w:rPr>
        <w:t>It is not likely that humanity would survive full-scale nuclear war</w:t>
      </w:r>
      <w:r w:rsidRPr="00F7737B">
        <w:rPr>
          <w:sz w:val="14"/>
        </w:rPr>
        <w:t>.</w:t>
      </w:r>
    </w:p>
    <w:p w14:paraId="714C9552" w14:textId="77777777" w:rsidR="002C1230" w:rsidRPr="002C1230" w:rsidRDefault="002C1230" w:rsidP="002C1230"/>
    <w:p w14:paraId="1BE6DB11" w14:textId="7A980F46" w:rsidR="002C1230" w:rsidRPr="002E25ED" w:rsidRDefault="002C1230" w:rsidP="002C1230">
      <w:pPr>
        <w:pStyle w:val="Heading2"/>
      </w:pPr>
      <w:r>
        <w:t>Case</w:t>
      </w:r>
    </w:p>
    <w:p w14:paraId="026ECA9C" w14:textId="77777777" w:rsidR="002C1230" w:rsidRPr="002E25ED" w:rsidRDefault="002C1230" w:rsidP="002C1230">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6F5F7552" w14:textId="77777777" w:rsidR="002C1230" w:rsidRPr="002E25ED" w:rsidRDefault="002C1230" w:rsidP="002C123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C24C2E7" w14:textId="77777777" w:rsidR="002C1230" w:rsidRPr="002E25ED" w:rsidRDefault="002C1230" w:rsidP="002C123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8"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0"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3"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4"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5"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7"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8"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9"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3"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4"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5"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6"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6955E8EA" w14:textId="77777777" w:rsidR="002C1230" w:rsidRPr="002E25ED" w:rsidRDefault="002C1230" w:rsidP="002C1230">
      <w:pPr>
        <w:spacing w:line="240" w:lineRule="auto"/>
        <w:rPr>
          <w:rFonts w:eastAsia="Cambria"/>
          <w:lang w:val="en-HK"/>
        </w:rPr>
      </w:pPr>
    </w:p>
    <w:p w14:paraId="1FD54069" w14:textId="77777777" w:rsidR="002C1230" w:rsidRPr="002E25ED" w:rsidRDefault="002C1230" w:rsidP="002C1230">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5314C918" w14:textId="77777777" w:rsidR="002C1230" w:rsidRPr="002E25ED" w:rsidRDefault="002C1230" w:rsidP="002C123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F738C76" w14:textId="77777777" w:rsidR="002C1230" w:rsidRPr="002E25ED" w:rsidRDefault="002C1230" w:rsidP="002C123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7"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8"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9"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0"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1"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1" w:name="Table-2"/>
      <w:bookmarkEnd w:id="1"/>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2"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CA332F5" w14:textId="77777777" w:rsidR="002C1230" w:rsidRPr="000E0231" w:rsidRDefault="002C1230" w:rsidP="002C1230">
      <w:pPr>
        <w:rPr>
          <w:rFonts w:asciiTheme="minorHAnsi" w:hAnsiTheme="minorHAnsi" w:cstheme="minorHAnsi"/>
        </w:rPr>
      </w:pPr>
    </w:p>
    <w:p w14:paraId="14268453" w14:textId="77777777" w:rsidR="002C1230" w:rsidRPr="002E25ED" w:rsidRDefault="002C1230" w:rsidP="002C1230">
      <w:pPr>
        <w:pStyle w:val="Heading4"/>
      </w:pPr>
      <w:r>
        <w:t xml:space="preserve">Conditional RTS is enough. </w:t>
      </w:r>
      <w:r w:rsidRPr="002E25ED">
        <w:t>Countries generally restrict the right to strike, even where Unions are effective and powerful.</w:t>
      </w:r>
    </w:p>
    <w:p w14:paraId="24AF0FC3" w14:textId="77777777" w:rsidR="002C1230" w:rsidRPr="002E25ED" w:rsidRDefault="002C1230" w:rsidP="002C1230">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6AFC7ABD" w14:textId="77777777" w:rsidR="002C1230" w:rsidRPr="002E25ED" w:rsidRDefault="002C1230" w:rsidP="002C1230">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33F59CB0" w14:textId="5F716B60" w:rsidR="002C1230" w:rsidRDefault="002C1230" w:rsidP="00F601E6"/>
    <w:p w14:paraId="1D31351E" w14:textId="03CF8151" w:rsidR="00436736" w:rsidRDefault="00436736" w:rsidP="00F601E6"/>
    <w:p w14:paraId="7DD30DBC" w14:textId="40EF3099" w:rsidR="00436736" w:rsidRPr="00436736" w:rsidRDefault="00436736" w:rsidP="00436736">
      <w:pPr>
        <w:pStyle w:val="ListParagraph"/>
        <w:numPr>
          <w:ilvl w:val="0"/>
          <w:numId w:val="14"/>
        </w:numPr>
      </w:pPr>
    </w:p>
    <w:sectPr w:rsidR="00436736" w:rsidRPr="004367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963B2"/>
    <w:multiLevelType w:val="hybridMultilevel"/>
    <w:tmpl w:val="CFD4B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0F112F"/>
    <w:multiLevelType w:val="hybridMultilevel"/>
    <w:tmpl w:val="3C7E346A"/>
    <w:lvl w:ilvl="0" w:tplc="40766266">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A65071"/>
    <w:multiLevelType w:val="hybridMultilevel"/>
    <w:tmpl w:val="769A9152"/>
    <w:lvl w:ilvl="0" w:tplc="165C162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5"/>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1230"/>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12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23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73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DD310C"/>
  <w14:defaultImageDpi w14:val="300"/>
  <w15:docId w15:val="{EF5B090C-E126-774B-BAC0-26C1A0B2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1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11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1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1A11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A11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1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124"/>
  </w:style>
  <w:style w:type="character" w:customStyle="1" w:styleId="Heading1Char">
    <w:name w:val="Heading 1 Char"/>
    <w:aliases w:val="Pocket Char"/>
    <w:basedOn w:val="DefaultParagraphFont"/>
    <w:link w:val="Heading1"/>
    <w:uiPriority w:val="9"/>
    <w:rsid w:val="001A11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124"/>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1A112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A11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A1124"/>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1A112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A11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11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1A1124"/>
    <w:rPr>
      <w:color w:val="auto"/>
      <w:u w:val="none"/>
    </w:rPr>
  </w:style>
  <w:style w:type="paragraph" w:styleId="DocumentMap">
    <w:name w:val="Document Map"/>
    <w:basedOn w:val="Normal"/>
    <w:link w:val="DocumentMapChar"/>
    <w:uiPriority w:val="99"/>
    <w:semiHidden/>
    <w:unhideWhenUsed/>
    <w:rsid w:val="001A11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124"/>
    <w:rPr>
      <w:rFonts w:ascii="Lucida Grande" w:hAnsi="Lucida Grande" w:cs="Lucida Grande"/>
    </w:rPr>
  </w:style>
  <w:style w:type="paragraph" w:customStyle="1" w:styleId="Emphasis1">
    <w:name w:val="Emphasis1"/>
    <w:basedOn w:val="Normal"/>
    <w:link w:val="Emphasis"/>
    <w:autoRedefine/>
    <w:uiPriority w:val="20"/>
    <w:qFormat/>
    <w:rsid w:val="002C1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436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americanprogress.org/issues/education-k-12/reports/2018/09/20/457750/fixing-chronic-disinvestment-k-12-schools/" TargetMode="External"/><Relationship Id="rId29" Type="http://schemas.openxmlformats.org/officeDocument/2006/relationships/hyperlink" Target="https://www.reuters.com/article/us-usa-education-arizona/arizona-governor-signs-bill-to-boost-teachers-wages-amid-strike-idUSKBN1I40N8" TargetMode="External"/><Relationship Id="rId41"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11872</Words>
  <Characters>67674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3</cp:revision>
  <dcterms:created xsi:type="dcterms:W3CDTF">2021-11-06T15:14:00Z</dcterms:created>
  <dcterms:modified xsi:type="dcterms:W3CDTF">2021-11-06T17:06:00Z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