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93ABE" w14:textId="77777777" w:rsidR="00163ACD" w:rsidRPr="002401A3" w:rsidRDefault="00163ACD" w:rsidP="00163ACD">
      <w:pPr>
        <w:pStyle w:val="Heading1"/>
        <w:rPr>
          <w:rFonts w:cs="Calibri"/>
        </w:rPr>
      </w:pPr>
      <w:r w:rsidRPr="002401A3">
        <w:rPr>
          <w:rFonts w:cs="Calibri"/>
        </w:rPr>
        <w:t>AC</w:t>
      </w:r>
    </w:p>
    <w:p w14:paraId="781F66E2" w14:textId="77777777" w:rsidR="00163ACD" w:rsidRPr="002401A3" w:rsidRDefault="00163ACD" w:rsidP="00163ACD">
      <w:pPr>
        <w:pStyle w:val="Heading3"/>
        <w:rPr>
          <w:rFonts w:cs="Calibri"/>
        </w:rPr>
      </w:pPr>
      <w:r w:rsidRPr="002401A3">
        <w:rPr>
          <w:rFonts w:cs="Calibri"/>
        </w:rPr>
        <w:lastRenderedPageBreak/>
        <w:t>Advantage 1: Space Debris</w:t>
      </w:r>
    </w:p>
    <w:p w14:paraId="67BAE077" w14:textId="77777777" w:rsidR="00163ACD" w:rsidRPr="002401A3" w:rsidRDefault="00163ACD" w:rsidP="00163ACD">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07421285" w14:textId="77777777" w:rsidR="00163ACD" w:rsidRPr="002401A3" w:rsidRDefault="00163ACD" w:rsidP="00163ACD">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0CCD3144" w14:textId="77777777" w:rsidR="00163ACD" w:rsidRPr="002401A3" w:rsidRDefault="00163ACD" w:rsidP="00163ACD">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6E7B2FA" w14:textId="77777777" w:rsidR="00163ACD" w:rsidRPr="002401A3" w:rsidRDefault="00163ACD" w:rsidP="00163ACD">
      <w:pPr>
        <w:pStyle w:val="Heading4"/>
        <w:rPr>
          <w:rFonts w:cs="Calibri"/>
        </w:rPr>
      </w:pPr>
      <w:r w:rsidRPr="002401A3">
        <w:rPr>
          <w:rFonts w:cs="Calibri"/>
        </w:rPr>
        <w:t xml:space="preserve">Increasing space debris levels inevitably set off a chain of collisions.  </w:t>
      </w:r>
    </w:p>
    <w:p w14:paraId="71CA0047" w14:textId="77777777" w:rsidR="00163ACD" w:rsidRPr="002401A3" w:rsidRDefault="00163ACD" w:rsidP="00163ACD">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D798D5D" w14:textId="77777777" w:rsidR="00163ACD" w:rsidRPr="002401A3" w:rsidRDefault="00163ACD" w:rsidP="00163ACD">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6B312670" w14:textId="77777777" w:rsidR="00163ACD" w:rsidRPr="002401A3" w:rsidRDefault="00163ACD" w:rsidP="00163ACD">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79C880E" w14:textId="77777777" w:rsidR="00163ACD" w:rsidRPr="002401A3" w:rsidRDefault="00163ACD" w:rsidP="00163ACD">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2B1C542F" w14:textId="77777777" w:rsidR="00163ACD" w:rsidRPr="002401A3" w:rsidRDefault="00163ACD" w:rsidP="00163ACD">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2401A3">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w:t>
      </w:r>
      <w:r w:rsidRPr="009D0C00">
        <w:rPr>
          <w:sz w:val="12"/>
        </w:rPr>
        <w:t xml:space="preserve">upon them. </w:t>
      </w:r>
      <w:r w:rsidRPr="009D0C00">
        <w:rPr>
          <w:rStyle w:val="StyleUnderline"/>
        </w:rPr>
        <w:t xml:space="preserve">Commercial </w:t>
      </w:r>
      <w:r w:rsidRPr="009D0C00">
        <w:rPr>
          <w:rStyle w:val="Emphasis"/>
        </w:rPr>
        <w:t>aviation</w:t>
      </w:r>
      <w:r w:rsidRPr="009D0C00">
        <w:rPr>
          <w:rStyle w:val="StyleUnderline"/>
        </w:rPr>
        <w:t xml:space="preserve">, </w:t>
      </w:r>
      <w:r w:rsidRPr="009D0C00">
        <w:rPr>
          <w:rStyle w:val="Emphasis"/>
        </w:rPr>
        <w:t>shipping</w:t>
      </w:r>
      <w:r w:rsidRPr="009D0C00">
        <w:rPr>
          <w:rStyle w:val="StyleUnderline"/>
        </w:rPr>
        <w:t xml:space="preserve">, </w:t>
      </w:r>
      <w:r w:rsidRPr="009D0C00">
        <w:rPr>
          <w:rStyle w:val="Emphasis"/>
        </w:rPr>
        <w:t>emergency</w:t>
      </w:r>
      <w:r w:rsidRPr="009D0C00">
        <w:rPr>
          <w:rStyle w:val="StyleUnderline"/>
        </w:rPr>
        <w:t xml:space="preserve"> services, vehicle fleet tracking, </w:t>
      </w:r>
      <w:r w:rsidRPr="009D0C00">
        <w:rPr>
          <w:rStyle w:val="Emphasis"/>
        </w:rPr>
        <w:t>financial</w:t>
      </w:r>
      <w:r w:rsidRPr="009D0C00">
        <w:rPr>
          <w:rStyle w:val="StyleUnderline"/>
        </w:rPr>
        <w:t xml:space="preserve"> transactions, and </w:t>
      </w:r>
      <w:r w:rsidRPr="009D0C00">
        <w:rPr>
          <w:rStyle w:val="Emphasis"/>
        </w:rPr>
        <w:t>ag</w:t>
      </w:r>
      <w:r w:rsidRPr="009D0C00">
        <w:rPr>
          <w:rStyle w:val="StyleUnderline"/>
        </w:rPr>
        <w:t xml:space="preserve">riculture are areas of the economy that are increasingly </w:t>
      </w:r>
      <w:r w:rsidRPr="009D0C00">
        <w:rPr>
          <w:rStyle w:val="Emphasis"/>
        </w:rPr>
        <w:t>reliant</w:t>
      </w:r>
      <w:r w:rsidRPr="009D0C00">
        <w:rPr>
          <w:rStyle w:val="StyleUnderline"/>
        </w:rPr>
        <w:t xml:space="preserve"> on space. </w:t>
      </w:r>
      <w:proofErr w:type="spellStart"/>
      <w:r w:rsidRPr="009D0C00">
        <w:rPr>
          <w:sz w:val="12"/>
        </w:rPr>
        <w:t>Telestar</w:t>
      </w:r>
      <w:proofErr w:type="spellEnd"/>
      <w:r w:rsidRPr="009D0C00">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D0C00">
        <w:rPr>
          <w:sz w:val="12"/>
        </w:rPr>
        <w:t>ali</w:t>
      </w:r>
      <w:proofErr w:type="spellEnd"/>
      <w:r w:rsidRPr="009D0C00">
        <w:rPr>
          <w:sz w:val="12"/>
        </w:rPr>
        <w:t>,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w:t>
      </w:r>
      <w:r w:rsidRPr="002401A3">
        <w:rPr>
          <w:sz w:val="12"/>
        </w:rPr>
        <w:t xml:space="preserve">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78D65368" w14:textId="77777777" w:rsidR="00163ACD" w:rsidRPr="002401A3" w:rsidRDefault="00163ACD" w:rsidP="00163ACD">
      <w:pPr>
        <w:rPr>
          <w:sz w:val="12"/>
        </w:rPr>
      </w:pPr>
    </w:p>
    <w:p w14:paraId="514AAFCC" w14:textId="77777777" w:rsidR="00163ACD" w:rsidRPr="002401A3" w:rsidRDefault="00163ACD" w:rsidP="00163ACD">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3946F80E" w14:textId="77777777" w:rsidR="00163ACD" w:rsidRPr="002401A3" w:rsidRDefault="00163ACD" w:rsidP="00163AC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2A70DD8" w14:textId="77777777" w:rsidR="00163ACD" w:rsidRPr="002401A3" w:rsidRDefault="00163ACD" w:rsidP="00163ACD">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DCB12BB" w14:textId="77777777" w:rsidR="00163ACD" w:rsidRPr="002401A3" w:rsidRDefault="00163ACD" w:rsidP="00163ACD">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w:t>
      </w:r>
      <w:r w:rsidRPr="009D0C00">
        <w:rPr>
          <w:sz w:val="12"/>
        </w:rPr>
        <w:t xml:space="preserve">extent. </w:t>
      </w:r>
      <w:r w:rsidRPr="009D0C00">
        <w:rPr>
          <w:rStyle w:val="StyleUnderline"/>
        </w:rPr>
        <w:t>They center</w:t>
      </w:r>
      <w:r w:rsidRPr="009D0C00">
        <w:rPr>
          <w:sz w:val="12"/>
        </w:rPr>
        <w:t xml:space="preserve"> on </w:t>
      </w:r>
      <w:r w:rsidRPr="009D0C00">
        <w:rPr>
          <w:rStyle w:val="StyleUnderline"/>
        </w:rPr>
        <w:t>the dubious possibility of “</w:t>
      </w:r>
      <w:hyperlink r:id="rId20" w:history="1">
        <w:r w:rsidRPr="009D0C00">
          <w:rPr>
            <w:rStyle w:val="StyleUnderline"/>
          </w:rPr>
          <w:t>terraforming</w:t>
        </w:r>
      </w:hyperlink>
      <w:r w:rsidRPr="009D0C00">
        <w:rPr>
          <w:rStyle w:val="StyleUnderline"/>
        </w:rPr>
        <w:t>” Mars using resources and technologies that don’t yet exist.</w:t>
      </w:r>
      <w:r w:rsidRPr="009D0C00">
        <w:rPr>
          <w:sz w:val="12"/>
        </w:rPr>
        <w:t xml:space="preserve"> ¶Musk planned to </w:t>
      </w:r>
      <w:hyperlink r:id="rId21" w:history="1">
        <w:r w:rsidRPr="009D0C00">
          <w:rPr>
            <w:rStyle w:val="Hyperlink"/>
            <w:sz w:val="12"/>
          </w:rPr>
          <w:t>send the first humans to Mars in 2024</w:t>
        </w:r>
      </w:hyperlink>
      <w:r w:rsidRPr="009D0C00">
        <w:rPr>
          <w:sz w:val="12"/>
        </w:rPr>
        <w:t>, and by 2030, he envisioned breaking ground on a city, </w:t>
      </w:r>
      <w:hyperlink r:id="rId22" w:history="1">
        <w:r w:rsidRPr="009D0C00">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unaltered</w:t>
      </w:r>
      <w:r w:rsidRPr="009D0C00">
        <w:rPr>
          <w:rStyle w:val="StyleUnderline"/>
          <w:sz w:val="24"/>
        </w:rPr>
        <w:t xml:space="preserve">, into space. They imagine themselves capable of creating </w:t>
      </w:r>
      <w:proofErr w:type="spellStart"/>
      <w:r w:rsidRPr="009D0C00">
        <w:rPr>
          <w:rStyle w:val="StyleUnderline"/>
          <w:sz w:val="24"/>
        </w:rPr>
        <w:t>liveable</w:t>
      </w:r>
      <w:proofErr w:type="spellEnd"/>
      <w:r w:rsidRPr="009D0C00">
        <w:rPr>
          <w:rStyle w:val="StyleUnderline"/>
          <w:sz w:val="24"/>
        </w:rPr>
        <w:t xml:space="preserve"> environments where none exist. ¶</w:t>
      </w:r>
      <w:r w:rsidRPr="009D0C00">
        <w:rPr>
          <w:sz w:val="12"/>
        </w:rPr>
        <w:t xml:space="preserve">But for all their futuristic imagery, </w:t>
      </w:r>
      <w:r w:rsidRPr="009D0C00">
        <w:rPr>
          <w:rStyle w:val="StyleUnderline"/>
          <w:sz w:val="24"/>
        </w:rPr>
        <w:t xml:space="preserve">they have failed to imagine a different world. And </w:t>
      </w:r>
      <w:r w:rsidRPr="009D0C00">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429A3BC4" w14:textId="77777777" w:rsidR="00163ACD" w:rsidRPr="002401A3" w:rsidRDefault="00163ACD" w:rsidP="00163ACD">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1F3B202" w14:textId="77777777" w:rsidR="00163ACD" w:rsidRPr="002401A3" w:rsidRDefault="00163ACD" w:rsidP="00163ACD">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6D00CE77" w14:textId="77777777" w:rsidR="00163ACD" w:rsidRPr="002401A3" w:rsidRDefault="00163ACD" w:rsidP="00163ACD">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52FD9FF8" w14:textId="77777777" w:rsidR="00163ACD" w:rsidRPr="002401A3" w:rsidRDefault="00163ACD" w:rsidP="00163ACD">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66EEC6EE" w14:textId="77777777" w:rsidR="00163ACD" w:rsidRPr="002401A3" w:rsidRDefault="00163ACD" w:rsidP="00163ACD">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7152907E" w14:textId="77777777" w:rsidR="00163ACD" w:rsidRDefault="00163ACD" w:rsidP="00163ACD">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077E3188" w14:textId="77777777" w:rsidR="00163ACD" w:rsidRPr="0042059C" w:rsidRDefault="00163ACD" w:rsidP="00163ACD">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0F3ED659" w14:textId="77777777" w:rsidR="00163ACD" w:rsidRPr="0042059C" w:rsidRDefault="00163ACD" w:rsidP="00163ACD">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8B1C0B0" w14:textId="77777777" w:rsidR="00163ACD" w:rsidRPr="00C0357D" w:rsidRDefault="00163ACD" w:rsidP="00163ACD">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w:t>
      </w:r>
      <w:proofErr w:type="spellStart"/>
      <w:r w:rsidRPr="009D0C00">
        <w:rPr>
          <w:rFonts w:eastAsia="Cambria"/>
          <w:sz w:val="12"/>
        </w:rPr>
        <w:t>spookulation</w:t>
      </w:r>
      <w:proofErr w:type="spellEnd"/>
      <w:r w:rsidRPr="009D0C00">
        <w:rPr>
          <w:rFonts w:eastAsia="Cambria"/>
          <w:sz w:val="12"/>
        </w:rPr>
        <w:t xml:space="preserve"> – wins. </w:t>
      </w:r>
      <w:r w:rsidRPr="009D0C00">
        <w:rPr>
          <w:rFonts w:eastAsia="Cambria"/>
          <w:u w:val="single"/>
        </w:rPr>
        <w:t>The public sector</w:t>
      </w:r>
      <w:r w:rsidRPr="009D0C00">
        <w:rPr>
          <w:rFonts w:eastAsia="Cambria"/>
          <w:sz w:val="12"/>
        </w:rPr>
        <w:t xml:space="preserve">, which has historically been defined as a sector of not-for-profit economy and administration, </w:t>
      </w:r>
      <w:r w:rsidRPr="009D0C00">
        <w:rPr>
          <w:rFonts w:eastAsia="Cambria"/>
          <w:u w:val="single"/>
        </w:rPr>
        <w:t>is “slimmed” and its “profitable” parts</w:t>
      </w:r>
      <w:r w:rsidRPr="009D0C00">
        <w:rPr>
          <w:rFonts w:eastAsia="Cambria"/>
          <w:sz w:val="12"/>
        </w:rPr>
        <w:t xml:space="preserve"> (“gems”) </w:t>
      </w:r>
      <w:r w:rsidRPr="009D0C00">
        <w:rPr>
          <w:rFonts w:eastAsia="Cambria"/>
          <w:u w:val="single"/>
        </w:rPr>
        <w:t>handed to corporations</w:t>
      </w:r>
      <w:r w:rsidRPr="009D0C00">
        <w:rPr>
          <w:rFonts w:eastAsia="Cambria"/>
          <w:sz w:val="12"/>
        </w:rPr>
        <w:t xml:space="preserve"> (</w:t>
      </w:r>
      <w:r w:rsidRPr="009D0C00">
        <w:rPr>
          <w:rFonts w:eastAsia="Cambria"/>
          <w:u w:val="single"/>
        </w:rPr>
        <w:t>privatized</w:t>
      </w:r>
      <w:r w:rsidRPr="009D0C00">
        <w:rPr>
          <w:rFonts w:eastAsia="Cambria"/>
          <w:sz w:val="12"/>
        </w:rPr>
        <w:t xml:space="preserve">). As a consequence, </w:t>
      </w:r>
      <w:r w:rsidRPr="009D0C00">
        <w:rPr>
          <w:rFonts w:eastAsia="Cambria"/>
          <w:u w:val="single"/>
        </w:rPr>
        <w:t>social services</w:t>
      </w:r>
      <w:r w:rsidRPr="009D0C00">
        <w:rPr>
          <w:rFonts w:eastAsia="Cambria"/>
          <w:sz w:val="12"/>
        </w:rPr>
        <w:t xml:space="preserve"> that are </w:t>
      </w:r>
      <w:r w:rsidRPr="009D0C00">
        <w:rPr>
          <w:rFonts w:eastAsia="Cambria"/>
          <w:iCs/>
          <w:u w:val="single"/>
        </w:rPr>
        <w:t>necessary for our existence disappear</w:t>
      </w:r>
      <w:r w:rsidRPr="009D0C00">
        <w:rPr>
          <w:rFonts w:eastAsia="Cambria"/>
          <w:sz w:val="12"/>
        </w:rPr>
        <w:t>. Small and medium private businesses – which, until recently, employed eighty percent of the workforce and provided normal working conditions – are affected by these developments as well</w:t>
      </w:r>
      <w:r w:rsidRPr="009D0C00">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w:t>
      </w:r>
      <w:r w:rsidRPr="00C0357D">
        <w:rPr>
          <w:sz w:val="12"/>
        </w:rPr>
        <w:t xml:space="preserve">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w:t>
      </w:r>
      <w:r w:rsidRPr="009D0C00">
        <w:rPr>
          <w:rFonts w:eastAsia="Cambria"/>
          <w:sz w:val="12"/>
          <w:szCs w:val="16"/>
        </w:rPr>
        <w:t xml:space="preserve">being an active colonizer itself, especially in the East.[32] </w:t>
      </w:r>
      <w:r w:rsidRPr="009D0C00">
        <w:rPr>
          <w:rFonts w:eastAsia="Cambria"/>
          <w:u w:val="single"/>
        </w:rPr>
        <w:t xml:space="preserve">Social, cultural, traditional and ecological considerations are abandoned and give way to a </w:t>
      </w:r>
      <w:r w:rsidRPr="009D0C00">
        <w:rPr>
          <w:rFonts w:eastAsia="Cambria"/>
          <w:iCs/>
          <w:u w:val="single"/>
        </w:rPr>
        <w:t>mentality of plundering</w:t>
      </w:r>
      <w:r w:rsidRPr="009D0C00">
        <w:rPr>
          <w:rFonts w:eastAsia="Cambria"/>
          <w:u w:val="single"/>
        </w:rPr>
        <w:t>. All global resources</w:t>
      </w:r>
      <w:r w:rsidRPr="009D0C00">
        <w:rPr>
          <w:rFonts w:eastAsia="Cambria"/>
          <w:sz w:val="12"/>
        </w:rPr>
        <w:t xml:space="preserve"> that we still have – natural resources, forests, water, genetic pools – </w:t>
      </w:r>
      <w:r w:rsidRPr="009D0C00">
        <w:rPr>
          <w:rFonts w:eastAsia="Cambria"/>
          <w:u w:val="single"/>
        </w:rPr>
        <w:t xml:space="preserve">have turned into </w:t>
      </w:r>
      <w:r w:rsidRPr="009D0C00">
        <w:rPr>
          <w:rFonts w:eastAsia="Cambria"/>
          <w:iCs/>
          <w:u w:val="single"/>
        </w:rPr>
        <w:t>objects of utilization</w:t>
      </w:r>
      <w:r w:rsidRPr="009D0C00">
        <w:rPr>
          <w:rFonts w:eastAsia="Cambria"/>
          <w:u w:val="single"/>
        </w:rPr>
        <w:t xml:space="preserve">. </w:t>
      </w:r>
      <w:r w:rsidRPr="009D0C00">
        <w:rPr>
          <w:rFonts w:eastAsia="Cambria"/>
          <w:iCs/>
          <w:u w:val="single"/>
        </w:rPr>
        <w:t>Rapid ecological destruction</w:t>
      </w:r>
      <w:r w:rsidRPr="009D0C00">
        <w:rPr>
          <w:rFonts w:eastAsia="Cambria"/>
          <w:u w:val="single"/>
        </w:rPr>
        <w:t xml:space="preserve"> through </w:t>
      </w:r>
      <w:r w:rsidRPr="009D0C00">
        <w:rPr>
          <w:rFonts w:eastAsia="Cambria"/>
          <w:iCs/>
          <w:u w:val="single"/>
        </w:rPr>
        <w:t>depletion</w:t>
      </w:r>
      <w:r w:rsidRPr="009D0C00">
        <w:rPr>
          <w:rFonts w:eastAsia="Cambria"/>
          <w:u w:val="single"/>
        </w:rPr>
        <w:t xml:space="preserve"> is the consequence</w:t>
      </w:r>
      <w:r w:rsidRPr="009D0C00">
        <w:rPr>
          <w:rFonts w:eastAsia="Cambria"/>
          <w:sz w:val="12"/>
        </w:rPr>
        <w:t xml:space="preserve">. If one makes more </w:t>
      </w:r>
      <w:r w:rsidRPr="009D0C00">
        <w:rPr>
          <w:rFonts w:eastAsia="Cambria"/>
          <w:sz w:val="12"/>
        </w:rPr>
        <w:lastRenderedPageBreak/>
        <w:t xml:space="preserve">profit by </w:t>
      </w:r>
      <w:r w:rsidRPr="009D0C00">
        <w:rPr>
          <w:rFonts w:eastAsia="Cambria"/>
          <w:u w:val="single"/>
        </w:rPr>
        <w:t>cutting down trees</w:t>
      </w:r>
      <w:r w:rsidRPr="009D0C00">
        <w:rPr>
          <w:rFonts w:eastAsia="Cambria"/>
          <w:sz w:val="12"/>
        </w:rPr>
        <w:t xml:space="preserve"> than by planting them, then there is no reason not to cut them.[33] Neither the public nor the state interferes</w:t>
      </w:r>
      <w:r w:rsidRPr="009D0C00">
        <w:rPr>
          <w:rFonts w:eastAsia="Cambria"/>
          <w:sz w:val="12"/>
          <w:szCs w:val="12"/>
        </w:rPr>
        <w:t xml:space="preserve">, </w:t>
      </w:r>
      <w:r w:rsidRPr="009D0C00">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9D0C00">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9D0C00">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9D0C00">
        <w:rPr>
          <w:rFonts w:eastAsia="Cambria"/>
          <w:sz w:val="12"/>
        </w:rPr>
        <w:t xml:space="preserve">Today, </w:t>
      </w:r>
      <w:r w:rsidRPr="009D0C00">
        <w:rPr>
          <w:rFonts w:eastAsia="Cambria"/>
          <w:u w:val="single"/>
        </w:rPr>
        <w:t xml:space="preserve">everything on earth </w:t>
      </w:r>
      <w:r w:rsidRPr="009D0C00">
        <w:rPr>
          <w:rStyle w:val="StyleUnderline"/>
        </w:rPr>
        <w:t>is turned</w:t>
      </w:r>
      <w:r w:rsidRPr="009D0C00">
        <w:rPr>
          <w:rFonts w:eastAsia="Cambria"/>
          <w:iCs/>
          <w:u w:val="single"/>
        </w:rPr>
        <w:t xml:space="preserve"> into commodities</w:t>
      </w:r>
      <w:r w:rsidRPr="009D0C00">
        <w:rPr>
          <w:rFonts w:eastAsia="Cambria"/>
          <w:sz w:val="12"/>
        </w:rPr>
        <w:t xml:space="preserve">, </w:t>
      </w:r>
      <w:proofErr w:type="gramStart"/>
      <w:r w:rsidRPr="009D0C00">
        <w:rPr>
          <w:rFonts w:eastAsia="Cambria"/>
          <w:sz w:val="12"/>
        </w:rPr>
        <w:t>i.e.</w:t>
      </w:r>
      <w:proofErr w:type="gramEnd"/>
      <w:r w:rsidRPr="009D0C00">
        <w:rPr>
          <w:rFonts w:eastAsia="Cambria"/>
          <w:sz w:val="12"/>
        </w:rPr>
        <w:t xml:space="preserve"> everything becomes </w:t>
      </w:r>
      <w:r w:rsidRPr="009D0C00">
        <w:rPr>
          <w:rFonts w:eastAsia="Cambria"/>
          <w:u w:val="single"/>
        </w:rPr>
        <w:t>an object of “trade” and commercialization</w:t>
      </w:r>
      <w:r w:rsidRPr="009D0C00">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9D0C00">
        <w:rPr>
          <w:rFonts w:eastAsia="Cambria"/>
          <w:sz w:val="12"/>
        </w:rPr>
        <w:t>wageless</w:t>
      </w:r>
      <w:proofErr w:type="spellEnd"/>
      <w:r w:rsidRPr="009D0C00">
        <w:rPr>
          <w:rFonts w:eastAsia="Cambria"/>
          <w:sz w:val="12"/>
        </w:rPr>
        <w:t xml:space="preserve">” commodity production. </w:t>
      </w:r>
      <w:r w:rsidRPr="009D0C00">
        <w:rPr>
          <w:rFonts w:eastAsia="Cambria"/>
          <w:u w:val="single"/>
        </w:rPr>
        <w:t xml:space="preserve">The objective is to transform everyone and everything into commodities, </w:t>
      </w:r>
      <w:r w:rsidRPr="009D0C00">
        <w:rPr>
          <w:rFonts w:eastAsia="Cambria"/>
          <w:iCs/>
          <w:u w:val="single"/>
        </w:rPr>
        <w:t>including life itself</w:t>
      </w:r>
      <w:r w:rsidRPr="009D0C00">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9D0C00">
        <w:rPr>
          <w:sz w:val="12"/>
        </w:rPr>
        <w:t xml:space="preserve">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9D0C00">
        <w:rPr>
          <w:sz w:val="12"/>
        </w:rPr>
        <w:t>e.g.</w:t>
      </w:r>
      <w:proofErr w:type="gramEnd"/>
      <w:r w:rsidRPr="009D0C00">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9D0C00">
        <w:rPr>
          <w:rFonts w:eastAsia="Cambria"/>
          <w:sz w:val="12"/>
        </w:rPr>
        <w:t xml:space="preserve"> – just like the “growth” they create.[39] </w:t>
      </w:r>
      <w:r w:rsidRPr="009D0C00">
        <w:rPr>
          <w:rFonts w:eastAsia="Cambria"/>
          <w:sz w:val="12"/>
          <w:szCs w:val="16"/>
        </w:rPr>
        <w:t xml:space="preserve">The notion that capitalism and democracy are one is proven a myth by neoliberalism and its “monetary totalitarianism”.[40] </w:t>
      </w:r>
      <w:r w:rsidRPr="009D0C00">
        <w:rPr>
          <w:rFonts w:eastAsia="Cambria"/>
          <w:u w:val="single"/>
        </w:rPr>
        <w:t>The primacy of politics over economy has been lost</w:t>
      </w:r>
      <w:r w:rsidRPr="009D0C00">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9D0C00">
        <w:rPr>
          <w:rFonts w:eastAsia="Cambria"/>
          <w:sz w:val="12"/>
        </w:rPr>
        <w:t>privata</w:t>
      </w:r>
      <w:proofErr w:type="spellEnd"/>
      <w:r w:rsidRPr="009D0C00">
        <w:rPr>
          <w:rFonts w:eastAsia="Cambria"/>
          <w:sz w:val="12"/>
        </w:rPr>
        <w:t xml:space="preserve">, or – as we could say today – a res </w:t>
      </w:r>
      <w:proofErr w:type="spellStart"/>
      <w:r w:rsidRPr="009D0C00">
        <w:rPr>
          <w:rFonts w:eastAsia="Cambria"/>
          <w:sz w:val="12"/>
        </w:rPr>
        <w:t>privata</w:t>
      </w:r>
      <w:proofErr w:type="spellEnd"/>
      <w:r w:rsidRPr="009D0C00">
        <w:rPr>
          <w:rFonts w:eastAsia="Cambria"/>
          <w:sz w:val="12"/>
        </w:rPr>
        <w:t xml:space="preserve"> </w:t>
      </w:r>
      <w:proofErr w:type="spellStart"/>
      <w:r w:rsidRPr="009D0C00">
        <w:rPr>
          <w:rFonts w:eastAsia="Cambria"/>
          <w:sz w:val="12"/>
        </w:rPr>
        <w:t>transnationale</w:t>
      </w:r>
      <w:proofErr w:type="spellEnd"/>
      <w:r w:rsidRPr="009D0C00">
        <w:rPr>
          <w:rFonts w:eastAsia="Cambria"/>
          <w:sz w:val="12"/>
        </w:rPr>
        <w:t xml:space="preserve"> (in its original Latin meaning, </w:t>
      </w:r>
      <w:proofErr w:type="spellStart"/>
      <w:r w:rsidRPr="009D0C00">
        <w:rPr>
          <w:rFonts w:eastAsia="Cambria"/>
          <w:sz w:val="12"/>
        </w:rPr>
        <w:t>privare</w:t>
      </w:r>
      <w:proofErr w:type="spellEnd"/>
      <w:r w:rsidRPr="009D0C00">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9D0C00">
        <w:rPr>
          <w:rFonts w:eastAsia="Cambria"/>
          <w:iCs/>
          <w:u w:val="single"/>
        </w:rPr>
        <w:t>Neoliberalism and war are two sides of the same coin</w:t>
      </w:r>
      <w:r w:rsidRPr="009D0C00">
        <w:rPr>
          <w:rFonts w:eastAsia="Cambria"/>
          <w:sz w:val="12"/>
        </w:rPr>
        <w:t xml:space="preserve">.[44] </w:t>
      </w:r>
      <w:r w:rsidRPr="009D0C00">
        <w:rPr>
          <w:rFonts w:eastAsia="Cambria"/>
          <w:u w:val="single"/>
        </w:rPr>
        <w:t>Free trade, piracy and war are still “an inseparable three”</w:t>
      </w:r>
      <w:r w:rsidRPr="009D0C00">
        <w:rPr>
          <w:rFonts w:eastAsia="Cambria"/>
          <w:sz w:val="12"/>
        </w:rPr>
        <w:t xml:space="preserve"> – today maybe more so than ever. </w:t>
      </w:r>
      <w:r w:rsidRPr="009D0C00">
        <w:rPr>
          <w:rFonts w:eastAsia="Cambria"/>
          <w:u w:val="single"/>
        </w:rPr>
        <w:t>War is not only “good for the economy” but is indeed its driving force and can be understood as the “continuation of economy with other</w:t>
      </w:r>
      <w:r w:rsidRPr="0042059C">
        <w:rPr>
          <w:rFonts w:eastAsia="Cambria"/>
          <w:u w:val="single"/>
        </w:rPr>
        <w:t xml:space="preserve">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63A0E28" w14:textId="77777777" w:rsidR="00163ACD" w:rsidRPr="002401A3" w:rsidRDefault="00163ACD" w:rsidP="00163ACD">
      <w:pPr>
        <w:pStyle w:val="Heading3"/>
        <w:rPr>
          <w:rFonts w:cs="Calibri"/>
        </w:rPr>
      </w:pPr>
      <w:r w:rsidRPr="002401A3">
        <w:rPr>
          <w:rFonts w:cs="Calibri"/>
        </w:rPr>
        <w:lastRenderedPageBreak/>
        <w:t>Plan</w:t>
      </w:r>
      <w:r>
        <w:rPr>
          <w:rFonts w:cs="Calibri"/>
        </w:rPr>
        <w:t>/Solvency</w:t>
      </w:r>
    </w:p>
    <w:p w14:paraId="400DF740" w14:textId="77777777" w:rsidR="00163ACD" w:rsidRPr="008C4581" w:rsidRDefault="00163ACD" w:rsidP="00163ACD"/>
    <w:p w14:paraId="72D33587" w14:textId="5A45DAE2" w:rsidR="00163ACD" w:rsidRDefault="00163ACD" w:rsidP="00163ACD">
      <w:pPr>
        <w:pStyle w:val="Heading4"/>
      </w:pPr>
      <w:r w:rsidRPr="00596CC4">
        <w:t xml:space="preserve">Plan text: </w:t>
      </w:r>
      <w:r w:rsidR="009D0C00">
        <w:t>States ought to adopt a</w:t>
      </w:r>
      <w:r>
        <w:t xml:space="preserve"> binding international agreement that establishes outer space as a </w:t>
      </w:r>
      <w:proofErr w:type="gramStart"/>
      <w:r>
        <w:t>global commons</w:t>
      </w:r>
      <w:proofErr w:type="gramEnd"/>
      <w:r>
        <w:t xml:space="preserve"> not subject to appropriation and enforces via a system of regulatory delimiting and global liability ought to be adopted.</w:t>
      </w:r>
    </w:p>
    <w:p w14:paraId="1943899A" w14:textId="77777777" w:rsidR="00163ACD" w:rsidRDefault="00163ACD" w:rsidP="00163ACD">
      <w:pPr>
        <w:rPr>
          <w:b/>
          <w:bCs/>
          <w:i/>
          <w:iCs/>
        </w:rPr>
      </w:pPr>
    </w:p>
    <w:p w14:paraId="4F028EF8" w14:textId="77777777" w:rsidR="00163ACD" w:rsidRDefault="00163ACD" w:rsidP="00163ACD">
      <w:pPr>
        <w:pStyle w:val="Heading4"/>
      </w:pPr>
      <w:r>
        <w:t>The plan</w:t>
      </w:r>
    </w:p>
    <w:p w14:paraId="30339883" w14:textId="77777777" w:rsidR="00163ACD" w:rsidRPr="003955A7" w:rsidRDefault="00163ACD" w:rsidP="009D0C00">
      <w:pPr>
        <w:pStyle w:val="Heading4"/>
        <w:numPr>
          <w:ilvl w:val="0"/>
          <w:numId w:val="1"/>
        </w:numPr>
      </w:pPr>
      <w:r>
        <w:t>solves debris and space colonialism by ensuring the sustainable and equitable use of outer space resources.</w:t>
      </w:r>
    </w:p>
    <w:p w14:paraId="466E99F4" w14:textId="77777777" w:rsidR="00163ACD" w:rsidRDefault="00163ACD" w:rsidP="009D0C00">
      <w:pPr>
        <w:pStyle w:val="ListParagraph"/>
        <w:numPr>
          <w:ilvl w:val="0"/>
          <w:numId w:val="1"/>
        </w:numPr>
        <w:rPr>
          <w:rStyle w:val="Style13ptBold"/>
        </w:rPr>
      </w:pPr>
      <w:r>
        <w:rPr>
          <w:rStyle w:val="Style13ptBold"/>
        </w:rPr>
        <w:t>prevents circumvention by aligning the interests of state parties</w:t>
      </w:r>
    </w:p>
    <w:p w14:paraId="1C15009B" w14:textId="77777777" w:rsidR="00163ACD" w:rsidRPr="003955A7" w:rsidRDefault="00163ACD" w:rsidP="009D0C00">
      <w:pPr>
        <w:pStyle w:val="ListParagraph"/>
        <w:numPr>
          <w:ilvl w:val="0"/>
          <w:numId w:val="1"/>
        </w:numPr>
        <w:rPr>
          <w:rStyle w:val="Style13ptBold"/>
        </w:rPr>
      </w:pPr>
      <w:r>
        <w:rPr>
          <w:rStyle w:val="Style13ptBold"/>
        </w:rPr>
        <w:t>is modeled on numerous successful agreements governing other global commons</w:t>
      </w:r>
    </w:p>
    <w:p w14:paraId="6CC5016A" w14:textId="77777777" w:rsidR="00163ACD" w:rsidRDefault="00163ACD" w:rsidP="00163ACD"/>
    <w:p w14:paraId="5CD427CE" w14:textId="77777777" w:rsidR="00163ACD" w:rsidRDefault="00163ACD" w:rsidP="00163ACD">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5208040B" w14:textId="77777777" w:rsidR="00163ACD" w:rsidRPr="004A5B2D" w:rsidRDefault="00163ACD" w:rsidP="00163ACD">
      <w:pPr>
        <w:rPr>
          <w:rStyle w:val="Emphasis"/>
        </w:rPr>
      </w:pPr>
      <w:r w:rsidRPr="00DF0790">
        <w:rPr>
          <w:rStyle w:val="StyleUnderline"/>
        </w:rPr>
        <w:t>The common heritage of mankind anchors the governance of global commons.</w:t>
      </w:r>
      <w:r w:rsidRPr="00541292">
        <w:rPr>
          <w:sz w:val="16"/>
        </w:rPr>
        <w:t xml:space="preserve">56 While some scholars have yet to accept such verbiage as international custom,57 others submit it as establishing an emerging principle of jus cogens. 58 </w:t>
      </w:r>
      <w:r w:rsidRPr="00196D78">
        <w:rPr>
          <w:rStyle w:val="StyleUnderline"/>
        </w:rPr>
        <w:t xml:space="preserve">Proponents suggest that because “mankind” replaces the typical language of “all States,” then any mention of “mankind” insists </w:t>
      </w:r>
      <w:r w:rsidRPr="004A5B2D">
        <w:rPr>
          <w:rStyle w:val="StyleUnderline"/>
        </w:rPr>
        <w:t>humanity must be able to enjoy the collective benefits of resources within a global commons</w:t>
      </w:r>
      <w:r w:rsidRPr="004A5B2D">
        <w:rPr>
          <w:sz w:val="16"/>
        </w:rPr>
        <w:t>.59 As a result, mankind itself has become the “one to dispose of . . . resources,” and upon invoking the interest of mankind “the interests of future generations have to be respected in making use of [resources].”60 One can analogize this position to property principles against waste in the context of a present interest holder’s duty to vested future interests.</w:t>
      </w:r>
      <w:r w:rsidRPr="004A5B2D">
        <w:rPr>
          <w:rStyle w:val="StyleUnderline"/>
        </w:rPr>
        <w:t>61 In summarizing the five shared conceptions of the common heritage of mankind principle, Dr. Shackleford provides support to this construction</w:t>
      </w:r>
      <w:r w:rsidRPr="004A5B2D">
        <w:rPr>
          <w:sz w:val="16"/>
        </w:rPr>
        <w:t>:</w:t>
      </w:r>
    </w:p>
    <w:p w14:paraId="188FFDA7" w14:textId="77777777" w:rsidR="00163ACD" w:rsidRPr="00541292" w:rsidRDefault="00163ACD" w:rsidP="00163ACD">
      <w:pPr>
        <w:ind w:left="720"/>
        <w:rPr>
          <w:sz w:val="16"/>
        </w:rPr>
      </w:pPr>
      <w:r w:rsidRPr="00196D78">
        <w:rPr>
          <w:rStyle w:val="StyleUnderline"/>
        </w:rPr>
        <w:t xml:space="preserve">First, </w:t>
      </w:r>
      <w:r w:rsidRPr="00DF0790">
        <w:rPr>
          <w:rStyle w:val="Emphasis"/>
          <w:highlight w:val="green"/>
        </w:rPr>
        <w:t>there can be no private or public appropriation of the commons</w:t>
      </w:r>
      <w:r w:rsidRPr="00196D78">
        <w:rPr>
          <w:rStyle w:val="StyleUnderline"/>
        </w:rPr>
        <w:t xml:space="preserve">. </w:t>
      </w:r>
      <w:r w:rsidRPr="00541292">
        <w:rPr>
          <w:sz w:val="16"/>
        </w:rPr>
        <w:t>Second, representatives from all nations must manage resources since a commons area is considered to belong to everyone. Third, all nations must actively share in the benefits acquired from exploitation of the resources from the common heritage region. Fourth, there can be no weaponry or military installations established in commons areas. Fifth, the commons should be preserved for the benefit of future generations.62</w:t>
      </w:r>
    </w:p>
    <w:p w14:paraId="6702B978" w14:textId="77777777" w:rsidR="00163ACD" w:rsidRPr="00541292" w:rsidRDefault="00163ACD" w:rsidP="00163ACD">
      <w:pPr>
        <w:rPr>
          <w:sz w:val="14"/>
        </w:rPr>
      </w:pPr>
      <w:r w:rsidRPr="00196D78">
        <w:rPr>
          <w:rStyle w:val="StyleUnderline"/>
        </w:rPr>
        <w:t xml:space="preserve">Logically following, </w:t>
      </w:r>
      <w:r w:rsidRPr="00DF0790">
        <w:rPr>
          <w:rStyle w:val="Emphasis"/>
          <w:highlight w:val="green"/>
        </w:rPr>
        <w:t>the OST’s presentment of outer space as</w:t>
      </w:r>
      <w:r w:rsidRPr="00196D78">
        <w:rPr>
          <w:rStyle w:val="StyleUnderline"/>
        </w:rPr>
        <w:t xml:space="preserve"> the </w:t>
      </w:r>
      <w:r w:rsidRPr="00DF0790">
        <w:rPr>
          <w:rStyle w:val="Emphasis"/>
          <w:highlight w:val="green"/>
        </w:rPr>
        <w:t>common heritage</w:t>
      </w:r>
      <w:r w:rsidRPr="00196D78">
        <w:rPr>
          <w:rStyle w:val="StyleUnderline"/>
        </w:rPr>
        <w:t xml:space="preserve"> of mankind </w:t>
      </w:r>
      <w:r w:rsidRPr="00DF0790">
        <w:rPr>
          <w:rStyle w:val="Emphasis"/>
          <w:highlight w:val="green"/>
        </w:rPr>
        <w:t xml:space="preserve">grants an implied property right to all persons in the </w:t>
      </w:r>
      <w:proofErr w:type="spellStart"/>
      <w:r w:rsidRPr="00DF0790">
        <w:rPr>
          <w:rStyle w:val="Emphasis"/>
          <w:highlight w:val="green"/>
        </w:rPr>
        <w:t>geospace</w:t>
      </w:r>
      <w:proofErr w:type="spellEnd"/>
      <w:r w:rsidRPr="00DF0790">
        <w:rPr>
          <w:rStyle w:val="Emphasis"/>
          <w:highlight w:val="green"/>
        </w:rPr>
        <w:t xml:space="preserve"> commons</w:t>
      </w:r>
      <w:r w:rsidRPr="00541292">
        <w:rPr>
          <w:sz w:val="14"/>
        </w:rPr>
        <w:t xml:space="preserve">. </w:t>
      </w:r>
      <w:r w:rsidRPr="00196D78">
        <w:rPr>
          <w:rStyle w:val="StyleUnderline"/>
        </w:rPr>
        <w:t xml:space="preserve">Applying Dr. Shackleford’s principles, the </w:t>
      </w:r>
      <w:r w:rsidRPr="00DF0790">
        <w:rPr>
          <w:rStyle w:val="Emphasis"/>
          <w:highlight w:val="green"/>
        </w:rPr>
        <w:t>credible treaties</w:t>
      </w:r>
      <w:r>
        <w:rPr>
          <w:rStyle w:val="Emphasis"/>
          <w:highlight w:val="green"/>
        </w:rPr>
        <w:t xml:space="preserve"> </w:t>
      </w:r>
      <w:r w:rsidRPr="00541292">
        <w:rPr>
          <w:sz w:val="14"/>
        </w:rPr>
        <w:t xml:space="preserve">63 </w:t>
      </w:r>
      <w:r w:rsidRPr="00DF0790">
        <w:rPr>
          <w:rStyle w:val="Emphasis"/>
          <w:highlight w:val="green"/>
        </w:rPr>
        <w:t>operate</w:t>
      </w:r>
      <w:r w:rsidRPr="00196D78">
        <w:rPr>
          <w:rStyle w:val="StyleUnderline"/>
        </w:rPr>
        <w:t xml:space="preserve"> </w:t>
      </w:r>
      <w:r w:rsidRPr="00DF0790">
        <w:rPr>
          <w:rStyle w:val="Emphasis"/>
          <w:highlight w:val="green"/>
        </w:rPr>
        <w:t>in tandem with</w:t>
      </w:r>
      <w:r w:rsidRPr="00196D78">
        <w:rPr>
          <w:rStyle w:val="StyleUnderline"/>
        </w:rPr>
        <w:t xml:space="preserve"> </w:t>
      </w:r>
      <w:r w:rsidRPr="00DF0790">
        <w:rPr>
          <w:rStyle w:val="StyleUnderline"/>
        </w:rPr>
        <w:t>the</w:t>
      </w:r>
      <w:r w:rsidRPr="00DF0790">
        <w:rPr>
          <w:rStyle w:val="Emphasis"/>
        </w:rPr>
        <w:t xml:space="preserve"> </w:t>
      </w:r>
      <w:r w:rsidRPr="00DF0790">
        <w:rPr>
          <w:rStyle w:val="Emphasis"/>
          <w:highlight w:val="green"/>
        </w:rPr>
        <w:t>non-appropriation</w:t>
      </w:r>
      <w:r w:rsidRPr="00196D78">
        <w:rPr>
          <w:rStyle w:val="StyleUnderline"/>
        </w:rPr>
        <w:t xml:space="preserve">, </w:t>
      </w:r>
      <w:r w:rsidRPr="00DF0790">
        <w:rPr>
          <w:rStyle w:val="Emphasis"/>
          <w:highlight w:val="green"/>
        </w:rPr>
        <w:t>nonproliferation, and equitable benefit-sharing elements of the common heritage principle</w:t>
      </w:r>
      <w:r w:rsidRPr="00196D78">
        <w:rPr>
          <w:rStyle w:val="StyleUnderline"/>
        </w:rPr>
        <w:t>.</w:t>
      </w:r>
      <w:r w:rsidRPr="00541292">
        <w:rPr>
          <w:sz w:val="14"/>
        </w:rPr>
        <w:t xml:space="preserve"> Permanently enjoining claims of sovereignty thus prohibits the establishment of exclusive economic rights and reinforces equitable benefit-sharing.64 However, the lack of resource management and preservation language disallows mankind a mechanism to protect its interest in the </w:t>
      </w:r>
      <w:proofErr w:type="spellStart"/>
      <w:r w:rsidRPr="00541292">
        <w:rPr>
          <w:sz w:val="14"/>
        </w:rPr>
        <w:t>geospace</w:t>
      </w:r>
      <w:proofErr w:type="spellEnd"/>
      <w:r w:rsidRPr="00541292">
        <w:rPr>
          <w:sz w:val="14"/>
        </w:rPr>
        <w:t xml:space="preserve"> commons if its usage results in damage, waste, or destruction of its resources.65</w:t>
      </w:r>
    </w:p>
    <w:p w14:paraId="6E922D92" w14:textId="77777777" w:rsidR="00163ACD" w:rsidRPr="00B722BE" w:rsidRDefault="00163ACD" w:rsidP="00163ACD">
      <w:pPr>
        <w:rPr>
          <w:sz w:val="16"/>
          <w:szCs w:val="16"/>
        </w:rPr>
      </w:pPr>
      <w:r w:rsidRPr="00B722BE">
        <w:rPr>
          <w:sz w:val="16"/>
          <w:szCs w:val="16"/>
        </w:rPr>
        <w:lastRenderedPageBreak/>
        <w:t>A. Orbital Utility</w:t>
      </w:r>
    </w:p>
    <w:p w14:paraId="78EB3957" w14:textId="77777777" w:rsidR="00163ACD" w:rsidRPr="00B722BE" w:rsidRDefault="00163ACD" w:rsidP="00163ACD">
      <w:pPr>
        <w:rPr>
          <w:sz w:val="16"/>
          <w:szCs w:val="16"/>
        </w:rPr>
      </w:pPr>
      <w:r w:rsidRPr="00B722BE">
        <w:rPr>
          <w:sz w:val="16"/>
          <w:szCs w:val="16"/>
        </w:rPr>
        <w:t>In the context of orbital real estate, spacefaring entities formulate satellite acquisition strategies for either low earth orbit (LEO) or geosynchronous orbit (GSO).66 While each particular orbit can accommodate most space objects,67 satellite positioning requires careful consideration due to the distinct orbital mechanics appurtenant to each orbit.68</w:t>
      </w:r>
    </w:p>
    <w:p w14:paraId="7303AFD2" w14:textId="77777777" w:rsidR="00163ACD" w:rsidRPr="00B722BE" w:rsidRDefault="00163ACD" w:rsidP="00163ACD">
      <w:pPr>
        <w:rPr>
          <w:sz w:val="16"/>
          <w:szCs w:val="16"/>
        </w:rPr>
      </w:pPr>
      <w:r w:rsidRPr="00B722BE">
        <w:rPr>
          <w:sz w:val="16"/>
          <w:szCs w:val="16"/>
        </w:rPr>
        <w:t>1. Low Earth Orbit</w:t>
      </w:r>
    </w:p>
    <w:p w14:paraId="6F7CF6CF" w14:textId="77777777" w:rsidR="00163ACD" w:rsidRPr="00B722BE" w:rsidRDefault="00163ACD" w:rsidP="00163ACD">
      <w:pPr>
        <w:rPr>
          <w:sz w:val="16"/>
          <w:szCs w:val="16"/>
        </w:rPr>
      </w:pPr>
      <w:r w:rsidRPr="00B722BE">
        <w:rPr>
          <w:sz w:val="16"/>
          <w:szCs w:val="16"/>
        </w:rPr>
        <w:t>Objects in LEO orbit between 100 to 1,200 miles above Earth’s surface.69 Because it is so “close,” LEO acquisition provides spacefarers a lower cost option as launches require relatively low energy budgets to achieve proper positioning.70 However, unlike GSO, LEO satellites are not fixed above a targeted location, which necessitates the placement of multiple satellites at various inclinations if a telecommunications operator intends to provide uninterrupted service to its subscribers.71 In the past five years, LEO has become riddled with massive satellite constellations, further compounding the negative utility of LEO.72 To the dismay of the International Space Station’s (ISS) residents, every piece of jettisoned launch vehicle debris—whether rocket bodies, mission-related objects, or paint flecks73—resides in LEO.74 While most of these objects eventually find their way into various decay or graveyard orbits, the transient status of debris still poses a substantial threat to functional satellites and human lives.75</w:t>
      </w:r>
    </w:p>
    <w:p w14:paraId="28155637" w14:textId="77777777" w:rsidR="00163ACD" w:rsidRPr="00B722BE" w:rsidRDefault="00163ACD" w:rsidP="00163ACD">
      <w:pPr>
        <w:rPr>
          <w:sz w:val="16"/>
          <w:szCs w:val="16"/>
        </w:rPr>
      </w:pPr>
      <w:r w:rsidRPr="00B722BE">
        <w:rPr>
          <w:sz w:val="16"/>
          <w:szCs w:val="16"/>
        </w:rPr>
        <w:t>2. Geosynchronous Orbit</w:t>
      </w:r>
    </w:p>
    <w:p w14:paraId="55994EED" w14:textId="77777777" w:rsidR="00163ACD" w:rsidRPr="00B722BE" w:rsidRDefault="00163ACD" w:rsidP="00163ACD">
      <w:pPr>
        <w:rPr>
          <w:sz w:val="16"/>
          <w:szCs w:val="16"/>
        </w:rPr>
      </w:pPr>
      <w:r w:rsidRPr="00B722BE">
        <w:rPr>
          <w:sz w:val="16"/>
          <w:szCs w:val="16"/>
        </w:rPr>
        <w:t>To contrast, reaching GSO requires an increased energy budget,76 but once attained, the orbital mechanics of GSO allows space objects to remain stationary above one location throughout the object’s entire orbital transit, with minimal requirements to adjust for perturbances caused by Earth’s gravity.77 This stationary attribute creates incredible demand on GSO acquisition services because, unlike LEO, only one satellite is necessary for the same transmission services in GSO. But unlike LEO, the physics of radio frequency allocation places spatial restrictions on the permissible number of GSO satellites. Additionally, due to the distance between GSO satellites and radio transmitters on Earth, only three suitable radio frequencies exist.78 While these limitations prevent harmful radio interference, it inflates the scarcity of GSO slot availability.79 As a result, GSO is the highest valued orbit available.80</w:t>
      </w:r>
    </w:p>
    <w:p w14:paraId="7575B6DB" w14:textId="77777777" w:rsidR="00163ACD" w:rsidRPr="00B722BE" w:rsidRDefault="00163ACD" w:rsidP="00163ACD">
      <w:pPr>
        <w:rPr>
          <w:sz w:val="16"/>
          <w:szCs w:val="16"/>
        </w:rPr>
      </w:pPr>
      <w:r w:rsidRPr="00B722BE">
        <w:rPr>
          <w:sz w:val="16"/>
          <w:szCs w:val="16"/>
        </w:rPr>
        <w:t>B. Kessler Syndrome—Fueling the Tragedy</w:t>
      </w:r>
    </w:p>
    <w:p w14:paraId="3FF4EAD1" w14:textId="77777777" w:rsidR="00163ACD" w:rsidRPr="00B722BE" w:rsidRDefault="00163ACD" w:rsidP="00163ACD">
      <w:pPr>
        <w:rPr>
          <w:sz w:val="16"/>
          <w:szCs w:val="16"/>
        </w:rPr>
      </w:pPr>
      <w:r w:rsidRPr="00B722BE">
        <w:rPr>
          <w:sz w:val="16"/>
          <w:szCs w:val="16"/>
        </w:rPr>
        <w:t xml:space="preserve">Today, over eighty sovereign actors and private organizations participate in space activity.81 The OST’s Cold-War-inspired objectives failed to make substantial allowances for future development, despite the cautions of such short-sighted construction.82 Over-utilization evaded the immediate concern of signatory nations because the then-current technology did not lend itself to significant exploitation of analogous commons, such as the oceans and Antarctica.83 Considering the dimensions of contemporary real property, one can visualize the boundaries and confines of a tract of land.84 Even in the context of more abstract property interests, such as minerals or the sea, one can envisage the inherent spatial limitations.85 Contrary to Earth-side property, legal scholars proffer that space lacks tangible parameters.86 This mischaracterization marks the point of departure between the current sustainability of </w:t>
      </w:r>
      <w:proofErr w:type="spellStart"/>
      <w:r w:rsidRPr="00B722BE">
        <w:rPr>
          <w:sz w:val="16"/>
          <w:szCs w:val="16"/>
        </w:rPr>
        <w:t>geospace</w:t>
      </w:r>
      <w:proofErr w:type="spellEnd"/>
      <w:r w:rsidRPr="00B722BE">
        <w:rPr>
          <w:sz w:val="16"/>
          <w:szCs w:val="16"/>
        </w:rPr>
        <w:t xml:space="preserve"> and this Comment’s proposed construct.87</w:t>
      </w:r>
    </w:p>
    <w:p w14:paraId="31E12620" w14:textId="77777777" w:rsidR="00163ACD" w:rsidRPr="00B722BE" w:rsidRDefault="00163ACD" w:rsidP="00163ACD">
      <w:pPr>
        <w:rPr>
          <w:sz w:val="16"/>
          <w:szCs w:val="16"/>
        </w:rPr>
      </w:pPr>
      <w:r w:rsidRPr="00B722BE">
        <w:rPr>
          <w:sz w:val="16"/>
          <w:szCs w:val="16"/>
        </w:rPr>
        <w:t xml:space="preserve">The laws of astrophysics physically limit our ability to occupy </w:t>
      </w:r>
      <w:proofErr w:type="spellStart"/>
      <w:r w:rsidRPr="00B722BE">
        <w:rPr>
          <w:sz w:val="16"/>
          <w:szCs w:val="16"/>
        </w:rPr>
        <w:t>geospace</w:t>
      </w:r>
      <w:proofErr w:type="spellEnd"/>
      <w:r w:rsidRPr="00B722BE">
        <w:rPr>
          <w:sz w:val="16"/>
          <w:szCs w:val="16"/>
        </w:rPr>
        <w:t xml:space="preserve">. And because it is finite, every satellite launched into space adds a corresponding negative utility to geospace.88 In 2019 alone,89 the potential for an interruption capable of derailing any derivative benefit from space drew ever closer—the essence of the tragedy of the commons.90 Without a binding mitigation framework, continued satellite proliferation will only catalyze the destruction of our correlative rights 91 in the </w:t>
      </w:r>
      <w:proofErr w:type="spellStart"/>
      <w:r w:rsidRPr="00B722BE">
        <w:rPr>
          <w:sz w:val="16"/>
          <w:szCs w:val="16"/>
        </w:rPr>
        <w:t>geospace</w:t>
      </w:r>
      <w:proofErr w:type="spellEnd"/>
      <w:r w:rsidRPr="00B722BE">
        <w:rPr>
          <w:sz w:val="16"/>
          <w:szCs w:val="16"/>
        </w:rPr>
        <w:t xml:space="preserve"> commons.</w:t>
      </w:r>
    </w:p>
    <w:p w14:paraId="25805711" w14:textId="77777777" w:rsidR="00163ACD" w:rsidRPr="00B722BE" w:rsidRDefault="00163ACD" w:rsidP="00163ACD">
      <w:pPr>
        <w:rPr>
          <w:sz w:val="16"/>
          <w:szCs w:val="16"/>
        </w:rPr>
      </w:pPr>
      <w:r w:rsidRPr="00B722BE">
        <w:rPr>
          <w:sz w:val="16"/>
          <w:szCs w:val="16"/>
        </w:rPr>
        <w:t>The 2017 Scientific and Technical Subcommittee of COPUOS made a chilling summary of the reality of the space debris threat when it explained:</w:t>
      </w:r>
    </w:p>
    <w:p w14:paraId="4798FEEB" w14:textId="77777777" w:rsidR="00163ACD" w:rsidRPr="00B722BE" w:rsidRDefault="00163ACD" w:rsidP="00163ACD">
      <w:pPr>
        <w:rPr>
          <w:sz w:val="16"/>
          <w:szCs w:val="16"/>
        </w:rPr>
      </w:pPr>
      <w:r w:rsidRPr="00B722BE">
        <w:rPr>
          <w:sz w:val="16"/>
          <w:szCs w:val="16"/>
        </w:rPr>
        <w:t xml:space="preserve">More than 20,000 pieces of space debris the size of a tennis ball or larger orbit the Earth with a velocity of nearly 17,500 mph. These uncontrolled fragments and other debris (such as discarded rocket bodies, and retired satellites) can collide with each other and generate more debris, in a cycle popularly known as the “Kessler syndrome.” The Kessler syndrome in turn results in an exponential growth of orbital debris as time progresses, with an ever-increasing risk for operational bodies in orbit. In addition to their number, these pieces of debris have enough energy to break the rigid wall of </w:t>
      </w:r>
      <w:proofErr w:type="gramStart"/>
      <w:r w:rsidRPr="00B722BE">
        <w:rPr>
          <w:sz w:val="16"/>
          <w:szCs w:val="16"/>
        </w:rPr>
        <w:t>satellites, and</w:t>
      </w:r>
      <w:proofErr w:type="gramEnd"/>
      <w:r w:rsidRPr="00B722BE">
        <w:rPr>
          <w:sz w:val="16"/>
          <w:szCs w:val="16"/>
        </w:rPr>
        <w:t xml:space="preserve"> destroy satellites.92</w:t>
      </w:r>
    </w:p>
    <w:p w14:paraId="53784BBF" w14:textId="77777777" w:rsidR="00163ACD" w:rsidRPr="00B722BE" w:rsidRDefault="00163ACD" w:rsidP="00163ACD">
      <w:pPr>
        <w:rPr>
          <w:sz w:val="16"/>
          <w:szCs w:val="16"/>
        </w:rPr>
      </w:pPr>
      <w:r w:rsidRPr="00B722BE">
        <w:rPr>
          <w:sz w:val="16"/>
          <w:szCs w:val="16"/>
        </w:rPr>
        <w:t xml:space="preserve">Donald J. Kessler cautioned that we would eventually reach a tipping point, triggering a chain reaction in near-Earth orbit of hypervelocity collisions93 that will trap humanity on Earth.94 Prospectively, because the “delay in implementation of [debris mitigation] methods </w:t>
      </w:r>
      <w:proofErr w:type="gramStart"/>
      <w:r w:rsidRPr="00B722BE">
        <w:rPr>
          <w:sz w:val="16"/>
          <w:szCs w:val="16"/>
        </w:rPr>
        <w:t>reduces</w:t>
      </w:r>
      <w:proofErr w:type="gramEnd"/>
      <w:r w:rsidRPr="00B722BE">
        <w:rPr>
          <w:sz w:val="16"/>
          <w:szCs w:val="16"/>
        </w:rPr>
        <w:t xml:space="preserve"> their effectiveness,”95 without comprehensive compliance, once Kessler Syndrome begins, the result will likely revert our telecommunication abilities back to the late 1800s. Yet self-interested parties continue to exploit highly sought-after orbital resources.96</w:t>
      </w:r>
    </w:p>
    <w:p w14:paraId="48FEB813" w14:textId="77777777" w:rsidR="00163ACD" w:rsidRPr="00B722BE" w:rsidRDefault="00163ACD" w:rsidP="00163ACD">
      <w:pPr>
        <w:rPr>
          <w:sz w:val="16"/>
          <w:szCs w:val="16"/>
        </w:rPr>
      </w:pPr>
      <w:r w:rsidRPr="00B722BE">
        <w:rPr>
          <w:sz w:val="16"/>
          <w:szCs w:val="16"/>
        </w:rPr>
        <w:t>C. Domestic Legislation</w:t>
      </w:r>
    </w:p>
    <w:p w14:paraId="6EE89B00" w14:textId="77777777" w:rsidR="00163ACD" w:rsidRPr="00B722BE" w:rsidRDefault="00163ACD" w:rsidP="00163ACD">
      <w:pPr>
        <w:rPr>
          <w:sz w:val="16"/>
          <w:szCs w:val="16"/>
        </w:rPr>
      </w:pPr>
      <w:r w:rsidRPr="00B722BE">
        <w:rPr>
          <w:sz w:val="16"/>
          <w:szCs w:val="16"/>
        </w:rPr>
        <w:t xml:space="preserve">One of the primary challenges jurists face when formulating international standards for space activity lies with COPUOS, because the unanimous support of its delegates is a prerequisite for concluding any multilateral agreement.97 While the consensus method initially provided a great deal of strength to the Corpus Juris </w:t>
      </w:r>
      <w:proofErr w:type="spellStart"/>
      <w:r w:rsidRPr="00B722BE">
        <w:rPr>
          <w:sz w:val="16"/>
          <w:szCs w:val="16"/>
        </w:rPr>
        <w:t>Spatialis’s</w:t>
      </w:r>
      <w:proofErr w:type="spellEnd"/>
      <w:r w:rsidRPr="00B722BE">
        <w:rPr>
          <w:sz w:val="16"/>
          <w:szCs w:val="16"/>
        </w:rPr>
        <w:t xml:space="preserve"> mandates, the Committee’s ever-expanding membership has </w:t>
      </w:r>
      <w:r w:rsidRPr="00B722BE">
        <w:rPr>
          <w:sz w:val="16"/>
          <w:szCs w:val="16"/>
        </w:rPr>
        <w:lastRenderedPageBreak/>
        <w:t>frustrated the adoption of any binding principles and guidelines since the 1980s.98 Despite the dearth of compulsory language, non-binding declarations of law inform us of the likely trajectory toward binding agreements in the future. Even without mandatory language, domestic legislation has mirrored COPUOS’s instruments addressing mitigation efforts.99</w:t>
      </w:r>
    </w:p>
    <w:p w14:paraId="6C8F30A1" w14:textId="77777777" w:rsidR="00163ACD" w:rsidRPr="00B722BE" w:rsidRDefault="00163ACD" w:rsidP="00163ACD">
      <w:pPr>
        <w:rPr>
          <w:sz w:val="16"/>
          <w:szCs w:val="16"/>
        </w:rPr>
      </w:pPr>
      <w:r w:rsidRPr="00B722BE">
        <w:rPr>
          <w:sz w:val="16"/>
          <w:szCs w:val="16"/>
        </w:rPr>
        <w:t xml:space="preserve">The National Aeronautics and Space Administration (NASA), Federal Aviation Administration (FAA), and Federal Communications Commission (FCC) serve key administrative functions in the mitigation of debris attributable to U.S. space activity. Prior to the passage of the Spurring Private Aerospace Competitiveness and Entrepreneurship Act of 2015 (SPACE Act),100 NASA facilitated many of humanity’s first triumphs in space faring and still plays an active role in tracking, cataloging, and formulating debris mitigation standards in the U.S.101 The 2019 update to these standards reflected the culmination of debris research, and sets benchmarks on permissible debris creation.102 While NASA has long been one of the three major space agencies operating in space, the reality of political cycles has forced NASA to look elsewhere to sustain project funding and support of existing national laboratories, namely the ISS.103 Still, much of the commercial activity in space consists of NASA-awarded government contracts for resupply missions, payload transport, and other collaborative projects with other nations.104 However, in the last decade, independent commercial activity has exploded. The SPACE Act thus initiated the privatization of space, as commercial payloads are now being launched into </w:t>
      </w:r>
      <w:proofErr w:type="spellStart"/>
      <w:r w:rsidRPr="00B722BE">
        <w:rPr>
          <w:sz w:val="16"/>
          <w:szCs w:val="16"/>
        </w:rPr>
        <w:t>geospace</w:t>
      </w:r>
      <w:proofErr w:type="spellEnd"/>
      <w:r w:rsidRPr="00B722BE">
        <w:rPr>
          <w:sz w:val="16"/>
          <w:szCs w:val="16"/>
        </w:rPr>
        <w:t xml:space="preserve"> unilaterally without any precursory relationship with NASA, other than the occasional use of NASA launch facilities.105</w:t>
      </w:r>
    </w:p>
    <w:p w14:paraId="4C498467" w14:textId="77777777" w:rsidR="00163ACD" w:rsidRPr="00B722BE" w:rsidRDefault="00163ACD" w:rsidP="00163ACD">
      <w:pPr>
        <w:rPr>
          <w:sz w:val="16"/>
          <w:szCs w:val="16"/>
        </w:rPr>
      </w:pPr>
      <w:r w:rsidRPr="00B722BE">
        <w:rPr>
          <w:sz w:val="16"/>
          <w:szCs w:val="16"/>
        </w:rPr>
        <w:t xml:space="preserve">In order to access space and place a satellite into orbit, a launching party must obtain a launch license from the FAA,106 and an authorization for satellite radio frequency transmission from the FCC.107 Because commercial space contractors have created business models that operate to the exclusion of government contracts, this upsurge of private activity affords the FCC a substantial level of influence over the future of </w:t>
      </w:r>
      <w:proofErr w:type="spellStart"/>
      <w:r w:rsidRPr="00B722BE">
        <w:rPr>
          <w:sz w:val="16"/>
          <w:szCs w:val="16"/>
        </w:rPr>
        <w:t>geospace</w:t>
      </w:r>
      <w:proofErr w:type="spellEnd"/>
      <w:r w:rsidRPr="00B722BE">
        <w:rPr>
          <w:sz w:val="16"/>
          <w:szCs w:val="16"/>
        </w:rPr>
        <w:t xml:space="preserve">. Aware of its normative power, the FCC proposed a rulemaking for updated debris mitigation standards as part of its licensure reviews.108 But as part of the current administration’s policies toward economic growth and competition, the FCC’s efforts to create these new standards have been “paused.”109 Without NASA oversight and the FCC’s final rule for mitigation standards, COPUOS has become the only feasible avenue for promulgating a framework that considers economic incentives in tandem with intergenerational equity. Under Hardin’s analysis, coercive regulation and management of the commons provide a workable solution to free us from our current trajectory.110 </w:t>
      </w:r>
    </w:p>
    <w:p w14:paraId="3B693D42" w14:textId="77777777" w:rsidR="00163ACD" w:rsidRPr="00C633D5" w:rsidRDefault="00163ACD" w:rsidP="00163ACD">
      <w:pPr>
        <w:rPr>
          <w:sz w:val="16"/>
          <w:szCs w:val="16"/>
        </w:rPr>
      </w:pPr>
      <w:r w:rsidRPr="00C633D5">
        <w:rPr>
          <w:sz w:val="16"/>
          <w:szCs w:val="16"/>
        </w:rPr>
        <w:t>IV. NECESSITY FOR REGULATION TO PRESERVE THE HERITAGE OF MANKIND—A PROPOSAL</w:t>
      </w:r>
    </w:p>
    <w:p w14:paraId="4F5FDEA6" w14:textId="77777777" w:rsidR="00163ACD" w:rsidRPr="00196D78" w:rsidRDefault="00163ACD" w:rsidP="00163ACD">
      <w:pPr>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DF0790">
        <w:rPr>
          <w:rStyle w:val="Emphasis"/>
          <w:highlight w:val="green"/>
        </w:rPr>
        <w:t xml:space="preserve">the sui generis nature of </w:t>
      </w:r>
      <w:proofErr w:type="spellStart"/>
      <w:r w:rsidRPr="00DF0790">
        <w:rPr>
          <w:rStyle w:val="Emphasis"/>
          <w:highlight w:val="green"/>
        </w:rPr>
        <w:t>geospace</w:t>
      </w:r>
      <w:proofErr w:type="spellEnd"/>
      <w:r w:rsidRPr="00DF0790">
        <w:rPr>
          <w:rStyle w:val="Emphasis"/>
          <w:highlight w:val="green"/>
        </w:rPr>
        <w:t xml:space="preserve"> presents a paradox requiring a 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because any </w:t>
      </w:r>
      <w:r w:rsidRPr="004A5B2D">
        <w:rPr>
          <w:rStyle w:val="StyleUnderline"/>
        </w:rPr>
        <w:t>conceivable</w:t>
      </w:r>
      <w:r w:rsidRPr="00DF0790">
        <w:rPr>
          <w:rStyle w:val="Emphasis"/>
          <w:highlight w:val="green"/>
        </w:rPr>
        <w:t xml:space="preserve"> assignment would violate</w:t>
      </w:r>
      <w:r w:rsidRPr="00196D78">
        <w:rPr>
          <w:rStyle w:val="StyleUnderline"/>
        </w:rPr>
        <w:t xml:space="preserve"> </w:t>
      </w:r>
      <w:r w:rsidRPr="00DF0790">
        <w:rPr>
          <w:rStyle w:val="Emphasis"/>
          <w:highlight w:val="green"/>
        </w:rPr>
        <w:t>the non-appropriation</w:t>
      </w:r>
      <w:r w:rsidRPr="00196D78">
        <w:rPr>
          <w:rStyle w:val="StyleUnderline"/>
        </w:rPr>
        <w:t xml:space="preserve"> </w:t>
      </w:r>
      <w:r w:rsidRPr="00DF0790">
        <w:rPr>
          <w:rStyle w:val="Emphasis"/>
          <w:highlight w:val="green"/>
        </w:rPr>
        <w:t>clause or 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only regulatory solutions can protect the interests inherent in a commons</w:t>
      </w:r>
      <w:r w:rsidRPr="00942E10">
        <w:rPr>
          <w:rStyle w:val="Emphasis"/>
        </w:rPr>
        <w:t xml:space="preserve"> </w:t>
      </w:r>
      <w:r w:rsidRPr="00196D78">
        <w:rPr>
          <w:rStyle w:val="StyleUnderline"/>
        </w:rPr>
        <w:t xml:space="preserve">protected for the common heritage of mankind. </w:t>
      </w:r>
    </w:p>
    <w:p w14:paraId="2BED5FB2" w14:textId="77777777" w:rsidR="00163ACD" w:rsidRDefault="00163ACD" w:rsidP="00163ACD">
      <w:r>
        <w:t>A. The Motivations for International Compliance</w:t>
      </w:r>
    </w:p>
    <w:p w14:paraId="4C7CFDE4" w14:textId="77777777" w:rsidR="00163ACD" w:rsidRPr="0059196F" w:rsidRDefault="00163ACD" w:rsidP="00163ACD">
      <w:pPr>
        <w:rPr>
          <w:rStyle w:val="StyleUnderline"/>
        </w:rPr>
      </w:pPr>
      <w:r w:rsidRPr="0059196F">
        <w:rPr>
          <w:rStyle w:val="Emphasis"/>
          <w:highlight w:val="green"/>
        </w:rPr>
        <w:t>The crux of a workable treaty lies in the consent of the parties 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7224DF94" w14:textId="77777777" w:rsidR="00163ACD" w:rsidRPr="000B3A06" w:rsidRDefault="00163ACD" w:rsidP="00163ACD">
      <w:pPr>
        <w:rPr>
          <w:sz w:val="16"/>
          <w:szCs w:val="16"/>
        </w:rPr>
      </w:pP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0BA2231C" w14:textId="77777777" w:rsidR="00163ACD" w:rsidRPr="00FE1C0C" w:rsidRDefault="00163ACD" w:rsidP="00163ACD">
      <w:pPr>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w:t>
      </w:r>
      <w:r w:rsidRPr="00FE1C0C">
        <w:rPr>
          <w:rStyle w:val="StyleUnderline"/>
        </w:rPr>
        <w:lastRenderedPageBreak/>
        <w:t>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025106">
        <w:rPr>
          <w:rStyle w:val="Emphasis"/>
          <w:highlight w:val="green"/>
        </w:rPr>
        <w:t>Assuming the propositioned regulatory scheme aligns with the values</w:t>
      </w:r>
      <w:r w:rsidRPr="00FE1C0C">
        <w:rPr>
          <w:rStyle w:val="StyleUnderline"/>
        </w:rPr>
        <w:t xml:space="preserve"> system </w:t>
      </w:r>
      <w:r w:rsidRPr="00025106">
        <w:rPr>
          <w:rStyle w:val="Emphasis"/>
          <w:highlight w:val="green"/>
        </w:rPr>
        <w:t>of each nation-state, the probability of internalizing 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6629A3D7" w14:textId="77777777" w:rsidR="00163ACD" w:rsidRPr="009D0C00" w:rsidRDefault="00163ACD" w:rsidP="00163ACD">
      <w:pPr>
        <w:rPr>
          <w:sz w:val="16"/>
        </w:rPr>
      </w:pPr>
      <w:r w:rsidRPr="000B3A06">
        <w:rPr>
          <w:sz w:val="16"/>
        </w:rPr>
        <w:t>To ascertain the interests of nation-states, we must look to the factors motivating current space utilization</w:t>
      </w:r>
      <w:r w:rsidRPr="00025106">
        <w:rPr>
          <w:rStyle w:val="Emphasis"/>
          <w:highlight w:val="green"/>
        </w:rPr>
        <w:t>. Routine access to space undeniably aids our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w:t>
      </w:r>
      <w:r w:rsidRPr="009D0C00">
        <w:rPr>
          <w:sz w:val="16"/>
        </w:rPr>
        <w:t xml:space="preserve">existence. </w:t>
      </w:r>
      <w:r w:rsidRPr="009D0C00">
        <w:rPr>
          <w:rStyle w:val="Emphasis"/>
        </w:rPr>
        <w:t>These benefits signify the tangible realization of the OST’s object</w:t>
      </w:r>
      <w:r w:rsidRPr="009D0C00">
        <w:rPr>
          <w:rStyle w:val="StyleUnderline"/>
        </w:rPr>
        <w:t xml:space="preserve"> and purpose, </w:t>
      </w:r>
      <w:r w:rsidRPr="009D0C00">
        <w:rPr>
          <w:rStyle w:val="Emphasis"/>
        </w:rPr>
        <w:t>which flow to all members of the global community.</w:t>
      </w:r>
      <w:r w:rsidRPr="009D0C00">
        <w:rPr>
          <w:sz w:val="16"/>
        </w:rPr>
        <w:t xml:space="preserve">129 </w:t>
      </w:r>
      <w:r w:rsidRPr="009D0C00">
        <w:rPr>
          <w:rStyle w:val="Emphasis"/>
        </w:rPr>
        <w:t xml:space="preserve">If we do not begin active decontamination and mitigation of space debris, the utility of </w:t>
      </w:r>
      <w:proofErr w:type="spellStart"/>
      <w:r w:rsidRPr="009D0C00">
        <w:rPr>
          <w:rStyle w:val="Emphasis"/>
        </w:rPr>
        <w:t>geospace</w:t>
      </w:r>
      <w:proofErr w:type="spellEnd"/>
      <w:r w:rsidRPr="009D0C00">
        <w:rPr>
          <w:rStyle w:val="Emphasis"/>
        </w:rPr>
        <w:t xml:space="preserve"> will cease to exis</w:t>
      </w:r>
      <w:r w:rsidRPr="009D0C00">
        <w:rPr>
          <w:rStyle w:val="StyleUnderline"/>
        </w:rPr>
        <w:t>t</w:t>
      </w:r>
      <w:r w:rsidRPr="009D0C00">
        <w:rPr>
          <w:sz w:val="16"/>
        </w:rPr>
        <w:t xml:space="preserve">. </w:t>
      </w:r>
      <w:r w:rsidRPr="009D0C00">
        <w:rPr>
          <w:rStyle w:val="Emphasis"/>
        </w:rPr>
        <w:t>Imagining our existence without these advances</w:t>
      </w:r>
      <w:r w:rsidRPr="009D0C00">
        <w:rPr>
          <w:rStyle w:val="StyleUnderline"/>
        </w:rPr>
        <w:t xml:space="preserve"> is a potent method to </w:t>
      </w:r>
      <w:r w:rsidRPr="009D0C00">
        <w:rPr>
          <w:rStyle w:val="Emphasis"/>
        </w:rPr>
        <w:t xml:space="preserve">stress the criticality of unabated pollution in </w:t>
      </w:r>
      <w:proofErr w:type="spellStart"/>
      <w:r w:rsidRPr="009D0C00">
        <w:rPr>
          <w:rStyle w:val="Emphasis"/>
        </w:rPr>
        <w:t>geospace</w:t>
      </w:r>
      <w:proofErr w:type="spellEnd"/>
      <w:r w:rsidRPr="009D0C00">
        <w:rPr>
          <w:sz w:val="16"/>
        </w:rPr>
        <w:t>.</w:t>
      </w:r>
    </w:p>
    <w:p w14:paraId="667F518F" w14:textId="77777777" w:rsidR="00163ACD" w:rsidRPr="009D0C00" w:rsidRDefault="00163ACD" w:rsidP="00163ACD">
      <w:pPr>
        <w:rPr>
          <w:sz w:val="16"/>
          <w:szCs w:val="16"/>
        </w:rPr>
      </w:pPr>
      <w:r w:rsidRPr="009D0C00">
        <w:rPr>
          <w:sz w:val="16"/>
          <w:szCs w:val="16"/>
        </w:rPr>
        <w:t>B. Existing Proposals</w:t>
      </w:r>
    </w:p>
    <w:p w14:paraId="3D68CEB7" w14:textId="77777777" w:rsidR="00163ACD" w:rsidRPr="000B3A06" w:rsidRDefault="00163ACD" w:rsidP="00163ACD">
      <w:pPr>
        <w:rPr>
          <w:sz w:val="16"/>
          <w:szCs w:val="16"/>
        </w:rPr>
      </w:pPr>
      <w:r w:rsidRPr="009D0C00">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9D0C00">
        <w:rPr>
          <w:sz w:val="16"/>
          <w:szCs w:val="16"/>
        </w:rPr>
        <w:t>nation-states</w:t>
      </w:r>
      <w:proofErr w:type="gramEnd"/>
      <w:r w:rsidRPr="009D0C00">
        <w:rPr>
          <w:sz w:val="16"/>
          <w:szCs w:val="16"/>
        </w:rPr>
        <w:t>’ exploits.130 Opponents of this construction rightfully highlight the inequities inherent in such a scheme. Considering</w:t>
      </w:r>
      <w:r w:rsidRPr="000B3A06">
        <w:rPr>
          <w:sz w:val="16"/>
          <w:szCs w:val="16"/>
        </w:rPr>
        <w:t xml:space="preserve">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78CF0E4E" w14:textId="77777777" w:rsidR="00163ACD" w:rsidRDefault="00163ACD" w:rsidP="00163ACD">
      <w:r>
        <w:t>C. A Coercive Proposal</w:t>
      </w:r>
    </w:p>
    <w:p w14:paraId="3A64BFA5" w14:textId="77777777" w:rsidR="00163ACD" w:rsidRPr="009D0C00" w:rsidRDefault="00163ACD" w:rsidP="00163ACD">
      <w:pPr>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Conceding to a regime that tempers free exploitation of the commons allows everyone to benefit from the positive externalities of individual usage.</w:t>
      </w:r>
      <w:r w:rsidRPr="00FE1C0C">
        <w:rPr>
          <w:rStyle w:val="StyleUnderline"/>
        </w:rPr>
        <w:t xml:space="preserve"> </w:t>
      </w:r>
      <w:r w:rsidRPr="00CB376D">
        <w:rPr>
          <w:rStyle w:val="Emphasis"/>
          <w:highlight w:val="green"/>
        </w:rPr>
        <w:t>Equated to space,</w:t>
      </w:r>
      <w:r w:rsidRPr="00FE1C0C">
        <w:rPr>
          <w:rStyle w:val="StyleUnderline"/>
        </w:rPr>
        <w:t xml:space="preserve"> </w:t>
      </w:r>
      <w:r w:rsidRPr="00A44DB9">
        <w:rPr>
          <w:rStyle w:val="Emphasis"/>
          <w:highlight w:val="green"/>
        </w:rPr>
        <w:t>nation-states currently concede to non-appropriation in the interest of maintaining equitable access.</w:t>
      </w:r>
      <w:r w:rsidRPr="00FE1C0C">
        <w:rPr>
          <w:rStyle w:val="StyleUnderline"/>
        </w:rPr>
        <w:t xml:space="preserve"> But because of </w:t>
      </w:r>
      <w:r w:rsidRPr="00A44DB9">
        <w:rPr>
          <w:rStyle w:val="Emphasis"/>
          <w:highlight w:val="green"/>
        </w:rPr>
        <w:t xml:space="preserve">the sui generis nature of </w:t>
      </w:r>
      <w:proofErr w:type="spellStart"/>
      <w:r w:rsidRPr="00A44DB9">
        <w:rPr>
          <w:rStyle w:val="Emphasis"/>
          <w:highlight w:val="green"/>
        </w:rPr>
        <w:t>geospace</w:t>
      </w:r>
      <w:proofErr w:type="spellEnd"/>
      <w:r w:rsidRPr="00A44DB9">
        <w:rPr>
          <w:rStyle w:val="Emphasis"/>
          <w:highlight w:val="green"/>
        </w:rPr>
        <w:t>, even non-participants receive a benefit from the</w:t>
      </w:r>
      <w:r w:rsidRPr="00FE1C0C">
        <w:rPr>
          <w:rStyle w:val="StyleUnderline"/>
        </w:rPr>
        <w:t xml:space="preserve"> use of the </w:t>
      </w:r>
      <w:r w:rsidRPr="00A44DB9">
        <w:rPr>
          <w:rStyle w:val="Emphasis"/>
          <w:highlight w:val="green"/>
        </w:rPr>
        <w:t>commons</w:t>
      </w:r>
      <w:r w:rsidRPr="00FE1C0C">
        <w:rPr>
          <w:rStyle w:val="StyleUnderline"/>
        </w:rPr>
        <w:t xml:space="preserve">. In effect, beneficiaries are free-riding from the capital investment of spacefaring nations and </w:t>
      </w:r>
      <w:r w:rsidRPr="009D0C00">
        <w:rPr>
          <w:rStyle w:val="StyleUnderline"/>
        </w:rPr>
        <w:lastRenderedPageBreak/>
        <w:t>entities</w:t>
      </w:r>
      <w:r w:rsidRPr="009D0C00">
        <w:rPr>
          <w:sz w:val="16"/>
        </w:rPr>
        <w:t xml:space="preserve">. </w:t>
      </w:r>
      <w:r w:rsidRPr="009D0C00">
        <w:rPr>
          <w:rStyle w:val="Emphasis"/>
        </w:rPr>
        <w:t xml:space="preserve">This informs the structure of the ensuing two-part framework: </w:t>
      </w:r>
      <w:proofErr w:type="spellStart"/>
      <w:r w:rsidRPr="009D0C00">
        <w:rPr>
          <w:rStyle w:val="Emphasis"/>
        </w:rPr>
        <w:t>geospace</w:t>
      </w:r>
      <w:proofErr w:type="spellEnd"/>
      <w:r w:rsidRPr="009D0C00">
        <w:rPr>
          <w:rStyle w:val="Emphasis"/>
        </w:rPr>
        <w:t xml:space="preserve"> delimitation and global liability</w:t>
      </w:r>
    </w:p>
    <w:p w14:paraId="4618F9C7" w14:textId="77777777" w:rsidR="00163ACD" w:rsidRPr="009D0C00" w:rsidRDefault="00163ACD" w:rsidP="00163ACD">
      <w:r w:rsidRPr="009D0C00">
        <w:t xml:space="preserve">1. </w:t>
      </w:r>
      <w:proofErr w:type="spellStart"/>
      <w:r w:rsidRPr="009D0C00">
        <w:t>Geospace</w:t>
      </w:r>
      <w:proofErr w:type="spellEnd"/>
      <w:r w:rsidRPr="009D0C00">
        <w:t xml:space="preserve"> Delimitation</w:t>
      </w:r>
    </w:p>
    <w:p w14:paraId="47332328" w14:textId="77777777" w:rsidR="00163ACD" w:rsidRPr="00A44DB9" w:rsidRDefault="00163ACD" w:rsidP="00163ACD">
      <w:pPr>
        <w:rPr>
          <w:rStyle w:val="Emphasis"/>
        </w:rPr>
      </w:pPr>
      <w:r w:rsidRPr="009D0C00">
        <w:rPr>
          <w:rStyle w:val="Emphasis"/>
        </w:rPr>
        <w:t>The history of regulatory delimitation illustrates its effectiveness</w:t>
      </w:r>
      <w:r w:rsidRPr="009D0C00">
        <w:rPr>
          <w:rStyle w:val="StyleUnderline"/>
        </w:rPr>
        <w:t xml:space="preserve"> at</w:t>
      </w:r>
      <w:r w:rsidRPr="00B76F47">
        <w:rPr>
          <w:rStyle w:val="StyleUnderline"/>
        </w:rPr>
        <w:t xml:space="preserve">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without encroaching on the</w:t>
      </w:r>
      <w:r w:rsidRPr="00B76F47">
        <w:rPr>
          <w:rStyle w:val="StyleUnderline"/>
        </w:rPr>
        <w:t xml:space="preserve"> peaceful enjoyment </w:t>
      </w:r>
      <w:r w:rsidRPr="00A44DB9">
        <w:rPr>
          <w:rStyle w:val="Emphasis"/>
          <w:highlight w:val="green"/>
        </w:rPr>
        <w:t>and benefits attributable to these areas.</w:t>
      </w:r>
      <w:r w:rsidRPr="00A44DB9">
        <w:rPr>
          <w:rStyle w:val="Emphasis"/>
        </w:rPr>
        <w:t xml:space="preserve"> </w:t>
      </w:r>
    </w:p>
    <w:p w14:paraId="0FD88389" w14:textId="77777777" w:rsidR="00163ACD" w:rsidRPr="000B3A06" w:rsidRDefault="00163ACD" w:rsidP="00163ACD">
      <w:pPr>
        <w:rPr>
          <w:sz w:val="16"/>
          <w:szCs w:val="16"/>
        </w:rPr>
      </w:pPr>
      <w:r w:rsidRPr="000B3A06">
        <w:rPr>
          <w:sz w:val="16"/>
          <w:szCs w:val="16"/>
        </w:rPr>
        <w:t xml:space="preserve">a. Antarctica </w:t>
      </w:r>
    </w:p>
    <w:p w14:paraId="003AD59F" w14:textId="77777777" w:rsidR="00163ACD" w:rsidRPr="000B3A06" w:rsidRDefault="00163ACD" w:rsidP="00163ACD">
      <w:pPr>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6C21E6BD" w14:textId="77777777" w:rsidR="00163ACD" w:rsidRPr="000B3A06" w:rsidRDefault="00163ACD" w:rsidP="00163ACD">
      <w:pPr>
        <w:rPr>
          <w:sz w:val="16"/>
          <w:szCs w:val="16"/>
        </w:rPr>
      </w:pPr>
      <w:r w:rsidRPr="000B3A06">
        <w:rPr>
          <w:sz w:val="16"/>
          <w:szCs w:val="16"/>
        </w:rPr>
        <w:t>b. The High Seas</w:t>
      </w:r>
    </w:p>
    <w:p w14:paraId="6B9DC06B" w14:textId="77777777" w:rsidR="00163ACD" w:rsidRPr="000B3A06" w:rsidRDefault="00163ACD" w:rsidP="00163ACD">
      <w:pPr>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DEBB658" w14:textId="77777777" w:rsidR="00163ACD" w:rsidRPr="000B3A06" w:rsidRDefault="00163ACD" w:rsidP="00163ACD">
      <w:pPr>
        <w:rPr>
          <w:sz w:val="16"/>
          <w:szCs w:val="16"/>
        </w:rPr>
      </w:pPr>
      <w:r w:rsidRPr="000B3A06">
        <w:rPr>
          <w:sz w:val="16"/>
          <w:szCs w:val="16"/>
        </w:rPr>
        <w:t>c. The Atmosphere</w:t>
      </w:r>
    </w:p>
    <w:p w14:paraId="76BF0FFA" w14:textId="77777777" w:rsidR="00163ACD" w:rsidRPr="000B3A06" w:rsidRDefault="00163ACD" w:rsidP="00163ACD">
      <w:pPr>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AD4EB00" w14:textId="77777777" w:rsidR="00163ACD" w:rsidRPr="000B3A06" w:rsidRDefault="00163ACD" w:rsidP="00163ACD">
      <w:pPr>
        <w:rPr>
          <w:sz w:val="16"/>
          <w:szCs w:val="16"/>
        </w:rPr>
      </w:pPr>
      <w:r w:rsidRPr="000B3A06">
        <w:rPr>
          <w:sz w:val="16"/>
          <w:szCs w:val="16"/>
        </w:rPr>
        <w:t>d. Regulating the Telecommunication Spectrum</w:t>
      </w:r>
    </w:p>
    <w:p w14:paraId="7548182B" w14:textId="77777777" w:rsidR="00163ACD" w:rsidRPr="000B3A06" w:rsidRDefault="00163ACD" w:rsidP="00163ACD">
      <w:pPr>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69D41A29" w14:textId="77777777" w:rsidR="00163ACD" w:rsidRPr="000B3A06" w:rsidRDefault="00163ACD" w:rsidP="00163ACD">
      <w:pPr>
        <w:ind w:left="72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08FC9082" w14:textId="77777777" w:rsidR="00163ACD" w:rsidRPr="000B3A06" w:rsidRDefault="00163ACD" w:rsidP="00163ACD">
      <w:pPr>
        <w:rPr>
          <w:sz w:val="16"/>
          <w:szCs w:val="16"/>
        </w:rPr>
      </w:pP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5C407722" w14:textId="77777777" w:rsidR="00163ACD" w:rsidRPr="000B3A06" w:rsidRDefault="00163ACD" w:rsidP="00163ACD">
      <w:pPr>
        <w:rPr>
          <w:sz w:val="16"/>
          <w:szCs w:val="16"/>
        </w:rPr>
      </w:pPr>
      <w:r w:rsidRPr="000B3A06">
        <w:rPr>
          <w:sz w:val="16"/>
          <w:szCs w:val="16"/>
        </w:rPr>
        <w:lastRenderedPageBreak/>
        <w:t>e. The OST’s Ineffective Delimitations</w:t>
      </w:r>
    </w:p>
    <w:p w14:paraId="30273E20" w14:textId="77777777" w:rsidR="00163ACD" w:rsidRPr="00D3609A" w:rsidRDefault="00163ACD" w:rsidP="00163ACD">
      <w:pPr>
        <w:rPr>
          <w:sz w:val="16"/>
        </w:rPr>
      </w:pP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504633">
        <w:rPr>
          <w:rStyle w:val="Emphasis"/>
          <w:highlight w:val="green"/>
        </w:rPr>
        <w:t>to</w:t>
      </w:r>
      <w:r w:rsidRPr="00B76F47">
        <w:rPr>
          <w:rStyle w:val="StyleUnderline"/>
        </w:rPr>
        <w:t xml:space="preserve"> further the enjoyment of space’s true utility: </w:t>
      </w:r>
      <w:r w:rsidRPr="00504633">
        <w:rPr>
          <w:rStyle w:val="Emphasis"/>
          <w:highlight w:val="green"/>
        </w:rPr>
        <w:t xml:space="preserve">scientific discovery and </w:t>
      </w:r>
      <w:r w:rsidRPr="007005F6">
        <w:rPr>
          <w:rStyle w:val="Emphasis"/>
          <w:highlight w:val="green"/>
        </w:rPr>
        <w:t>telecommunications</w:t>
      </w:r>
      <w:r w:rsidRPr="007005F6">
        <w:rPr>
          <w:rStyle w:val="StyleUnderline"/>
          <w:highlight w:val="green"/>
        </w:rPr>
        <w:t xml:space="preserve">. </w:t>
      </w:r>
      <w:r w:rsidRPr="007005F6">
        <w:rPr>
          <w:rStyle w:val="StyleUnderline"/>
        </w:rPr>
        <w:t>Likewise</w:t>
      </w:r>
      <w:r w:rsidRPr="007005F6">
        <w:rPr>
          <w:rStyle w:val="StyleUnderline"/>
          <w:highlight w:val="green"/>
        </w:rPr>
        <w:t xml:space="preserve">, </w:t>
      </w:r>
      <w:r w:rsidRPr="007005F6">
        <w:rPr>
          <w:rStyle w:val="Emphasis"/>
          <w:highlight w:val="green"/>
        </w:rPr>
        <w:t>the Liability Convention reinforces the necessity</w:t>
      </w:r>
      <w:r w:rsidRPr="00B76F47">
        <w:rPr>
          <w:rStyle w:val="StyleUnderline"/>
        </w:rPr>
        <w:t xml:space="preserve"> to maintain heightened situational awareness </w:t>
      </w:r>
      <w:r w:rsidRPr="007005F6">
        <w:rPr>
          <w:rStyle w:val="Emphasis"/>
          <w:highlight w:val="green"/>
        </w:rPr>
        <w:t>to guarantee the mutual, uninterrupted enjoyment of</w:t>
      </w:r>
      <w:r w:rsidRPr="00B76F47">
        <w:rPr>
          <w:rStyle w:val="StyleUnderline"/>
        </w:rPr>
        <w:t xml:space="preserve"> activity in </w:t>
      </w:r>
      <w:r w:rsidRPr="007005F6">
        <w:rPr>
          <w:rStyle w:val="Emphasis"/>
          <w:highlight w:val="green"/>
        </w:rPr>
        <w:t>space</w:t>
      </w:r>
      <w:r w:rsidRPr="00B76F47">
        <w:rPr>
          <w:rStyle w:val="StyleUnderline"/>
        </w:rPr>
        <w:t xml:space="preserve">.160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r w:rsidRPr="007005F6">
        <w:rPr>
          <w:rStyle w:val="Emphasis"/>
          <w:highlight w:val="green"/>
        </w:rPr>
        <w:t>loop-holes</w:t>
      </w:r>
      <w:r w:rsidRPr="00B76F47">
        <w:rPr>
          <w:rStyle w:val="StyleUnderline"/>
        </w:rPr>
        <w:t xml:space="preserve"> within these </w:t>
      </w:r>
      <w:r w:rsidRPr="007005F6">
        <w:rPr>
          <w:rStyle w:val="Emphasis"/>
          <w:highlight w:val="green"/>
        </w:rPr>
        <w:t>documents to avoid internalizing</w:t>
      </w:r>
      <w:r w:rsidRPr="00B76F47">
        <w:rPr>
          <w:rStyle w:val="StyleUnderline"/>
        </w:rPr>
        <w:t xml:space="preserve"> some of their </w:t>
      </w:r>
      <w:r w:rsidRPr="007005F6">
        <w:rPr>
          <w:rStyle w:val="Emphasis"/>
          <w:highlight w:val="green"/>
        </w:rPr>
        <w:t>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3609A">
        <w:rPr>
          <w:sz w:val="16"/>
        </w:rPr>
        <w:t>geospace</w:t>
      </w:r>
      <w:proofErr w:type="spellEnd"/>
      <w:r w:rsidRPr="00D3609A">
        <w:rPr>
          <w:sz w:val="16"/>
        </w:rPr>
        <w:t xml:space="preserve"> from littering the commons and destroying the utility of reserved slots.163 Holistically, none of the delimitations in the Corpus Juris </w:t>
      </w:r>
      <w:proofErr w:type="spellStart"/>
      <w:r w:rsidRPr="00D3609A">
        <w:rPr>
          <w:sz w:val="16"/>
        </w:rPr>
        <w:t>Spatialis</w:t>
      </w:r>
      <w:proofErr w:type="spellEnd"/>
      <w:r w:rsidRPr="00D3609A">
        <w:rPr>
          <w:sz w:val="16"/>
        </w:rPr>
        <w:t xml:space="preserve"> negate the cause of the growing belt of debris in </w:t>
      </w:r>
      <w:proofErr w:type="spellStart"/>
      <w:r w:rsidRPr="00D3609A">
        <w:rPr>
          <w:sz w:val="16"/>
        </w:rPr>
        <w:t>geospace</w:t>
      </w:r>
      <w:proofErr w:type="spellEnd"/>
      <w:r w:rsidRPr="00D3609A">
        <w:rPr>
          <w:sz w:val="16"/>
        </w:rPr>
        <w:t>.</w:t>
      </w:r>
    </w:p>
    <w:p w14:paraId="6C87253E" w14:textId="77777777" w:rsidR="00163ACD" w:rsidRDefault="00163ACD" w:rsidP="00163ACD">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overall utility of </w:t>
      </w:r>
      <w:proofErr w:type="spellStart"/>
      <w:r w:rsidRPr="00ED585D">
        <w:rPr>
          <w:rStyle w:val="Emphasis"/>
          <w:highlight w:val="green"/>
        </w:rPr>
        <w:t>geospace</w:t>
      </w:r>
      <w:proofErr w:type="spellEnd"/>
      <w:r w:rsidRPr="00ED585D">
        <w:rPr>
          <w:rStyle w:val="StyleUnderline"/>
        </w:rPr>
        <w:t xml:space="preserve">. When an entity launches a rocket into space, the accompanying payload causes either (1) temporary reduction of the aggregate utility of </w:t>
      </w:r>
      <w:proofErr w:type="spellStart"/>
      <w:r w:rsidRPr="00ED585D">
        <w:rPr>
          <w:rStyle w:val="StyleUnderline"/>
        </w:rPr>
        <w:t>geospace</w:t>
      </w:r>
      <w:proofErr w:type="spellEnd"/>
      <w:r w:rsidRPr="00ED585D">
        <w:rPr>
          <w:rStyle w:val="StyleUnderline"/>
        </w:rPr>
        <w:t xml:space="preserve"> or (2) permanent reduction of the aggregate utility of geospace.164</w:t>
      </w:r>
    </w:p>
    <w:p w14:paraId="17ACB0A4" w14:textId="77777777" w:rsidR="00163ACD" w:rsidRPr="009D0C00" w:rsidRDefault="00163ACD" w:rsidP="00163ACD">
      <w:pPr>
        <w:rPr>
          <w:sz w:val="16"/>
        </w:rPr>
      </w:pPr>
      <w:r w:rsidRPr="00B76F47">
        <w:rPr>
          <w:rStyle w:val="StyleUnderline"/>
        </w:rPr>
        <w:t xml:space="preserve">The first delimitation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w:t>
      </w:r>
      <w:r w:rsidRPr="009D0C00">
        <w:rPr>
          <w:rStyle w:val="StyleUnderline"/>
        </w:rPr>
        <w:t xml:space="preserve">nations, </w:t>
      </w:r>
      <w:r w:rsidRPr="009D0C00">
        <w:rPr>
          <w:rStyle w:val="Emphasis"/>
        </w:rPr>
        <w:t>the overcrowding of</w:t>
      </w:r>
      <w:r w:rsidRPr="009D0C00">
        <w:rPr>
          <w:rStyle w:val="StyleUnderline"/>
        </w:rPr>
        <w:t xml:space="preserve"> </w:t>
      </w:r>
      <w:r w:rsidRPr="009D0C00">
        <w:rPr>
          <w:rStyle w:val="Emphasis"/>
        </w:rPr>
        <w:t xml:space="preserve">affluent spacefaring entities vying for orbital acquisition puts immense pressure on the finite resources within </w:t>
      </w:r>
      <w:proofErr w:type="spellStart"/>
      <w:r w:rsidRPr="009D0C00">
        <w:rPr>
          <w:rStyle w:val="Emphasis"/>
        </w:rPr>
        <w:t>geospace</w:t>
      </w:r>
      <w:proofErr w:type="spellEnd"/>
      <w:r w:rsidRPr="009D0C00">
        <w:rPr>
          <w:rStyle w:val="Emphasis"/>
        </w:rPr>
        <w:t>.</w:t>
      </w:r>
      <w:r w:rsidRPr="009D0C00">
        <w:rPr>
          <w:rStyle w:val="StyleUnderline"/>
        </w:rPr>
        <w:t xml:space="preserve"> Therefore, </w:t>
      </w:r>
      <w:r w:rsidRPr="009D0C00">
        <w:rPr>
          <w:rStyle w:val="Emphasis"/>
        </w:rPr>
        <w:t xml:space="preserve">demarcating the upper limit of </w:t>
      </w:r>
      <w:proofErr w:type="spellStart"/>
      <w:r w:rsidRPr="009D0C00">
        <w:rPr>
          <w:rStyle w:val="Emphasis"/>
        </w:rPr>
        <w:t>geospace</w:t>
      </w:r>
      <w:proofErr w:type="spellEnd"/>
      <w:r w:rsidRPr="009D0C00">
        <w:rPr>
          <w:rStyle w:val="Emphasis"/>
        </w:rPr>
        <w:t xml:space="preserve"> will allow entities to continue exploring the universe without imposing the restrictions placed</w:t>
      </w:r>
      <w:r w:rsidRPr="009D0C00">
        <w:rPr>
          <w:rStyle w:val="StyleUnderline"/>
        </w:rPr>
        <w:t xml:space="preserve"> on those seeking </w:t>
      </w:r>
      <w:proofErr w:type="spellStart"/>
      <w:r w:rsidRPr="009D0C00">
        <w:rPr>
          <w:rStyle w:val="Emphasis"/>
        </w:rPr>
        <w:t>geospace</w:t>
      </w:r>
      <w:proofErr w:type="spellEnd"/>
      <w:r w:rsidRPr="009D0C00">
        <w:rPr>
          <w:rStyle w:val="Emphasis"/>
        </w:rPr>
        <w:t xml:space="preserve"> positioning</w:t>
      </w:r>
      <w:r w:rsidRPr="009D0C00">
        <w:rPr>
          <w:rStyle w:val="StyleUnderline"/>
        </w:rPr>
        <w:t>.</w:t>
      </w:r>
      <w:r w:rsidRPr="009D0C00">
        <w:rPr>
          <w:sz w:val="16"/>
        </w:rPr>
        <w:t xml:space="preserve">165 </w:t>
      </w:r>
      <w:r w:rsidRPr="009D0C00">
        <w:rPr>
          <w:rStyle w:val="Emphasis"/>
        </w:rPr>
        <w:t>This</w:t>
      </w:r>
      <w:r w:rsidRPr="009D0C00">
        <w:rPr>
          <w:rStyle w:val="StyleUnderline"/>
        </w:rPr>
        <w:t xml:space="preserve"> modification </w:t>
      </w:r>
      <w:r w:rsidRPr="009D0C00">
        <w:rPr>
          <w:rStyle w:val="Emphasis"/>
        </w:rPr>
        <w:t>will</w:t>
      </w:r>
      <w:r w:rsidRPr="009D0C00">
        <w:rPr>
          <w:rStyle w:val="StyleUnderline"/>
        </w:rPr>
        <w:t xml:space="preserve"> allow continued use of both regions, but </w:t>
      </w:r>
      <w:r w:rsidRPr="009D0C00">
        <w:rPr>
          <w:rStyle w:val="Emphasis"/>
        </w:rPr>
        <w:t xml:space="preserve">coerce more sustainable usage of </w:t>
      </w:r>
      <w:proofErr w:type="spellStart"/>
      <w:r w:rsidRPr="009D0C00">
        <w:rPr>
          <w:rStyle w:val="Emphasis"/>
        </w:rPr>
        <w:t>geospace</w:t>
      </w:r>
      <w:proofErr w:type="spellEnd"/>
      <w:r w:rsidRPr="009D0C00">
        <w:rPr>
          <w:rStyle w:val="Emphasis"/>
        </w:rPr>
        <w:t xml:space="preserve"> </w:t>
      </w:r>
      <w:r w:rsidRPr="009D0C00">
        <w:rPr>
          <w:rStyle w:val="StyleUnderline"/>
        </w:rPr>
        <w:t xml:space="preserve">with </w:t>
      </w:r>
      <w:r w:rsidRPr="009D0C00">
        <w:rPr>
          <w:rStyle w:val="Emphasis"/>
        </w:rPr>
        <w:t>the assistance of</w:t>
      </w:r>
      <w:r w:rsidRPr="009D0C00">
        <w:rPr>
          <w:rStyle w:val="StyleUnderline"/>
        </w:rPr>
        <w:t xml:space="preserve"> the secondary prong below.</w:t>
      </w:r>
      <w:r w:rsidRPr="009D0C00">
        <w:rPr>
          <w:sz w:val="16"/>
        </w:rPr>
        <w:t xml:space="preserve"> </w:t>
      </w:r>
    </w:p>
    <w:p w14:paraId="57013375" w14:textId="77777777" w:rsidR="00163ACD" w:rsidRPr="00C66E3B" w:rsidRDefault="00163ACD" w:rsidP="00163ACD">
      <w:pPr>
        <w:rPr>
          <w:rStyle w:val="Emphasis"/>
        </w:rPr>
      </w:pPr>
      <w:r w:rsidRPr="009D0C00">
        <w:t xml:space="preserve">2. </w:t>
      </w:r>
      <w:r w:rsidRPr="009D0C00">
        <w:rPr>
          <w:rStyle w:val="Emphasis"/>
        </w:rPr>
        <w:t>Global Liability</w:t>
      </w:r>
      <w:r w:rsidRPr="00C66E3B">
        <w:rPr>
          <w:rStyle w:val="Emphasis"/>
        </w:rPr>
        <w:t xml:space="preserve"> </w:t>
      </w:r>
    </w:p>
    <w:p w14:paraId="641FEBF7" w14:textId="77777777" w:rsidR="00163ACD" w:rsidRPr="00D3609A" w:rsidRDefault="00163ACD" w:rsidP="00163ACD">
      <w:pPr>
        <w:rPr>
          <w:sz w:val="16"/>
        </w:rPr>
      </w:pPr>
      <w:r w:rsidRPr="00FE1C0C">
        <w:rPr>
          <w:rStyle w:val="StyleUnderline"/>
        </w:rPr>
        <w:t xml:space="preserve">Operating under the theory </w:t>
      </w:r>
      <w:r w:rsidRPr="00752CFD">
        <w:rPr>
          <w:rStyle w:val="Emphasis"/>
          <w:highlight w:val="green"/>
        </w:rPr>
        <w:t>that humanity holds an implied property right in the global commons but</w:t>
      </w:r>
      <w:r w:rsidRPr="00FE1C0C">
        <w:rPr>
          <w:rStyle w:val="StyleUnderline"/>
        </w:rPr>
        <w:t xml:space="preserve"> </w:t>
      </w:r>
      <w:r w:rsidRPr="00752CFD">
        <w:rPr>
          <w:rStyle w:val="Emphasis"/>
          <w:highlight w:val="green"/>
        </w:rPr>
        <w:t>limited under the non-appropriation</w:t>
      </w:r>
      <w:r w:rsidRPr="00FE1C0C">
        <w:rPr>
          <w:rStyle w:val="StyleUnderline"/>
        </w:rPr>
        <w:t xml:space="preserve"> clause to protect those interests through traditional property mechanisms, </w:t>
      </w:r>
      <w:r w:rsidRPr="00752CFD">
        <w:rPr>
          <w:rStyle w:val="Emphasis"/>
          <w:highlight w:val="green"/>
        </w:rPr>
        <w:t>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its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37AC421D" w14:textId="77777777" w:rsidR="00163ACD" w:rsidRPr="00D3609A" w:rsidRDefault="00163ACD" w:rsidP="00163ACD">
      <w:pPr>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t xml:space="preserve">Fundamentally, </w:t>
      </w:r>
      <w:r w:rsidRPr="00B731E0">
        <w:rPr>
          <w:rStyle w:val="Emphasis"/>
          <w:highlight w:val="green"/>
        </w:rPr>
        <w:t>every spacefaring entity</w:t>
      </w:r>
      <w:r w:rsidRPr="00FE1C0C">
        <w:rPr>
          <w:rStyle w:val="StyleUnderline"/>
        </w:rPr>
        <w:t xml:space="preserve"> and approving launching state </w:t>
      </w:r>
      <w:r w:rsidRPr="00B731E0">
        <w:rPr>
          <w:rStyle w:val="Emphasis"/>
          <w:highlight w:val="green"/>
        </w:rPr>
        <w:t>knows of this</w:t>
      </w:r>
      <w:r w:rsidRPr="00FE1C0C">
        <w:rPr>
          <w:rStyle w:val="StyleUnderline"/>
        </w:rPr>
        <w:t xml:space="preserve"> monumental </w:t>
      </w:r>
      <w:r w:rsidRPr="00B731E0">
        <w:rPr>
          <w:rStyle w:val="Emphasis"/>
          <w:highlight w:val="green"/>
        </w:rPr>
        <w:t>threat</w:t>
      </w:r>
      <w:r w:rsidRPr="00FE1C0C">
        <w:rPr>
          <w:rStyle w:val="StyleUnderline"/>
        </w:rPr>
        <w:t xml:space="preserve"> to the utility of </w:t>
      </w:r>
      <w:proofErr w:type="spellStart"/>
      <w:r w:rsidRPr="00FE1C0C">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171 To incorporate a time-</w:t>
      </w:r>
      <w:r w:rsidRPr="00D3609A">
        <w:rPr>
          <w:sz w:val="16"/>
        </w:rPr>
        <w:lastRenderedPageBreak/>
        <w:t xml:space="preserv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66713524" w14:textId="77777777" w:rsidR="00163ACD" w:rsidRPr="00841781" w:rsidRDefault="00163ACD" w:rsidP="00163ACD">
      <w:r w:rsidRPr="00FE1C0C">
        <w:rPr>
          <w:rStyle w:val="StyleUnderline"/>
        </w:rPr>
        <w:t xml:space="preserve">Let us assume the burden to mitigate space debris is $18.5 </w:t>
      </w:r>
      <w:r w:rsidRPr="009D0C00">
        <w:rPr>
          <w:rStyle w:val="StyleUnderline"/>
        </w:rPr>
        <w:t xml:space="preserve">million172 but </w:t>
      </w:r>
      <w:r w:rsidRPr="009D0C00">
        <w:rPr>
          <w:rStyle w:val="Emphasis"/>
        </w:rPr>
        <w:t>the probable magnitude of not mitigating</w:t>
      </w:r>
      <w:r w:rsidRPr="009D0C00">
        <w:rPr>
          <w:rStyle w:val="StyleUnderline"/>
        </w:rPr>
        <w:t xml:space="preserve"> the accumulation of </w:t>
      </w:r>
      <w:r w:rsidRPr="009D0C00">
        <w:rPr>
          <w:rStyle w:val="Emphasis"/>
        </w:rPr>
        <w:t>space debris equates to reverting our technological capabilities back to the 1800s</w:t>
      </w:r>
      <w:r w:rsidRPr="009D0C00">
        <w:rPr>
          <w:rStyle w:val="StyleUnderline"/>
        </w:rPr>
        <w:t>. Considering the accumulation of debris from the accidental</w:t>
      </w:r>
      <w:r w:rsidRPr="00FE1C0C">
        <w:rPr>
          <w:rStyle w:val="StyleUnderline"/>
        </w:rPr>
        <w:t xml:space="preserve"> or intentional breakup of </w:t>
      </w:r>
      <w:proofErr w:type="spellStart"/>
      <w:r w:rsidRPr="00FE1C0C">
        <w:rPr>
          <w:rStyle w:val="StyleUnderline"/>
        </w:rPr>
        <w:t>geospace</w:t>
      </w:r>
      <w:proofErr w:type="spellEnd"/>
      <w:r w:rsidRPr="00FE1C0C">
        <w:rPr>
          <w:rStyle w:val="StyleUnderline"/>
        </w:rPr>
        <w:t xml:space="preserve"> satellites, </w:t>
      </w:r>
      <w:r w:rsidRPr="00A970A8">
        <w:rPr>
          <w:rStyle w:val="Emphasis"/>
          <w:highlight w:val="green"/>
        </w:rPr>
        <w:t>the probability of Kessler Syndrome fully concluding in the absence of a comprehensive mitigation protocol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 </w:t>
      </w:r>
      <w:r w:rsidRPr="00A970A8">
        <w:rPr>
          <w:rStyle w:val="Emphasis"/>
          <w:highlight w:val="green"/>
        </w:rPr>
        <w:t>of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2010816B" w14:textId="77777777" w:rsidR="00163ACD" w:rsidRPr="00D3609A" w:rsidRDefault="00163ACD" w:rsidP="00163ACD">
      <w:pPr>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280363">
        <w:rPr>
          <w:rStyle w:val="Emphasis"/>
          <w:highlight w:val="green"/>
        </w:rPr>
        <w:t>shared global liability will consider the responsibility of nation-states and private entities in isolation</w:t>
      </w:r>
      <w:r w:rsidRPr="00D3609A">
        <w:rPr>
          <w:sz w:val="16"/>
        </w:rPr>
        <w:t xml:space="preserve">.176 </w:t>
      </w:r>
      <w:r w:rsidRPr="00280363">
        <w:rPr>
          <w:rStyle w:val="Emphasis"/>
          <w:highlight w:val="green"/>
        </w:rPr>
        <w:t>This will coerce cooperation among all agencies, nations, and private entities because the equitable share of responsibility will drive collective resolution</w:t>
      </w:r>
      <w:r w:rsidRPr="00FE1C0C">
        <w:rPr>
          <w:rStyle w:val="StyleUnderline"/>
        </w:rPr>
        <w:t>.</w:t>
      </w:r>
      <w:r w:rsidRPr="00D3609A">
        <w:rPr>
          <w:sz w:val="16"/>
        </w:rPr>
        <w:t xml:space="preserve"> </w:t>
      </w:r>
    </w:p>
    <w:p w14:paraId="3441A975" w14:textId="77777777" w:rsidR="00163ACD" w:rsidRDefault="00163ACD" w:rsidP="00163ACD">
      <w:r>
        <w:t>V. CONCLUSION</w:t>
      </w:r>
    </w:p>
    <w:p w14:paraId="560EC133" w14:textId="77777777" w:rsidR="00163ACD" w:rsidRPr="00B76F47" w:rsidRDefault="00163ACD" w:rsidP="00163ACD">
      <w:pPr>
        <w:rPr>
          <w:rStyle w:val="StyleUnderline"/>
        </w:rPr>
      </w:pP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This international agreement aligns with the</w:t>
      </w:r>
      <w:r w:rsidRPr="00B76F47">
        <w:rPr>
          <w:rStyle w:val="StyleUnderline"/>
        </w:rPr>
        <w:t xml:space="preserve"> </w:t>
      </w:r>
      <w:r w:rsidRPr="00280363">
        <w:rPr>
          <w:rStyle w:val="Emphasis"/>
          <w:highlight w:val="green"/>
        </w:rPr>
        <w:t>universal value</w:t>
      </w:r>
      <w:r w:rsidRPr="00B76F47">
        <w:rPr>
          <w:rStyle w:val="StyleUnderline"/>
        </w:rPr>
        <w:t xml:space="preserve"> that the international community places on the utility </w:t>
      </w:r>
      <w:r w:rsidRPr="00280363">
        <w:rPr>
          <w:rStyle w:val="Emphasis"/>
          <w:highlight w:val="green"/>
        </w:rPr>
        <w:t>of geospace</w:t>
      </w:r>
      <w:r w:rsidRPr="00B76F47">
        <w:rPr>
          <w:rStyle w:val="StyleUnderline"/>
        </w:rPr>
        <w:t xml:space="preserve">.177 In essence, </w:t>
      </w:r>
      <w:r w:rsidRPr="00280363">
        <w:rPr>
          <w:rStyle w:val="Emphasis"/>
          <w:highlight w:val="green"/>
        </w:rPr>
        <w:t xml:space="preserve">it protects </w:t>
      </w:r>
      <w:proofErr w:type="spellStart"/>
      <w:r w:rsidRPr="00280363">
        <w:rPr>
          <w:rStyle w:val="Emphasis"/>
          <w:highlight w:val="green"/>
        </w:rPr>
        <w:t>geospace</w:t>
      </w:r>
      <w:proofErr w:type="spellEnd"/>
      <w:r w:rsidRPr="00280363">
        <w:rPr>
          <w:rStyle w:val="Emphasis"/>
          <w:highlight w:val="green"/>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p>
    <w:p w14:paraId="0F169740" w14:textId="77777777" w:rsidR="00163ACD" w:rsidRPr="009C185C" w:rsidRDefault="00163ACD" w:rsidP="00163ACD">
      <w:pPr>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70B51DEE" w14:textId="77777777" w:rsidR="00163ACD" w:rsidRPr="009C185C" w:rsidRDefault="00163ACD" w:rsidP="00163ACD">
      <w:pPr>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F4A2FB1" w14:textId="77777777" w:rsidR="00163ACD" w:rsidRPr="002401A3" w:rsidRDefault="00163ACD" w:rsidP="00163ACD">
      <w:pPr>
        <w:pStyle w:val="Heading4"/>
        <w:rPr>
          <w:rFonts w:cs="Calibri"/>
        </w:rPr>
      </w:pPr>
      <w:r w:rsidRPr="002401A3">
        <w:rPr>
          <w:rFonts w:cs="Calibri"/>
        </w:rPr>
        <w:lastRenderedPageBreak/>
        <w:t xml:space="preserve">Treating space as a </w:t>
      </w:r>
      <w:proofErr w:type="gramStart"/>
      <w:r w:rsidRPr="002401A3">
        <w:rPr>
          <w:rFonts w:cs="Calibri"/>
        </w:rPr>
        <w:t>commons</w:t>
      </w:r>
      <w:proofErr w:type="gramEnd"/>
      <w:r w:rsidRPr="002401A3">
        <w:rPr>
          <w:rFonts w:cs="Calibri"/>
        </w:rPr>
        <w:t xml:space="preserve"> solves orbital debris. </w:t>
      </w:r>
      <w:r>
        <w:rPr>
          <w:rFonts w:cs="Calibri"/>
        </w:rPr>
        <w:t>Current non-binding agreements are not enough.</w:t>
      </w:r>
    </w:p>
    <w:p w14:paraId="0C147970" w14:textId="77777777" w:rsidR="00163ACD" w:rsidRPr="00377999" w:rsidRDefault="00163ACD" w:rsidP="00163ACD">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088372F7" w14:textId="77777777" w:rsidR="00163ACD" w:rsidRPr="002401A3" w:rsidRDefault="00163ACD" w:rsidP="00163ACD">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9D0C00">
        <w:rPr>
          <w:sz w:val="12"/>
          <w:szCs w:val="12"/>
        </w:rPr>
        <w:t>risks.¶</w:t>
      </w:r>
      <w:proofErr w:type="gramEnd"/>
      <w:r w:rsidRPr="009D0C00">
        <w:rPr>
          <w:sz w:val="12"/>
          <w:szCs w:val="12"/>
        </w:rPr>
        <w:t xml:space="preserve"> </w:t>
      </w:r>
      <w:r w:rsidRPr="009D0C00">
        <w:rPr>
          <w:rStyle w:val="StyleUnderline"/>
        </w:rPr>
        <w:t>Without new governance</w:t>
      </w:r>
      <w:r w:rsidRPr="009D0C00">
        <w:rPr>
          <w:sz w:val="12"/>
        </w:rPr>
        <w:t xml:space="preserve"> agreements, problems related to </w:t>
      </w:r>
      <w:r w:rsidRPr="009D0C00">
        <w:rPr>
          <w:rStyle w:val="StyleUnderline"/>
        </w:rPr>
        <w:t>debris, heavy orbital traffic, and harmful interference will only intensify.</w:t>
      </w:r>
      <w:r w:rsidRPr="009D0C00">
        <w:rPr>
          <w:sz w:val="12"/>
        </w:rPr>
        <w:t xml:space="preserve"> Debris in higher orbits can persist for a century or more. </w:t>
      </w:r>
      <w:r w:rsidRPr="009D0C00">
        <w:rPr>
          <w:rStyle w:val="StyleUnderline"/>
        </w:rPr>
        <w:t>The costs of adapting to</w:t>
      </w:r>
      <w:r w:rsidRPr="009D0C00">
        <w:rPr>
          <w:sz w:val="12"/>
        </w:rPr>
        <w:t xml:space="preserve"> increasingly </w:t>
      </w:r>
      <w:r w:rsidRPr="009D0C00">
        <w:rPr>
          <w:rStyle w:val="StyleUnderline"/>
        </w:rPr>
        <w:t>polluted orbits would be immense, and the opportunity costs would be even higher</w:t>
      </w:r>
      <w:r w:rsidRPr="009D0C00">
        <w:rPr>
          <w:sz w:val="12"/>
        </w:rPr>
        <w:t xml:space="preserve">. For instance, all else being equal, hardening satellites against collisions increases their mass and volume, in turn raising launch costs per satellite. These costs, rooted in a failure to govern space as a commons, will be </w:t>
      </w:r>
      <w:r w:rsidRPr="009D0C00">
        <w:rPr>
          <w:rStyle w:val="StyleUnderline"/>
        </w:rPr>
        <w:t xml:space="preserve">borne by all space actors, including emerging states and commercial </w:t>
      </w:r>
      <w:proofErr w:type="gramStart"/>
      <w:r w:rsidRPr="009D0C00">
        <w:rPr>
          <w:rStyle w:val="StyleUnderline"/>
        </w:rPr>
        <w:t>entities.</w:t>
      </w:r>
      <w:r w:rsidRPr="009D0C00">
        <w:rPr>
          <w:sz w:val="12"/>
        </w:rPr>
        <w:t>¶</w:t>
      </w:r>
      <w:proofErr w:type="gramEnd"/>
      <w:r w:rsidRPr="009D0C00">
        <w:rPr>
          <w:sz w:val="12"/>
        </w:rPr>
        <w:t xml:space="preserve"> EX</w:t>
      </w:r>
      <w:r w:rsidRPr="002401A3">
        <w:rPr>
          <w:sz w:val="12"/>
        </w:rPr>
        <w:t xml:space="preserve">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r w:rsidRPr="009D0C00">
        <w:rPr>
          <w:sz w:val="12"/>
        </w:rPr>
        <w:t>.¶</w:t>
      </w:r>
      <w:proofErr w:type="gramEnd"/>
      <w:r w:rsidRPr="009D0C00">
        <w:rPr>
          <w:sz w:val="12"/>
        </w:rPr>
        <w:t xml:space="preserve"> </w:t>
      </w:r>
      <w:r w:rsidRPr="009D0C00">
        <w:rPr>
          <w:rStyle w:val="StyleUnderline"/>
        </w:rPr>
        <w:t>States have acceded to supranational regulations of the most limited</w:t>
      </w:r>
      <w:r w:rsidRPr="009D0C00">
        <w:rPr>
          <w:sz w:val="12"/>
        </w:rPr>
        <w:t xml:space="preserve"> (and thus most valuable) Earth </w:t>
      </w:r>
      <w:r w:rsidRPr="009D0C00">
        <w:rPr>
          <w:rStyle w:val="StyleUnderline"/>
        </w:rPr>
        <w:t>orbits.</w:t>
      </w:r>
      <w:r w:rsidRPr="009D0C00">
        <w:rPr>
          <w:sz w:val="12"/>
        </w:rPr>
        <w:t xml:space="preserve"> </w:t>
      </w:r>
      <w:r w:rsidRPr="009D0C00">
        <w:rPr>
          <w:rStyle w:val="StyleUnderline"/>
        </w:rPr>
        <w:t>The</w:t>
      </w:r>
      <w:r w:rsidRPr="009D0C00">
        <w:rPr>
          <w:sz w:val="12"/>
        </w:rPr>
        <w:t xml:space="preserve"> International Telecommunication Union (</w:t>
      </w:r>
      <w:r w:rsidRPr="009D0C00">
        <w:rPr>
          <w:rStyle w:val="StyleUnderline"/>
        </w:rPr>
        <w:t>ITU</w:t>
      </w:r>
      <w:r w:rsidRPr="009D0C00">
        <w:rPr>
          <w:sz w:val="12"/>
        </w:rPr>
        <w:t xml:space="preserve">) </w:t>
      </w:r>
      <w:r w:rsidRPr="009D0C00">
        <w:rPr>
          <w:rStyle w:val="StyleUnderline"/>
        </w:rPr>
        <w:t>coordinates</w:t>
      </w:r>
      <w:r w:rsidRPr="009D0C00">
        <w:rPr>
          <w:sz w:val="12"/>
        </w:rPr>
        <w:t xml:space="preserve">, but does not authorize, </w:t>
      </w:r>
      <w:r w:rsidRPr="009D0C00">
        <w:rPr>
          <w:sz w:val="26"/>
          <w:szCs w:val="26"/>
        </w:rPr>
        <w:t>s</w:t>
      </w:r>
      <w:r w:rsidRPr="009D0C00">
        <w:rPr>
          <w:rStyle w:val="StyleUnderline"/>
          <w:sz w:val="26"/>
          <w:szCs w:val="26"/>
        </w:rPr>
        <w:t>atellite</w:t>
      </w:r>
      <w:r w:rsidRPr="009D0C00">
        <w:rPr>
          <w:rStyle w:val="StyleUnderline"/>
        </w:rPr>
        <w:t xml:space="preserve"> deployments and operations in geosynchronous orbits and manages radiofrequency spectrum assignments in other regions of space</w:t>
      </w:r>
      <w:r w:rsidRPr="009D0C00">
        <w:rPr>
          <w:sz w:val="12"/>
        </w:rPr>
        <w:t xml:space="preserve"> to reduce interference between satellites. These coordination activities are underpinned by the ITU’s constitution, which reminds states “that radio frequencies and any asso</w:t>
      </w:r>
      <w:r w:rsidRPr="002401A3">
        <w:rPr>
          <w:sz w:val="12"/>
        </w:rPr>
        <w:t xml:space="preserve">ciate orbits . . . are limited natural resources,” indicating a </w:t>
      </w:r>
      <w:r w:rsidRPr="002401A3">
        <w:rPr>
          <w:sz w:val="12"/>
        </w:rPr>
        <w:lastRenderedPageBreak/>
        <w:t>commons-based approach to governing the radiofrequency spectrum. However, the union’s processes are still adapting to new operational realities in low Earth orbit, and these rules were never designed to address issues like debris.</w:t>
      </w:r>
    </w:p>
    <w:p w14:paraId="35DE26D4" w14:textId="77777777" w:rsidR="00163ACD" w:rsidRPr="002401A3" w:rsidRDefault="00163ACD" w:rsidP="00163ACD">
      <w:pPr>
        <w:pStyle w:val="Heading4"/>
        <w:rPr>
          <w:rFonts w:cs="Calibri"/>
        </w:rPr>
      </w:pPr>
      <w:r w:rsidRPr="002401A3">
        <w:rPr>
          <w:rFonts w:cs="Calibri"/>
        </w:rPr>
        <w:t>Space resources must be distributed democratically—this requires challenging private control of outer space</w:t>
      </w:r>
      <w:r>
        <w:rPr>
          <w:rFonts w:cs="Calibri"/>
        </w:rPr>
        <w:t>.</w:t>
      </w:r>
    </w:p>
    <w:p w14:paraId="2684563A" w14:textId="77777777" w:rsidR="00163ACD" w:rsidRPr="002401A3" w:rsidRDefault="00163ACD" w:rsidP="00163ACD">
      <w:pPr>
        <w:rPr>
          <w:rStyle w:val="Style13ptBold"/>
        </w:rPr>
      </w:pPr>
      <w:r w:rsidRPr="002401A3">
        <w:rPr>
          <w:rStyle w:val="Style13ptBold"/>
        </w:rPr>
        <w:t>Levine 15</w:t>
      </w:r>
    </w:p>
    <w:p w14:paraId="3DECC64A" w14:textId="77777777" w:rsidR="00163ACD" w:rsidRPr="002401A3" w:rsidRDefault="00163ACD" w:rsidP="00163ACD">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3F7FC8D8" w14:textId="77777777" w:rsidR="00163ACD" w:rsidRPr="00BB6CCD" w:rsidRDefault="00163ACD" w:rsidP="00163ACD">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BB6CCD">
        <w:rPr>
          <w:bCs/>
          <w:sz w:val="12"/>
        </w:rPr>
        <w:t>bodies, but</w:t>
      </w:r>
      <w:proofErr w:type="gramEnd"/>
      <w:r w:rsidRPr="00BB6CCD">
        <w:rPr>
          <w:bCs/>
          <w:sz w:val="12"/>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 xml:space="preserve">Or we could accept the trickle-down </w:t>
      </w:r>
      <w:proofErr w:type="spellStart"/>
      <w:r w:rsidRPr="00BB6CCD">
        <w:rPr>
          <w:sz w:val="12"/>
        </w:rPr>
        <w:t>astronomics</w:t>
      </w:r>
      <w:proofErr w:type="spellEnd"/>
      <w:r w:rsidRPr="00BB6CCD">
        <w:rPr>
          <w:sz w:val="12"/>
        </w:rPr>
        <w:t xml:space="preserve">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BB6CCD">
        <w:rPr>
          <w:bCs/>
          <w:sz w:val="12"/>
        </w:rPr>
        <w:t>celestial commons</w:t>
      </w:r>
      <w:proofErr w:type="gramEnd"/>
      <w:r w:rsidRPr="00BB6CCD">
        <w:rPr>
          <w:bCs/>
          <w:sz w:val="12"/>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w:t>
      </w:r>
      <w:r w:rsidRPr="00BB6CCD">
        <w:rPr>
          <w:bCs/>
          <w:sz w:val="12"/>
        </w:rPr>
        <w:lastRenderedPageBreak/>
        <w:t xml:space="preserve">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w:t>
      </w:r>
      <w:proofErr w:type="gramStart"/>
      <w:r w:rsidRPr="00BB6CCD">
        <w:rPr>
          <w:bCs/>
          <w:sz w:val="12"/>
        </w:rPr>
        <w:t>before:</w:t>
      </w:r>
      <w:proofErr w:type="gramEnd"/>
      <w:r w:rsidRPr="00BB6CCD">
        <w:rPr>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BB6CCD">
        <w:rPr>
          <w:bCs/>
          <w:sz w:val="12"/>
        </w:rPr>
        <w:t>maneuvers.</w:t>
      </w:r>
      <w:proofErr w:type="gramEnd"/>
      <w:r w:rsidRPr="00BB6CCD">
        <w:rPr>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w:t>
      </w:r>
      <w:proofErr w:type="gramStart"/>
      <w:r w:rsidRPr="00BB6CCD">
        <w:rPr>
          <w:bCs/>
          <w:sz w:val="12"/>
        </w:rPr>
        <w:t>so</w:t>
      </w:r>
      <w:proofErr w:type="gramEnd"/>
      <w:r w:rsidRPr="00BB6CCD">
        <w:rPr>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w:t>
      </w:r>
      <w:proofErr w:type="spellStart"/>
      <w:r w:rsidRPr="00BB6CCD">
        <w:rPr>
          <w:bCs/>
          <w:sz w:val="12"/>
        </w:rPr>
        <w:t>Gabrynowicz</w:t>
      </w:r>
      <w:proofErr w:type="spellEnd"/>
      <w:r w:rsidRPr="00BB6CCD">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BB6CCD">
        <w:rPr>
          <w:bCs/>
          <w:sz w:val="12"/>
        </w:rPr>
        <w:t>Gabrynowicz</w:t>
      </w:r>
      <w:proofErr w:type="spellEnd"/>
      <w:r w:rsidRPr="00BB6CCD">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w:t>
      </w:r>
      <w:r w:rsidRPr="00BB6CCD">
        <w:rPr>
          <w:bCs/>
          <w:sz w:val="12"/>
        </w:rPr>
        <w:lastRenderedPageBreak/>
        <w:t xml:space="preserve">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 xml:space="preserve">a </w:t>
      </w:r>
      <w:proofErr w:type="gramStart"/>
      <w:r w:rsidRPr="00BB6CCD">
        <w:rPr>
          <w:rStyle w:val="StyleUnderline"/>
          <w:highlight w:val="yellow"/>
        </w:rPr>
        <w:t>celestial commons</w:t>
      </w:r>
      <w:proofErr w:type="gramEnd"/>
      <w:r w:rsidRPr="00BB6CCD">
        <w:rPr>
          <w:rStyle w:val="StyleUnderline"/>
          <w:highlight w:val="yellow"/>
        </w:rPr>
        <w:t xml:space="preserve">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2448D6A5" w14:textId="77777777" w:rsidR="00163ACD" w:rsidRPr="002401A3" w:rsidRDefault="00163ACD" w:rsidP="00163ACD">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195F390F" w14:textId="77777777" w:rsidR="00163ACD" w:rsidRPr="002401A3" w:rsidRDefault="00163ACD" w:rsidP="00163ACD">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751CA201" w14:textId="77777777" w:rsidR="00163ACD" w:rsidRPr="002401A3" w:rsidRDefault="00163ACD" w:rsidP="00163ACD">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667FEAFC" w14:textId="77777777" w:rsidR="00163ACD" w:rsidRPr="002401A3" w:rsidRDefault="00163ACD" w:rsidP="00163ACD">
      <w:pPr>
        <w:pStyle w:val="Heading4"/>
        <w:rPr>
          <w:rFonts w:cs="Calibri"/>
        </w:rPr>
      </w:pPr>
      <w:r w:rsidRPr="002401A3">
        <w:rPr>
          <w:rFonts w:cs="Calibri"/>
        </w:rPr>
        <w:lastRenderedPageBreak/>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5466B1AB" w14:textId="77777777" w:rsidR="00163ACD" w:rsidRPr="002401A3" w:rsidRDefault="00163ACD" w:rsidP="00163ACD">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02BACB16" w14:textId="77777777" w:rsidR="00163ACD" w:rsidRPr="00191181" w:rsidRDefault="00163ACD" w:rsidP="00163ACD">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530DB5ED" w14:textId="77777777" w:rsidR="00163ACD" w:rsidRPr="002401A3" w:rsidRDefault="00163ACD" w:rsidP="00163ACD">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14B402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3ACD"/>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A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00"/>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33251"/>
  <w14:defaultImageDpi w14:val="300"/>
  <w15:docId w15:val="{F29B1FE4-EB66-D445-9B3A-101CD9EB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3A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3A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3A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163A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63A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3A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ACD"/>
  </w:style>
  <w:style w:type="character" w:customStyle="1" w:styleId="Heading1Char">
    <w:name w:val="Heading 1 Char"/>
    <w:aliases w:val="Pocket Char"/>
    <w:basedOn w:val="DefaultParagraphFont"/>
    <w:link w:val="Heading1"/>
    <w:uiPriority w:val="9"/>
    <w:rsid w:val="00163A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3ACD"/>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163AC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63A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3AC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63AC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163AC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63AC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63ACD"/>
    <w:rPr>
      <w:color w:val="auto"/>
      <w:u w:val="none"/>
    </w:rPr>
  </w:style>
  <w:style w:type="paragraph" w:styleId="DocumentMap">
    <w:name w:val="Document Map"/>
    <w:basedOn w:val="Normal"/>
    <w:link w:val="DocumentMapChar"/>
    <w:uiPriority w:val="99"/>
    <w:semiHidden/>
    <w:unhideWhenUsed/>
    <w:rsid w:val="00163A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3ACD"/>
    <w:rPr>
      <w:rFonts w:ascii="Lucida Grande" w:hAnsi="Lucida Grande" w:cs="Lucida Grande"/>
    </w:rPr>
  </w:style>
  <w:style w:type="paragraph" w:customStyle="1" w:styleId="Emphasis1">
    <w:name w:val="Emphasis1"/>
    <w:basedOn w:val="Normal"/>
    <w:link w:val="Emphasis"/>
    <w:autoRedefine/>
    <w:uiPriority w:val="20"/>
    <w:qFormat/>
    <w:rsid w:val="00163AC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63AC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63A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63ACD"/>
    <w:pPr>
      <w:ind w:left="720"/>
      <w:contextualSpacing/>
    </w:pPr>
  </w:style>
  <w:style w:type="paragraph" w:customStyle="1" w:styleId="VladaPalanciuc">
    <w:name w:val="Vlada Palanciuc"/>
    <w:basedOn w:val="Normal"/>
    <w:autoRedefine/>
    <w:qFormat/>
    <w:rsid w:val="00163ACD"/>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163ACD"/>
    <w:pPr>
      <w:spacing w:before="100" w:beforeAutospacing="1" w:after="100" w:afterAutospacing="1"/>
    </w:pPr>
  </w:style>
  <w:style w:type="character" w:customStyle="1" w:styleId="Style1Char">
    <w:name w:val="Style1 Char"/>
    <w:basedOn w:val="DefaultParagraphFont"/>
    <w:rsid w:val="00163ACD"/>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163ACD"/>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163ACD"/>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163AC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163ACD"/>
    <w:rPr>
      <w:rFonts w:ascii="Arial Narrow" w:eastAsia="Calibri" w:hAnsi="Arial Narrow" w:cs="Times New Roman"/>
      <w:color w:val="000000"/>
      <w:sz w:val="16"/>
    </w:rPr>
  </w:style>
  <w:style w:type="paragraph" w:customStyle="1" w:styleId="Small">
    <w:name w:val="Small"/>
    <w:basedOn w:val="Normal"/>
    <w:next w:val="Normal"/>
    <w:link w:val="SmallChar"/>
    <w:qFormat/>
    <w:rsid w:val="00163ACD"/>
    <w:rPr>
      <w:rFonts w:ascii="Arial Narrow" w:eastAsia="Calibri" w:hAnsi="Arial Narrow" w:cs="Times New Roman"/>
      <w:color w:val="000000"/>
      <w:sz w:val="16"/>
    </w:rPr>
  </w:style>
  <w:style w:type="character" w:customStyle="1" w:styleId="AuthorYear">
    <w:name w:val="AuthorYear"/>
    <w:uiPriority w:val="1"/>
    <w:qFormat/>
    <w:rsid w:val="00163ACD"/>
    <w:rPr>
      <w:rFonts w:ascii="Georgia" w:hAnsi="Georgia"/>
      <w:b/>
      <w:sz w:val="24"/>
    </w:rPr>
  </w:style>
  <w:style w:type="paragraph" w:customStyle="1" w:styleId="msonormal0">
    <w:name w:val="msonormal"/>
    <w:basedOn w:val="Normal"/>
    <w:rsid w:val="00163ACD"/>
    <w:pPr>
      <w:spacing w:before="100" w:beforeAutospacing="1" w:after="100" w:afterAutospacing="1"/>
    </w:pPr>
    <w:rPr>
      <w:lang w:val="en-HK" w:eastAsia="zh-CN"/>
    </w:rPr>
  </w:style>
  <w:style w:type="paragraph" w:customStyle="1" w:styleId="paragraph">
    <w:name w:val="paragraph"/>
    <w:basedOn w:val="Normal"/>
    <w:rsid w:val="00163ACD"/>
    <w:pPr>
      <w:spacing w:before="100" w:beforeAutospacing="1" w:after="100" w:afterAutospacing="1"/>
    </w:pPr>
    <w:rPr>
      <w:lang w:val="en-HK" w:eastAsia="zh-CN"/>
    </w:rPr>
  </w:style>
  <w:style w:type="character" w:customStyle="1" w:styleId="textrun">
    <w:name w:val="textrun"/>
    <w:basedOn w:val="DefaultParagraphFont"/>
    <w:rsid w:val="00163ACD"/>
  </w:style>
  <w:style w:type="character" w:customStyle="1" w:styleId="normaltextrun">
    <w:name w:val="normaltextrun"/>
    <w:basedOn w:val="DefaultParagraphFont"/>
    <w:rsid w:val="00163ACD"/>
  </w:style>
  <w:style w:type="character" w:customStyle="1" w:styleId="eop">
    <w:name w:val="eop"/>
    <w:basedOn w:val="DefaultParagraphFont"/>
    <w:rsid w:val="00163ACD"/>
  </w:style>
  <w:style w:type="character" w:customStyle="1" w:styleId="spellingerror">
    <w:name w:val="spellingerror"/>
    <w:basedOn w:val="DefaultParagraphFont"/>
    <w:rsid w:val="00163ACD"/>
  </w:style>
  <w:style w:type="character" w:customStyle="1" w:styleId="contextualspellingandgrammarerror">
    <w:name w:val="contextualspellingandgrammarerror"/>
    <w:basedOn w:val="DefaultParagraphFont"/>
    <w:rsid w:val="00163ACD"/>
  </w:style>
  <w:style w:type="character" w:customStyle="1" w:styleId="findhit">
    <w:name w:val="findhit"/>
    <w:basedOn w:val="DefaultParagraphFont"/>
    <w:rsid w:val="00163ACD"/>
  </w:style>
  <w:style w:type="paragraph" w:customStyle="1" w:styleId="card0">
    <w:name w:val="card"/>
    <w:aliases w:val="Medium Grid 21"/>
    <w:basedOn w:val="Normal"/>
    <w:next w:val="Normal"/>
    <w:uiPriority w:val="1"/>
    <w:qFormat/>
    <w:rsid w:val="00163ACD"/>
    <w:pPr>
      <w:ind w:left="288" w:right="288"/>
    </w:pPr>
    <w:rPr>
      <w:rFonts w:asciiTheme="minorHAnsi" w:hAnsiTheme="minorHAnsi"/>
      <w:u w:val="single"/>
    </w:rPr>
  </w:style>
  <w:style w:type="paragraph" w:customStyle="1" w:styleId="text-justify">
    <w:name w:val="text-justify"/>
    <w:basedOn w:val="Normal"/>
    <w:rsid w:val="00163ACD"/>
    <w:pPr>
      <w:spacing w:before="100" w:beforeAutospacing="1" w:after="100" w:afterAutospacing="1"/>
    </w:pPr>
  </w:style>
  <w:style w:type="paragraph" w:styleId="NormalWeb">
    <w:name w:val="Normal (Web)"/>
    <w:basedOn w:val="Normal"/>
    <w:uiPriority w:val="99"/>
    <w:semiHidden/>
    <w:unhideWhenUsed/>
    <w:rsid w:val="00163A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21474</Words>
  <Characters>122407</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1</cp:revision>
  <dcterms:created xsi:type="dcterms:W3CDTF">2022-01-15T15:20:00Z</dcterms:created>
  <dcterms:modified xsi:type="dcterms:W3CDTF">2022-01-15T15:40:00Z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