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216EF" w14:textId="77777777" w:rsidR="00E21B00" w:rsidRDefault="00E21B00" w:rsidP="00E21B00">
      <w:pPr>
        <w:pStyle w:val="Heading3"/>
      </w:pPr>
      <w:r>
        <w:t>Automation, Outsourcing, and Offshoring Turn</w:t>
      </w:r>
    </w:p>
    <w:p w14:paraId="7EA6B758" w14:textId="77777777" w:rsidR="00E21B00" w:rsidRDefault="00E21B00" w:rsidP="00E21B00">
      <w:pPr>
        <w:pStyle w:val="Heading4"/>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5CD4BA15" w14:textId="77777777" w:rsidR="00E21B00" w:rsidRPr="002F1F3C" w:rsidRDefault="00E21B00" w:rsidP="00E21B00">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9" w:history="1">
        <w:r w:rsidRPr="0056252B">
          <w:rPr>
            <w:rStyle w:val="Hyperlink"/>
          </w:rPr>
          <w:t>https://www.brookings.edu/opinions/helping-workers-requires-more-than-silver-bullets/</w:t>
        </w:r>
      </w:hyperlink>
      <w:r>
        <w:t>&gt; AT</w:t>
      </w:r>
    </w:p>
    <w:p w14:paraId="67F38F11" w14:textId="77777777" w:rsidR="00E21B00" w:rsidRDefault="00E21B00" w:rsidP="00E21B00">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05C47E68" w14:textId="77777777" w:rsidR="00E21B00" w:rsidRPr="00C51737" w:rsidRDefault="00E21B00" w:rsidP="00E21B00">
      <w:pPr>
        <w:pStyle w:val="Heading4"/>
        <w:rPr>
          <w:rStyle w:val="Style13ptBold"/>
          <w:b/>
          <w:bCs w:val="0"/>
        </w:rPr>
      </w:pPr>
      <w:r w:rsidRPr="00C51737">
        <w:rPr>
          <w:rStyle w:val="Style13ptBold"/>
          <w:b/>
          <w:bCs w:val="0"/>
        </w:rPr>
        <w:t xml:space="preserve">Automation </w:t>
      </w:r>
      <w:r>
        <w:rPr>
          <w:rStyle w:val="Style13ptBold"/>
          <w:b/>
          <w:bCs w:val="0"/>
        </w:rPr>
        <w:t xml:space="preserve">only benefits owners while workers suffer </w:t>
      </w:r>
    </w:p>
    <w:p w14:paraId="5E321F97" w14:textId="77777777" w:rsidR="00E21B00" w:rsidRDefault="00E21B00" w:rsidP="00E21B00">
      <w:r w:rsidRPr="00C51737">
        <w:rPr>
          <w:rStyle w:val="Style13ptBold"/>
        </w:rPr>
        <w:t>Jacobs 21</w:t>
      </w:r>
      <w:r w:rsidRPr="00C51737">
        <w:t xml:space="preserve"> [Julian Jacobs</w:t>
      </w:r>
      <w:r>
        <w:t xml:space="preserve"> graduated from </w:t>
      </w:r>
      <w:r w:rsidRPr="00C51737">
        <w:t xml:space="preserve">Brown University, where </w:t>
      </w:r>
      <w:r>
        <w:t>he</w:t>
      </w:r>
      <w:r w:rsidRPr="00C51737">
        <w:t xml:space="preserve"> studied Philosophy, Politics, and Economics</w:t>
      </w:r>
      <w:r>
        <w:t xml:space="preserve">; he was </w:t>
      </w:r>
      <w:r w:rsidRPr="00C51737">
        <w:t>a Fulbright Scholar</w:t>
      </w:r>
      <w:r>
        <w:t xml:space="preserve"> and </w:t>
      </w:r>
      <w:r w:rsidRPr="00C51737">
        <w:t xml:space="preserve">a Political Economy graduate student at the London School of Economics. For the past three years, </w:t>
      </w:r>
      <w:r>
        <w:t>his</w:t>
      </w:r>
      <w:r w:rsidRPr="00C51737">
        <w:t xml:space="preserve"> academic research has focused on the effects of artificial intelligence and digitalization on economic inequality. “Automation and the radicalization of America”. 11-22-2021. Brookings. https://www.brookings.edu/blog/techtank/2021/11/22/automation-and-the-radicalization-of-america/. Accessed 12-1-2021</w:t>
      </w:r>
      <w:r>
        <w:t xml:space="preserve">; </w:t>
      </w:r>
      <w:proofErr w:type="spellStart"/>
      <w:r>
        <w:t>MJen</w:t>
      </w:r>
      <w:proofErr w:type="spellEnd"/>
      <w:r w:rsidRPr="00C51737">
        <w:t>]</w:t>
      </w:r>
    </w:p>
    <w:p w14:paraId="43F2CC75" w14:textId="720E2794" w:rsidR="00E21B00" w:rsidRDefault="00E21B00" w:rsidP="00E21B00">
      <w:pPr>
        <w:rPr>
          <w:rStyle w:val="StyleUnderline"/>
        </w:rPr>
      </w:pPr>
      <w:r w:rsidRPr="00C51737">
        <w:rPr>
          <w:sz w:val="14"/>
        </w:rPr>
        <w:t xml:space="preserve">As digital technology accelerates, there are questions about who is most likely to lose jobs due to automation and what the overall future of the US economy looks like. These questions are worth asking—particularly after a pandemic that appears to have </w:t>
      </w:r>
      <w:hyperlink r:id="rId10" w:history="1">
        <w:r w:rsidRPr="00C51737">
          <w:rPr>
            <w:rStyle w:val="Hyperlink"/>
            <w:sz w:val="14"/>
          </w:rPr>
          <w:t>hastened</w:t>
        </w:r>
      </w:hyperlink>
      <w:r w:rsidRPr="00C51737">
        <w:rPr>
          <w:sz w:val="14"/>
        </w:rPr>
        <w:t xml:space="preserve"> the automation of many tasks in American industries. Yet research on automation has so far centered almost entirely on the presence of digitalization, automation-potential estimates, the relationship between technological change and macroeconomic conditions, and tech’s impact on inequality and wage divergence. Since </w:t>
      </w:r>
      <w:r w:rsidRPr="00274566">
        <w:rPr>
          <w:rStyle w:val="StyleUnderline"/>
          <w:highlight w:val="yellow"/>
        </w:rPr>
        <w:t>technological change</w:t>
      </w:r>
      <w:r w:rsidRPr="00274566">
        <w:rPr>
          <w:rStyle w:val="StyleUnderline"/>
        </w:rPr>
        <w:t xml:space="preserve"> often </w:t>
      </w:r>
      <w:r w:rsidRPr="00274566">
        <w:rPr>
          <w:rStyle w:val="StyleUnderline"/>
          <w:highlight w:val="yellow"/>
        </w:rPr>
        <w:t>is</w:t>
      </w:r>
      <w:r w:rsidRPr="00274566">
        <w:rPr>
          <w:rStyle w:val="StyleUnderline"/>
        </w:rPr>
        <w:t xml:space="preserve"> quite </w:t>
      </w:r>
      <w:r w:rsidRPr="00274566">
        <w:rPr>
          <w:rStyle w:val="StyleUnderline"/>
          <w:highlight w:val="yellow"/>
        </w:rPr>
        <w:t>disruptive</w:t>
      </w:r>
      <w:r w:rsidRPr="00274566">
        <w:rPr>
          <w:rStyle w:val="StyleUnderline"/>
        </w:rPr>
        <w:t xml:space="preserve"> </w:t>
      </w:r>
      <w:r w:rsidRPr="00274566">
        <w:rPr>
          <w:rStyle w:val="StyleUnderline"/>
          <w:highlight w:val="yellow"/>
        </w:rPr>
        <w:t>and</w:t>
      </w:r>
      <w:r w:rsidRPr="00274566">
        <w:rPr>
          <w:rStyle w:val="StyleUnderline"/>
        </w:rPr>
        <w:t xml:space="preserve"> spurs economic and political shocks</w:t>
      </w:r>
      <w:r w:rsidRPr="00C51737">
        <w:rPr>
          <w:sz w:val="14"/>
        </w:rPr>
        <w:t xml:space="preserve">, it is vital for researchers to study the attitudes of the individuals most vulnerable to new technological shifts. In doing so, researchers can gain a humanizing window into how these shifts—so crucial to capitalism’s advancement—are borne out in the beliefs, characteristics, and fears of the individuals most likely to experience disruption due to automation The results of </w:t>
      </w:r>
      <w:hyperlink r:id="rId11" w:history="1">
        <w:r w:rsidRPr="00C51737">
          <w:rPr>
            <w:rStyle w:val="Hyperlink"/>
            <w:sz w:val="14"/>
          </w:rPr>
          <w:t>my work</w:t>
        </w:r>
      </w:hyperlink>
      <w:r w:rsidRPr="00C51737">
        <w:rPr>
          <w:sz w:val="14"/>
        </w:rPr>
        <w:t xml:space="preserve"> offer an ominous window into how </w:t>
      </w:r>
      <w:r w:rsidRPr="00274566">
        <w:rPr>
          <w:rStyle w:val="StyleUnderline"/>
        </w:rPr>
        <w:t xml:space="preserve">technological change may </w:t>
      </w:r>
      <w:r w:rsidRPr="00274566">
        <w:rPr>
          <w:rStyle w:val="StyleUnderline"/>
          <w:highlight w:val="yellow"/>
        </w:rPr>
        <w:t>correspond with despair, radicalization, and democratic erosion</w:t>
      </w:r>
      <w:r w:rsidRPr="00C51737">
        <w:rPr>
          <w:sz w:val="14"/>
        </w:rPr>
        <w:t xml:space="preserve">. This study shows that the Americans whose occupations have the highest automation potential tend to have a dark and cynical view of politics, the economy, the media, and humanity. They comprise a traditional working class that is politically left-leaning on economic issues and slightly right-leaning on socio-cultural ones. Although they are moderately more likely to support Democrats, they are increasingly likely to support Republicans since 2000. These often-economically-vulnerable Americans are deeply pessimistic about the state of the world and politics; they also </w:t>
      </w:r>
      <w:proofErr w:type="gramStart"/>
      <w:r w:rsidRPr="00C51737">
        <w:rPr>
          <w:sz w:val="14"/>
        </w:rPr>
        <w:t>have a tendency to</w:t>
      </w:r>
      <w:proofErr w:type="gramEnd"/>
      <w:r w:rsidRPr="00C51737">
        <w:rPr>
          <w:sz w:val="14"/>
        </w:rPr>
        <w:t xml:space="preserve"> vote against their economic interests and become more authoritarian in their outlook. TECHNOLOGICAL CHANGE OFTEN CAUSES MORE INEQUALITY My work examines </w:t>
      </w:r>
      <w:hyperlink r:id="rId12" w:history="1">
        <w:r w:rsidRPr="00C51737">
          <w:rPr>
            <w:rStyle w:val="Hyperlink"/>
            <w:sz w:val="14"/>
          </w:rPr>
          <w:t>studies</w:t>
        </w:r>
      </w:hyperlink>
      <w:r w:rsidRPr="00C51737">
        <w:rPr>
          <w:sz w:val="14"/>
        </w:rPr>
        <w:t xml:space="preserve"> on the relationship between economic upheaval and radicalization, polarization, and revolution. In addition, I look at how technological change impacts inequality, wage divergence, and job polarization. Works from </w:t>
      </w:r>
      <w:hyperlink r:id="rId13" w:history="1">
        <w:r w:rsidRPr="00C51737">
          <w:rPr>
            <w:rStyle w:val="Hyperlink"/>
            <w:sz w:val="14"/>
          </w:rPr>
          <w:t>David Autor</w:t>
        </w:r>
      </w:hyperlink>
      <w:r w:rsidRPr="00C51737">
        <w:rPr>
          <w:sz w:val="14"/>
        </w:rPr>
        <w:t xml:space="preserve">, </w:t>
      </w:r>
      <w:hyperlink r:id="rId14" w:history="1">
        <w:r w:rsidRPr="00C51737">
          <w:rPr>
            <w:rStyle w:val="Hyperlink"/>
            <w:sz w:val="14"/>
          </w:rPr>
          <w:t>Robert Allen</w:t>
        </w:r>
      </w:hyperlink>
      <w:r w:rsidRPr="00C51737">
        <w:rPr>
          <w:sz w:val="14"/>
        </w:rPr>
        <w:t xml:space="preserve">, and </w:t>
      </w:r>
      <w:hyperlink r:id="rId15" w:history="1">
        <w:r w:rsidRPr="00C51737">
          <w:rPr>
            <w:rStyle w:val="Hyperlink"/>
            <w:sz w:val="14"/>
          </w:rPr>
          <w:t>Daron Acemoglu</w:t>
        </w:r>
      </w:hyperlink>
      <w:r w:rsidRPr="00C51737">
        <w:rPr>
          <w:sz w:val="14"/>
        </w:rPr>
        <w:t xml:space="preserve">, in particular, have been able to illustrate the ways that digitalization can catalyze labor substitution, the erosion of the middle class, and greater income inequality. It seems clear that </w:t>
      </w:r>
      <w:r w:rsidRPr="00274566">
        <w:rPr>
          <w:rStyle w:val="StyleUnderline"/>
        </w:rPr>
        <w:t xml:space="preserve">technological </w:t>
      </w:r>
      <w:r w:rsidRPr="00274566">
        <w:rPr>
          <w:rStyle w:val="StyleUnderline"/>
          <w:highlight w:val="yellow"/>
        </w:rPr>
        <w:t>advancement can</w:t>
      </w:r>
      <w:r w:rsidRPr="00274566">
        <w:rPr>
          <w:rStyle w:val="StyleUnderline"/>
        </w:rPr>
        <w:t xml:space="preserve"> </w:t>
      </w:r>
      <w:proofErr w:type="gramStart"/>
      <w:r w:rsidRPr="00274566">
        <w:rPr>
          <w:rStyle w:val="StyleUnderline"/>
        </w:rPr>
        <w:t xml:space="preserve">both </w:t>
      </w:r>
      <w:r w:rsidRPr="00274566">
        <w:rPr>
          <w:rStyle w:val="StyleUnderline"/>
          <w:highlight w:val="yellow"/>
        </w:rPr>
        <w:t>stifle</w:t>
      </w:r>
      <w:proofErr w:type="gramEnd"/>
      <w:r w:rsidRPr="00274566">
        <w:rPr>
          <w:rStyle w:val="StyleUnderline"/>
          <w:highlight w:val="yellow"/>
        </w:rPr>
        <w:t xml:space="preserve"> real wage growth</w:t>
      </w:r>
      <w:r w:rsidRPr="00274566">
        <w:rPr>
          <w:rStyle w:val="StyleUnderline"/>
        </w:rPr>
        <w:t xml:space="preserve"> for many workers</w:t>
      </w:r>
      <w:r w:rsidRPr="00C51737">
        <w:rPr>
          <w:sz w:val="14"/>
        </w:rPr>
        <w:t xml:space="preserve"> while simultaneously increasing returns to capital by making labor more productive. This tends to benefit the owners of productive capital and some workers whose skills are complemented by the new technology. Moreover, when productivity tends to rise faster than wages, </w:t>
      </w:r>
      <w:r w:rsidRPr="00274566">
        <w:rPr>
          <w:rStyle w:val="StyleUnderline"/>
          <w:highlight w:val="yellow"/>
        </w:rPr>
        <w:t>inequality</w:t>
      </w:r>
      <w:r w:rsidRPr="00274566">
        <w:rPr>
          <w:rStyle w:val="StyleUnderline"/>
        </w:rPr>
        <w:t xml:space="preserve"> </w:t>
      </w:r>
      <w:r w:rsidRPr="00274566">
        <w:rPr>
          <w:rStyle w:val="StyleUnderline"/>
          <w:highlight w:val="yellow"/>
        </w:rPr>
        <w:t>increases</w:t>
      </w:r>
      <w:r w:rsidRPr="00274566">
        <w:rPr>
          <w:rStyle w:val="StyleUnderline"/>
        </w:rPr>
        <w:t xml:space="preserve"> almost by definition since new </w:t>
      </w:r>
      <w:r w:rsidRPr="00C51737">
        <w:rPr>
          <w:rStyle w:val="Emphasis"/>
          <w:highlight w:val="yellow"/>
        </w:rPr>
        <w:t>GDP</w:t>
      </w:r>
      <w:r w:rsidRPr="00C51737">
        <w:rPr>
          <w:rStyle w:val="Emphasis"/>
        </w:rPr>
        <w:t xml:space="preserve"> </w:t>
      </w:r>
      <w:r w:rsidRPr="00C51737">
        <w:rPr>
          <w:rStyle w:val="Emphasis"/>
          <w:highlight w:val="yellow"/>
        </w:rPr>
        <w:t>gains</w:t>
      </w:r>
      <w:r w:rsidRPr="00C51737">
        <w:rPr>
          <w:rStyle w:val="Emphasis"/>
        </w:rPr>
        <w:t xml:space="preserve"> </w:t>
      </w:r>
      <w:r w:rsidRPr="00C51737">
        <w:rPr>
          <w:rStyle w:val="Emphasis"/>
          <w:highlight w:val="yellow"/>
        </w:rPr>
        <w:t>accrue</w:t>
      </w:r>
      <w:r w:rsidRPr="00C51737">
        <w:rPr>
          <w:rStyle w:val="Emphasis"/>
        </w:rPr>
        <w:t xml:space="preserve"> primarily </w:t>
      </w:r>
      <w:r w:rsidRPr="00C51737">
        <w:rPr>
          <w:rStyle w:val="Emphasis"/>
          <w:highlight w:val="yellow"/>
        </w:rPr>
        <w:t>amongst</w:t>
      </w:r>
      <w:r w:rsidRPr="00C51737">
        <w:rPr>
          <w:rStyle w:val="Emphasis"/>
        </w:rPr>
        <w:t xml:space="preserve"> capital </w:t>
      </w:r>
      <w:r w:rsidRPr="00C51737">
        <w:rPr>
          <w:rStyle w:val="Emphasis"/>
          <w:highlight w:val="yellow"/>
        </w:rPr>
        <w:t>owners</w:t>
      </w:r>
      <w:r w:rsidRPr="00C51737">
        <w:rPr>
          <w:rStyle w:val="Emphasis"/>
        </w:rPr>
        <w:t xml:space="preserve">, </w:t>
      </w:r>
      <w:r w:rsidRPr="00C51737">
        <w:rPr>
          <w:rStyle w:val="Emphasis"/>
          <w:highlight w:val="yellow"/>
        </w:rPr>
        <w:t>rather than workers</w:t>
      </w:r>
      <w:r w:rsidRPr="00C51737">
        <w:rPr>
          <w:rStyle w:val="Emphasis"/>
        </w:rPr>
        <w:t>.</w:t>
      </w:r>
      <w:r w:rsidRPr="00C51737">
        <w:rPr>
          <w:sz w:val="14"/>
        </w:rPr>
        <w:t xml:space="preserve"> </w:t>
      </w:r>
      <w:r w:rsidRPr="00C51737">
        <w:rPr>
          <w:rStyle w:val="StyleUnderline"/>
        </w:rPr>
        <w:t xml:space="preserve">Technological change can additionally lead to a hollowing out of middle-wage work, in turn producing a smaller middle class. Digitalization appears to be inducing dis-equalizing shifts through </w:t>
      </w:r>
      <w:proofErr w:type="gramStart"/>
      <w:r w:rsidRPr="00C51737">
        <w:rPr>
          <w:rStyle w:val="StyleUnderline"/>
        </w:rPr>
        <w:t>all of</w:t>
      </w:r>
      <w:proofErr w:type="gramEnd"/>
      <w:r w:rsidRPr="00C51737">
        <w:rPr>
          <w:rStyle w:val="StyleUnderline"/>
        </w:rPr>
        <w:t xml:space="preserve"> these mechanisms. </w:t>
      </w:r>
    </w:p>
    <w:p w14:paraId="24113C46" w14:textId="4442054C" w:rsidR="00E21B00" w:rsidRDefault="00E21B00" w:rsidP="00E21B00">
      <w:pPr>
        <w:rPr>
          <w:rStyle w:val="StyleUnderline"/>
        </w:rPr>
      </w:pPr>
    </w:p>
    <w:p w14:paraId="1D41BAC9" w14:textId="77777777" w:rsidR="00E21B00" w:rsidRPr="002E25ED" w:rsidRDefault="00E21B00" w:rsidP="00E21B00">
      <w:pPr>
        <w:pStyle w:val="Heading3"/>
      </w:pPr>
      <w:r w:rsidRPr="002E25ED">
        <w:t>Backlash Turn</w:t>
      </w:r>
    </w:p>
    <w:p w14:paraId="7DA782D6" w14:textId="77777777" w:rsidR="00E21B00" w:rsidRPr="002E25ED" w:rsidRDefault="00E21B00" w:rsidP="00E21B00">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1E53596F" w14:textId="77777777" w:rsidR="00E21B00" w:rsidRPr="002E25ED" w:rsidRDefault="00E21B00" w:rsidP="00E21B0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E9ABD61" w14:textId="77777777" w:rsidR="00E21B00" w:rsidRPr="002E25ED" w:rsidRDefault="00E21B00" w:rsidP="00E21B0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6"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7"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8"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9"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0"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1"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2"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3"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4"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5"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6"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7"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8"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9"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0"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1"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2"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3"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4"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5"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11602C13" w14:textId="77777777" w:rsidR="00E21B00" w:rsidRPr="002E25ED" w:rsidRDefault="00E21B00" w:rsidP="00E21B00">
      <w:pPr>
        <w:spacing w:line="240" w:lineRule="auto"/>
        <w:rPr>
          <w:rFonts w:eastAsia="Cambria"/>
          <w:lang w:val="en-HK"/>
        </w:rPr>
      </w:pPr>
    </w:p>
    <w:p w14:paraId="318795DE" w14:textId="77777777" w:rsidR="00E21B00" w:rsidRPr="002E25ED" w:rsidRDefault="00E21B00" w:rsidP="00E21B00">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398D2BA2" w14:textId="77777777" w:rsidR="00E21B00" w:rsidRPr="002E25ED" w:rsidRDefault="00E21B00" w:rsidP="00E21B0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7CFB25A" w14:textId="77777777" w:rsidR="00E21B00" w:rsidRPr="002E25ED" w:rsidRDefault="00E21B00" w:rsidP="00E21B0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6"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7"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8"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9"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40"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41"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5FA11FD" w14:textId="77777777" w:rsidR="00E21B00" w:rsidRPr="002E25ED" w:rsidRDefault="00E21B00" w:rsidP="00E21B00">
      <w:pPr>
        <w:shd w:val="clear" w:color="auto" w:fill="FFFFFF"/>
        <w:spacing w:after="0" w:line="240" w:lineRule="auto"/>
        <w:ind w:left="720"/>
        <w:textAlignment w:val="baseline"/>
        <w:rPr>
          <w:rFonts w:eastAsia="Times New Roman"/>
          <w:color w:val="333333"/>
          <w:sz w:val="12"/>
        </w:rPr>
      </w:pPr>
    </w:p>
    <w:p w14:paraId="15911B50" w14:textId="77777777" w:rsidR="00E21B00" w:rsidRPr="002E25ED" w:rsidRDefault="00E21B00" w:rsidP="00E21B00">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33D21378" w14:textId="3CB604FB" w:rsidR="00E21B00" w:rsidRDefault="00E21B00" w:rsidP="00E21B00">
      <w:pPr>
        <w:pStyle w:val="Heading2"/>
      </w:pPr>
      <w:r>
        <w:t>Pic</w:t>
      </w:r>
    </w:p>
    <w:p w14:paraId="58DC88C3" w14:textId="341A5901" w:rsidR="00E21B00" w:rsidRDefault="00E21B00" w:rsidP="00E21B00">
      <w:pPr>
        <w:pStyle w:val="Heading4"/>
        <w:jc w:val="both"/>
        <w:rPr>
          <w:sz w:val="28"/>
          <w:szCs w:val="24"/>
        </w:rPr>
      </w:pPr>
      <w:r>
        <w:rPr>
          <w:rFonts w:ascii="AppleSystemUIFont" w:hAnsi="AppleSystemUIFont" w:cs="AppleSystemUIFont"/>
        </w:rPr>
        <w:t xml:space="preserve">Adopt earth based </w:t>
      </w:r>
      <w:r>
        <w:rPr>
          <w:sz w:val="28"/>
        </w:rPr>
        <w:t>c</w:t>
      </w:r>
      <w:r>
        <w:rPr>
          <w:sz w:val="28"/>
          <w:szCs w:val="24"/>
        </w:rPr>
        <w:t>onscientization</w:t>
      </w:r>
      <w:r>
        <w:rPr>
          <w:rFonts w:ascii="AppleSystemUIFont" w:hAnsi="AppleSystemUIFont" w:cs="AppleSystemUIFont"/>
        </w:rPr>
        <w:t xml:space="preserve"> but do not affirm the resolution</w:t>
      </w:r>
      <w:r w:rsidRPr="00E21B00">
        <w:rPr>
          <w:sz w:val="28"/>
          <w:szCs w:val="24"/>
        </w:rPr>
        <w:t xml:space="preserve"> </w:t>
      </w:r>
      <w:r>
        <w:rPr>
          <w:sz w:val="28"/>
          <w:szCs w:val="24"/>
        </w:rPr>
        <w:t>A just government ought to recognize an unconditional right of workers to strike</w:t>
      </w:r>
    </w:p>
    <w:p w14:paraId="71D54F5B" w14:textId="791C8609" w:rsidR="00E21B00" w:rsidRDefault="00E21B00" w:rsidP="00E21B00">
      <w:pPr>
        <w:pStyle w:val="ListParagraph"/>
        <w:numPr>
          <w:ilvl w:val="0"/>
          <w:numId w:val="12"/>
        </w:numPr>
      </w:pPr>
      <w:r>
        <w:t xml:space="preserve">The </w:t>
      </w:r>
      <w:proofErr w:type="spellStart"/>
      <w:r>
        <w:t>aff</w:t>
      </w:r>
      <w:proofErr w:type="spellEnd"/>
      <w:r>
        <w:t xml:space="preserve"> provided no evidence/reasons why workers striking is good </w:t>
      </w:r>
    </w:p>
    <w:p w14:paraId="564F0F30" w14:textId="51CDE333" w:rsidR="00E21B00" w:rsidRPr="00E21B00" w:rsidRDefault="00E21B00" w:rsidP="00E21B00">
      <w:pPr>
        <w:pStyle w:val="ListParagraph"/>
        <w:numPr>
          <w:ilvl w:val="0"/>
          <w:numId w:val="12"/>
        </w:numPr>
      </w:pPr>
      <w:r>
        <w:t xml:space="preserve">Cannot bring up new contentions in </w:t>
      </w:r>
      <w:proofErr w:type="gramStart"/>
      <w:r>
        <w:t>the  1</w:t>
      </w:r>
      <w:proofErr w:type="gramEnd"/>
      <w:r>
        <w:t>AR</w:t>
      </w:r>
    </w:p>
    <w:p w14:paraId="2DE9F4C4" w14:textId="1F77742A" w:rsidR="00E21B00" w:rsidRPr="00E21B00" w:rsidRDefault="00E21B00" w:rsidP="00E21B00"/>
    <w:p w14:paraId="7E9F491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F40609"/>
    <w:multiLevelType w:val="hybridMultilevel"/>
    <w:tmpl w:val="3A6E0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1B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FE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46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B0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70AAB"/>
  <w14:defaultImageDpi w14:val="300"/>
  <w15:docId w15:val="{5A9AC59C-5DCD-1F42-9761-97A42DA06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1B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1B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1B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1B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21B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1B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B00"/>
  </w:style>
  <w:style w:type="character" w:customStyle="1" w:styleId="Heading1Char">
    <w:name w:val="Heading 1 Char"/>
    <w:aliases w:val="Pocket Char"/>
    <w:basedOn w:val="DefaultParagraphFont"/>
    <w:link w:val="Heading1"/>
    <w:uiPriority w:val="9"/>
    <w:rsid w:val="00E21B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1B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1B0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21B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21B0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21B00"/>
    <w:rPr>
      <w:b/>
      <w:sz w:val="22"/>
      <w:u w:val="single"/>
    </w:rPr>
  </w:style>
  <w:style w:type="character" w:styleId="Emphasis">
    <w:name w:val="Emphasis"/>
    <w:basedOn w:val="DefaultParagraphFont"/>
    <w:uiPriority w:val="20"/>
    <w:qFormat/>
    <w:rsid w:val="00E21B00"/>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E21B00"/>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21B00"/>
    <w:rPr>
      <w:color w:val="auto"/>
      <w:u w:val="none"/>
    </w:rPr>
  </w:style>
  <w:style w:type="paragraph" w:styleId="DocumentMap">
    <w:name w:val="Document Map"/>
    <w:basedOn w:val="Normal"/>
    <w:link w:val="DocumentMapChar"/>
    <w:uiPriority w:val="99"/>
    <w:semiHidden/>
    <w:unhideWhenUsed/>
    <w:rsid w:val="00E21B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1B00"/>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21B0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21B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onomics.mit.edu/files/11574" TargetMode="External"/><Relationship Id="rId18" Type="http://schemas.openxmlformats.org/officeDocument/2006/relationships/hyperlink" Target="https://www.nytimes.com/2018/05/16/us/teacher-walkout-north-carolina.html" TargetMode="External"/><Relationship Id="rId26" Type="http://schemas.openxmlformats.org/officeDocument/2006/relationships/hyperlink" Target="https://www.latimes.com/nation/la-na-teacher-funding-20180306-story.html"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www.motherjones.com/politics/2018/01/its-not-just-freezing-classrooms-in-baltimore-americas-schools-are-physically-falling-apart/" TargetMode="External"/><Relationship Id="rId34" Type="http://schemas.openxmlformats.org/officeDocument/2006/relationships/hyperlink" Target="https://www.nytimes.com/aponline/2019/01/28/us/ap-us-education-bill-west-virginia.html"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hill.com/homenews/state-watch/426030-states-race-to-prevent-teacher-strikes-by-boosting-pay" TargetMode="External"/><Relationship Id="rId20" Type="http://schemas.openxmlformats.org/officeDocument/2006/relationships/hyperlink" Target="https://www.americanprogress.org/issues/education-k-12/reports/2018/09/20/457750/fixing-chronic-disinvestment-k-12-schools/%5b" TargetMode="External"/><Relationship Id="rId29" Type="http://schemas.openxmlformats.org/officeDocument/2006/relationships/hyperlink" Target="https://thehill.com/homenews/state-watch/426030-states-race-to-prevent-teacher-strikes-by-boosting-pay" TargetMode="External"/><Relationship Id="rId41"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965751" TargetMode="External"/><Relationship Id="rId24" Type="http://schemas.openxmlformats.org/officeDocument/2006/relationships/hyperlink" Target="https://morningconsult.com/opinions/americas-teachers-are-at-their-boiling-point/" TargetMode="External"/><Relationship Id="rId32" Type="http://schemas.openxmlformats.org/officeDocument/2006/relationships/hyperlink" Target="http://nymag.com/intelligencer/2019/01/teacher-walkouts-gop-lawmakers-push-retaliatory-bills.html"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economics.mit.edu/files/19696" TargetMode="External"/><Relationship Id="rId23" Type="http://schemas.openxmlformats.org/officeDocument/2006/relationships/hyperlink" Target="https://tucson.com/news/local/we-continue-to-worsen-nearly-arizona-teaching-jobs-remain-vacant/article_1c8d665a-a422-5c7b-95b9-98afe0cb0c6f.html" TargetMode="External"/><Relationship Id="rId28" Type="http://schemas.openxmlformats.org/officeDocument/2006/relationships/hyperlink" Target="https://www.reuters.com/article/us-usa-education-arizona/arizona-governor-signs-bill-to-boost-teachers-wages-amid-strike-idUSKBN1I40N8"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nber.org/papers/w27249" TargetMode="External"/><Relationship Id="rId19" Type="http://schemas.openxmlformats.org/officeDocument/2006/relationships/hyperlink" Target="https://www.americanprogress.org/issues/education-k-12/reports/2018/09/20/457750/fixing-chronic-disinvestment-k-12-schools/" TargetMode="External"/><Relationship Id="rId31" Type="http://schemas.openxmlformats.org/officeDocument/2006/relationships/hyperlink" Target="https://www.apnews.com/883e9d387709112a11ee8901c223294e" TargetMode="External"/><Relationship Id="rId4" Type="http://schemas.openxmlformats.org/officeDocument/2006/relationships/customXml" Target="../customXml/item4.xml"/><Relationship Id="rId9" Type="http://schemas.openxmlformats.org/officeDocument/2006/relationships/hyperlink" Target="https://www.brookings.edu/opinions/helping-workers-requires-more-than-silver-bullets/" TargetMode="External"/><Relationship Id="rId14" Type="http://schemas.openxmlformats.org/officeDocument/2006/relationships/hyperlink" Target="https://www.sciencedirect.com/science/article/abs/pii/S0014498309000199" TargetMode="External"/><Relationship Id="rId22" Type="http://schemas.openxmlformats.org/officeDocument/2006/relationships/hyperlink" Target="https://www.cnn.com/2018/04/03/us/oklahoma-teachers-textbooks-trnd/index.html" TargetMode="External"/><Relationship Id="rId27" Type="http://schemas.openxmlformats.org/officeDocument/2006/relationships/hyperlink" Target="https://tucson.com/news/local/gov-ducey-teachers-aren-t-going-to-get-percent-pay/article_75a9b7dc-930b-5374-be12-61fb840e4ced.html" TargetMode="External"/><Relationship Id="rId30" Type="http://schemas.openxmlformats.org/officeDocument/2006/relationships/hyperlink" Target="http://www.nea.org/assets/docs/180413-Rankings_And_Estimates_Report_2018.pdf" TargetMode="External"/><Relationship Id="rId35" Type="http://schemas.openxmlformats.org/officeDocument/2006/relationships/hyperlink" Target="https://newsok.com/article/5593286/bill-is-revenge-for-teacher-walkout-unions-say"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jstor.org/stable/2083407" TargetMode="External"/><Relationship Id="rId17" Type="http://schemas.openxmlformats.org/officeDocument/2006/relationships/hyperlink" Target="http://nymag.com/intelligencer/2019/01/teacher-walkouts-gop-lawmakers-push-retaliatory-bills.html" TargetMode="External"/><Relationship Id="rId25" Type="http://schemas.openxmlformats.org/officeDocument/2006/relationships/hyperlink" Target="https://www.americanprogressaction.org/issues/education/news/2018/10/09/171813/little-late-many-gubernatorial-candidates-education-funding/" TargetMode="External"/><Relationship Id="rId33" Type="http://schemas.openxmlformats.org/officeDocument/2006/relationships/hyperlink" Target="https://www.vox.com/policy-and-politics/2018/4/23/17270422/colorado-teachers-strike-jail-bill" TargetMode="External"/><Relationship Id="rId38"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3147</Words>
  <Characters>17941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2</cp:revision>
  <dcterms:created xsi:type="dcterms:W3CDTF">2021-12-12T00:35:00Z</dcterms:created>
  <dcterms:modified xsi:type="dcterms:W3CDTF">2021-12-12T00:35:00Z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