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95637" w14:textId="6088B28C" w:rsidR="0015328D" w:rsidRDefault="0015328D" w:rsidP="0015328D">
      <w:pPr>
        <w:pStyle w:val="Heading1"/>
      </w:pPr>
      <w:r>
        <w:t>Marlborough JK v Vestavia Hills DS</w:t>
      </w:r>
    </w:p>
    <w:p w14:paraId="68D4AF85" w14:textId="77777777" w:rsidR="0015328D" w:rsidRDefault="0015328D" w:rsidP="0015328D">
      <w:pPr>
        <w:pStyle w:val="Heading2"/>
      </w:pPr>
      <w:r>
        <w:lastRenderedPageBreak/>
        <w:t>AC</w:t>
      </w:r>
    </w:p>
    <w:p w14:paraId="425E5DA1" w14:textId="77777777" w:rsidR="0015328D" w:rsidRPr="0079304C" w:rsidRDefault="0015328D" w:rsidP="0015328D">
      <w:pPr>
        <w:pStyle w:val="Heading4"/>
        <w:rPr>
          <w:rFonts w:cs="Calibri"/>
        </w:rPr>
      </w:pPr>
      <w:r w:rsidRPr="0079304C">
        <w:rPr>
          <w:rFonts w:cs="Calibri"/>
        </w:rPr>
        <w:t>Incarcerated workers do not have a right to strike in the US</w:t>
      </w:r>
      <w:r>
        <w:rPr>
          <w:rFonts w:cs="Calibri"/>
        </w:rPr>
        <w:t>.</w:t>
      </w:r>
    </w:p>
    <w:p w14:paraId="393ABAF0" w14:textId="77777777" w:rsidR="0015328D" w:rsidRPr="0079304C" w:rsidRDefault="0015328D" w:rsidP="0015328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w:t>
        </w:r>
        <w:r w:rsidRPr="0079304C">
          <w:rPr>
            <w:rStyle w:val="Hyperlink"/>
          </w:rPr>
          <w:t>a</w:t>
        </w:r>
        <w:r w:rsidRPr="0079304C">
          <w:rPr>
            <w:rStyle w:val="Hyperlink"/>
          </w:rPr>
          <w:t>nce-toward-a-better-understanding-of-prison-strikes/)//ML</w:t>
        </w:r>
      </w:hyperlink>
    </w:p>
    <w:p w14:paraId="1D224DAD" w14:textId="77777777" w:rsidR="0015328D" w:rsidRDefault="0015328D" w:rsidP="0015328D">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3E7272B5">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480A9A13" w14:textId="77777777" w:rsidR="0015328D" w:rsidRPr="00DF073A" w:rsidRDefault="0015328D" w:rsidP="0015328D">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59C59588" w14:textId="77777777" w:rsidR="0015328D" w:rsidRPr="00DF073A" w:rsidRDefault="0015328D" w:rsidP="0015328D">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C0658F4" w14:textId="77777777" w:rsidR="0015328D" w:rsidRPr="00ED06A4" w:rsidRDefault="0015328D" w:rsidP="0015328D">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w:t>
      </w:r>
      <w:r w:rsidRPr="00DF073A">
        <w:rPr>
          <w:b/>
          <w:bCs/>
          <w:highlight w:val="yellow"/>
          <w:u w:val="single"/>
        </w:rPr>
        <w:lastRenderedPageBreak/>
        <w:t xml:space="preserve">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6A8F343F" w14:textId="77777777" w:rsidR="0015328D" w:rsidRDefault="0015328D" w:rsidP="0015328D">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12D44A27" w14:textId="77777777" w:rsidR="0015328D" w:rsidRPr="00DF5337" w:rsidRDefault="0015328D" w:rsidP="0015328D">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52D77E8" w14:textId="77777777" w:rsidR="0015328D" w:rsidRPr="009B775E" w:rsidRDefault="0015328D" w:rsidP="0015328D">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DF5337">
        <w:rPr>
          <w:sz w:val="12"/>
        </w:rPr>
        <w:lastRenderedPageBreak/>
        <w:t xml:space="preserve">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6C5DF2E5" w14:textId="77777777" w:rsidR="0015328D" w:rsidRPr="0079304C" w:rsidRDefault="0015328D" w:rsidP="0015328D">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6B3C1F85" w14:textId="77777777" w:rsidR="0015328D" w:rsidRPr="00557219" w:rsidRDefault="0015328D" w:rsidP="0015328D">
      <w:r w:rsidRPr="000F0E69">
        <w:t>Patrice A. Fulcher [Associate Professor at The John Marshall Law School], 15 - ("," Journal of Civil Rights and Economic Development, Winter 2015, accessed 10-28-2021, https://scholarship.law.stjohns.edu/cgi/viewcontent.cgi?article=1759&amp;context=jcred)//ML</w:t>
      </w:r>
    </w:p>
    <w:p w14:paraId="7C92138B" w14:textId="77777777" w:rsidR="0015328D" w:rsidRDefault="0015328D" w:rsidP="0015328D">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0D3D12">
        <w:rPr>
          <w:sz w:val="12"/>
        </w:rPr>
        <w:lastRenderedPageBreak/>
        <w:t xml:space="preserve">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B04C0CC" w14:textId="77777777" w:rsidR="0015328D" w:rsidRDefault="0015328D" w:rsidP="0015328D">
      <w:pPr>
        <w:pStyle w:val="Heading4"/>
      </w:pPr>
      <w:r>
        <w:t>Low wages for prisoners create cycles of recidivism. Fulcher 15</w:t>
      </w:r>
    </w:p>
    <w:p w14:paraId="50650AFB" w14:textId="77777777" w:rsidR="0015328D" w:rsidRPr="000F0E69" w:rsidRDefault="0015328D" w:rsidP="0015328D">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4F6313DA" w14:textId="77777777" w:rsidR="0015328D" w:rsidRPr="00BC66A8" w:rsidRDefault="0015328D" w:rsidP="0015328D">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6FD75C7" w14:textId="77777777" w:rsidR="0015328D" w:rsidRDefault="0015328D" w:rsidP="0015328D">
      <w:pPr>
        <w:pStyle w:val="Heading2"/>
      </w:pPr>
      <w:r>
        <w:lastRenderedPageBreak/>
        <w:t xml:space="preserve">Plan </w:t>
      </w:r>
    </w:p>
    <w:p w14:paraId="649C1621" w14:textId="77777777" w:rsidR="0015328D" w:rsidRPr="00822A17" w:rsidRDefault="0015328D" w:rsidP="0015328D">
      <w:pPr>
        <w:pStyle w:val="Heading4"/>
      </w:pPr>
      <w:r>
        <w:t xml:space="preserve">Plan: The United States ought to recognize the unconditional right of incarcerated workers to strike. </w:t>
      </w:r>
    </w:p>
    <w:p w14:paraId="5309CABA" w14:textId="77777777" w:rsidR="0015328D" w:rsidRPr="0044595D" w:rsidRDefault="0015328D" w:rsidP="0015328D">
      <w:pPr>
        <w:pStyle w:val="Heading2"/>
      </w:pPr>
      <w:r>
        <w:lastRenderedPageBreak/>
        <w:t xml:space="preserve">Solvency </w:t>
      </w:r>
    </w:p>
    <w:p w14:paraId="39B31A23" w14:textId="77777777" w:rsidR="0015328D" w:rsidRPr="0079304C" w:rsidRDefault="0015328D" w:rsidP="0015328D">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26FE7F04" w14:textId="77777777" w:rsidR="0015328D" w:rsidRPr="0079304C" w:rsidRDefault="0015328D" w:rsidP="0015328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C5B8F2D" w14:textId="77777777" w:rsidR="0015328D" w:rsidRPr="000D3D12" w:rsidRDefault="0015328D" w:rsidP="0015328D">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2F907935" w14:textId="77777777" w:rsidR="0015328D" w:rsidRPr="00D75425" w:rsidRDefault="0015328D" w:rsidP="0015328D">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5486A126" w14:textId="77777777" w:rsidR="0015328D" w:rsidRDefault="0015328D" w:rsidP="0015328D">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4BE0FFCD" w14:textId="77777777" w:rsidR="0015328D" w:rsidRPr="002A7C57" w:rsidRDefault="0015328D" w:rsidP="0015328D">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1C242E0" w14:textId="77777777" w:rsidR="0015328D" w:rsidRDefault="0015328D" w:rsidP="0015328D">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648C5853" w14:textId="77777777" w:rsidR="0015328D" w:rsidRPr="00822A17" w:rsidRDefault="0015328D" w:rsidP="0015328D">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72556E5" w14:textId="77777777" w:rsidR="0015328D" w:rsidRDefault="0015328D" w:rsidP="0015328D">
      <w:pPr>
        <w:pStyle w:val="Heading2"/>
      </w:pPr>
      <w:r>
        <w:lastRenderedPageBreak/>
        <w:t xml:space="preserve">Framework </w:t>
      </w:r>
    </w:p>
    <w:p w14:paraId="6E837ADC" w14:textId="77777777" w:rsidR="0015328D" w:rsidRPr="00E27770" w:rsidRDefault="0015328D" w:rsidP="0015328D">
      <w:pPr>
        <w:pStyle w:val="Heading4"/>
        <w:rPr>
          <w:rFonts w:cs="Calibri"/>
        </w:rPr>
      </w:pPr>
      <w:bookmarkStart w:id="0" w:name="_Hlk54560893"/>
      <w:r>
        <w:rPr>
          <w:rFonts w:cs="Calibri"/>
        </w:rPr>
        <w:t>The impact of structural violence cumulatively outweighs – challenging the structures that facilitate inequality is necessary</w:t>
      </w:r>
    </w:p>
    <w:p w14:paraId="450D4AE0" w14:textId="77777777" w:rsidR="0015328D" w:rsidRPr="00E27770" w:rsidRDefault="0015328D" w:rsidP="0015328D">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29FE3E15" w14:textId="77777777" w:rsidR="0015328D" w:rsidRPr="00324812" w:rsidRDefault="0015328D" w:rsidP="0015328D">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19A062C7" w14:textId="77777777" w:rsidR="0015328D" w:rsidRDefault="0015328D" w:rsidP="0015328D">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38FA3A25" w14:textId="77777777" w:rsidR="0015328D" w:rsidRDefault="0015328D" w:rsidP="0015328D">
      <w:pPr>
        <w:pStyle w:val="Heading4"/>
      </w:pPr>
      <w:r w:rsidRPr="4A4EEA91">
        <w:rPr>
          <w:rFonts w:eastAsia="Calibri" w:cs="Calibri"/>
        </w:rPr>
        <w:t xml:space="preserve">Scholarly discourse and engagement with politics is key to effective structural reform - critique is insufficient. </w:t>
      </w:r>
    </w:p>
    <w:p w14:paraId="72956CB6" w14:textId="77777777" w:rsidR="0015328D" w:rsidRDefault="0015328D" w:rsidP="0015328D">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69788910" w14:textId="77777777" w:rsidR="0015328D" w:rsidRDefault="0015328D" w:rsidP="0015328D">
      <w:r w:rsidRPr="4A4EEA91">
        <w:rPr>
          <w:rFonts w:ascii="Cambria" w:eastAsia="Cambria" w:hAnsi="Cambria" w:cs="Cambria"/>
          <w:sz w:val="12"/>
          <w:szCs w:val="12"/>
        </w:rPr>
        <w:t xml:space="preserve"> </w:t>
      </w:r>
    </w:p>
    <w:p w14:paraId="502F09E5" w14:textId="77777777" w:rsidR="0015328D" w:rsidRDefault="0015328D" w:rsidP="0015328D">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379B834A" w14:textId="77777777" w:rsidR="0015328D" w:rsidRDefault="0015328D" w:rsidP="0015328D">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64087357" w14:textId="77777777" w:rsidR="0015328D" w:rsidRDefault="0015328D" w:rsidP="0015328D">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333DB90E" w14:textId="77777777" w:rsidR="0015328D" w:rsidRDefault="0015328D" w:rsidP="0015328D">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1F12FDE" w14:textId="77777777" w:rsidR="0015328D" w:rsidRDefault="0015328D" w:rsidP="0015328D">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7CC6330F" w14:textId="77777777" w:rsidR="0015328D" w:rsidRDefault="0015328D" w:rsidP="0015328D">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5AA1B75D" w14:textId="77777777" w:rsidR="0015328D" w:rsidRDefault="0015328D" w:rsidP="0015328D">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090460CD" w14:textId="77777777" w:rsidR="0015328D" w:rsidRDefault="0015328D" w:rsidP="0015328D">
      <w:r w:rsidRPr="4A4EEA91">
        <w:rPr>
          <w:rFonts w:ascii="Times New Roman" w:eastAsia="Times New Roman" w:hAnsi="Times New Roman" w:cs="Times New Roman"/>
          <w:b/>
          <w:bCs/>
          <w:sz w:val="26"/>
          <w:szCs w:val="26"/>
        </w:rPr>
        <w:t>Kapoor, 2008</w:t>
      </w:r>
      <w:r w:rsidRPr="4A4EEA91">
        <w:rPr>
          <w:rFonts w:eastAsia="Calibri"/>
          <w:sz w:val="18"/>
          <w:szCs w:val="18"/>
        </w:rPr>
        <w:t xml:space="preserve"> (</w:t>
      </w:r>
      <w:proofErr w:type="spellStart"/>
      <w:r w:rsidRPr="4A4EEA91">
        <w:rPr>
          <w:rFonts w:eastAsia="Calibri"/>
          <w:sz w:val="18"/>
          <w:szCs w:val="18"/>
        </w:rPr>
        <w:t>Ilan</w:t>
      </w:r>
      <w:proofErr w:type="spellEnd"/>
      <w:r w:rsidRPr="4A4EEA91">
        <w:rPr>
          <w:rFonts w:eastAsia="Calibri"/>
          <w:sz w:val="18"/>
          <w:szCs w:val="18"/>
        </w:rPr>
        <w:t xml:space="preserve">, Associate Professor at the Faculty of Environmental Studies, York University, “The Postcolonial Politics of Development,” p. 138-139) </w:t>
      </w:r>
    </w:p>
    <w:p w14:paraId="08024F2D" w14:textId="77777777" w:rsidR="0015328D" w:rsidRDefault="0015328D" w:rsidP="0015328D">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proofErr w:type="spellStart"/>
      <w:r w:rsidRPr="4A4EEA91">
        <w:rPr>
          <w:rFonts w:ascii="Times New Roman" w:eastAsia="Times New Roman" w:hAnsi="Times New Roman" w:cs="Times New Roman"/>
          <w:b/>
          <w:bCs/>
          <w:szCs w:val="22"/>
          <w:highlight w:val="yellow"/>
          <w:u w:val="single"/>
        </w:rPr>
        <w:t>deconstructible</w:t>
      </w:r>
      <w:proofErr w:type="spellEnd"/>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4A4EEA91">
        <w:rPr>
          <w:rFonts w:eastAsia="Calibri"/>
          <w:sz w:val="12"/>
          <w:szCs w:val="12"/>
        </w:rPr>
        <w:t>bastard</w:t>
      </w:r>
      <w:proofErr w:type="gramEnd"/>
      <w:r w:rsidRPr="4A4EEA91">
        <w:rPr>
          <w:rFonts w:eastAsia="Calibri"/>
          <w:sz w:val="12"/>
          <w:szCs w:val="12"/>
        </w:rPr>
        <w:t>.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w:t>
      </w:r>
      <w:proofErr w:type="gramStart"/>
      <w:r w:rsidRPr="4A4EEA91">
        <w:rPr>
          <w:rFonts w:eastAsia="Calibri"/>
          <w:sz w:val="12"/>
          <w:szCs w:val="12"/>
        </w:rPr>
        <w:t>has to</w:t>
      </w:r>
      <w:proofErr w:type="gramEnd"/>
      <w:r w:rsidRPr="4A4EEA91">
        <w:rPr>
          <w:rFonts w:eastAsia="Calibri"/>
          <w:sz w:val="12"/>
          <w:szCs w:val="12"/>
        </w:rPr>
        <w:t xml:space="preserve">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proofErr w:type="spellStart"/>
      <w:r w:rsidRPr="4A4EEA91">
        <w:rPr>
          <w:rFonts w:ascii="Times New Roman" w:eastAsia="Times New Roman" w:hAnsi="Times New Roman" w:cs="Times New Roman"/>
          <w:sz w:val="12"/>
          <w:szCs w:val="12"/>
        </w:rPr>
        <w:t>negotiative</w:t>
      </w:r>
      <w:proofErr w:type="spellEnd"/>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4A4EEA91">
        <w:rPr>
          <w:rFonts w:eastAsia="Calibri"/>
          <w:sz w:val="12"/>
          <w:szCs w:val="12"/>
        </w:rPr>
        <w:t>i.e.</w:t>
      </w:r>
      <w:proofErr w:type="gramEnd"/>
      <w:r w:rsidRPr="4A4EEA91">
        <w:rPr>
          <w:rFonts w:eastAsia="Calibri"/>
          <w:sz w:val="12"/>
          <w:szCs w:val="12"/>
        </w:rPr>
        <w:t xml:space="preserve"> Gandhi) — made it difficult for the state to quash them or deflect their claims. </w:t>
      </w:r>
    </w:p>
    <w:p w14:paraId="5BA41563" w14:textId="77777777" w:rsidR="0015328D" w:rsidRDefault="0015328D" w:rsidP="0015328D">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0D55EF7" w14:textId="77777777" w:rsidR="0015328D" w:rsidRDefault="0015328D" w:rsidP="0015328D">
      <w:proofErr w:type="spellStart"/>
      <w:r w:rsidRPr="4A4EEA91">
        <w:rPr>
          <w:rFonts w:ascii="Times New Roman" w:eastAsia="Times New Roman" w:hAnsi="Times New Roman" w:cs="Times New Roman"/>
          <w:b/>
          <w:bCs/>
          <w:sz w:val="26"/>
          <w:szCs w:val="26"/>
        </w:rPr>
        <w:t>Zannoti</w:t>
      </w:r>
      <w:proofErr w:type="spellEnd"/>
      <w:r w:rsidRPr="4A4EEA91">
        <w:rPr>
          <w:rFonts w:ascii="Times New Roman" w:eastAsia="Times New Roman" w:hAnsi="Times New Roman" w:cs="Times New Roman"/>
          <w:b/>
          <w:bCs/>
          <w:sz w:val="26"/>
          <w:szCs w:val="26"/>
        </w:rPr>
        <w:t xml:space="preserve"> ’13</w:t>
      </w:r>
      <w:r w:rsidRPr="4A4EEA91">
        <w:rPr>
          <w:rFonts w:eastAsia="Calibri"/>
          <w:b/>
          <w:bCs/>
          <w:sz w:val="24"/>
        </w:rPr>
        <w:t xml:space="preserve"> - </w:t>
      </w:r>
      <w:proofErr w:type="spellStart"/>
      <w:r w:rsidRPr="4A4EEA91">
        <w:rPr>
          <w:rFonts w:ascii="Times New Roman" w:eastAsia="Times New Roman" w:hAnsi="Times New Roman" w:cs="Times New Roman"/>
          <w:sz w:val="18"/>
          <w:szCs w:val="18"/>
        </w:rPr>
        <w:t>Zannoti</w:t>
      </w:r>
      <w:proofErr w:type="spellEnd"/>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4A90810" w14:textId="77777777" w:rsidR="0015328D" w:rsidRDefault="0015328D" w:rsidP="0015328D">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w:t>
      </w:r>
      <w:r w:rsidRPr="4A4EEA91">
        <w:rPr>
          <w:rFonts w:eastAsia="Calibri"/>
          <w:b/>
          <w:bCs/>
          <w:szCs w:val="22"/>
          <w:highlight w:val="yellow"/>
          <w:u w:val="single"/>
        </w:rPr>
        <w:lastRenderedPageBreak/>
        <w:t xml:space="preserve">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proofErr w:type="spellStart"/>
      <w:r w:rsidRPr="4A4EEA91">
        <w:rPr>
          <w:rFonts w:ascii="Times New Roman" w:eastAsia="Times New Roman" w:hAnsi="Times New Roman" w:cs="Times New Roman"/>
          <w:sz w:val="12"/>
          <w:szCs w:val="12"/>
        </w:rPr>
        <w:t>demonizations</w:t>
      </w:r>
      <w:proofErr w:type="spellEnd"/>
      <w:r w:rsidRPr="4A4EEA91">
        <w:rPr>
          <w:rFonts w:eastAsia="Calibri"/>
          <w:sz w:val="12"/>
          <w:szCs w:val="12"/>
        </w:rPr>
        <w:t xml:space="preserve"> of ‘‘power,’’ </w:t>
      </w:r>
      <w:proofErr w:type="spellStart"/>
      <w:r w:rsidRPr="4A4EEA91">
        <w:rPr>
          <w:rFonts w:ascii="Times New Roman" w:eastAsia="Times New Roman" w:hAnsi="Times New Roman" w:cs="Times New Roman"/>
          <w:sz w:val="12"/>
          <w:szCs w:val="12"/>
        </w:rPr>
        <w:t>romanticizations</w:t>
      </w:r>
      <w:proofErr w:type="spellEnd"/>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w:t>
      </w:r>
      <w:proofErr w:type="gramStart"/>
      <w:r w:rsidRPr="4A4EEA91">
        <w:rPr>
          <w:rFonts w:eastAsia="Calibri"/>
          <w:sz w:val="12"/>
          <w:szCs w:val="12"/>
        </w:rPr>
        <w:t>exactly the same</w:t>
      </w:r>
      <w:proofErr w:type="gramEnd"/>
      <w:r w:rsidRPr="4A4EEA91">
        <w:rPr>
          <w:rFonts w:eastAsia="Calibri"/>
          <w:sz w:val="12"/>
          <w:szCs w:val="12"/>
        </w:rPr>
        <w:t xml:space="preserve"> as bad. If everything is dangerous, then we always have something to do. </w:t>
      </w:r>
      <w:proofErr w:type="gramStart"/>
      <w:r w:rsidRPr="4A4EEA91">
        <w:rPr>
          <w:rFonts w:ascii="Times New Roman" w:eastAsia="Times New Roman" w:hAnsi="Times New Roman" w:cs="Times New Roman"/>
          <w:sz w:val="12"/>
          <w:szCs w:val="12"/>
        </w:rPr>
        <w:t>So</w:t>
      </w:r>
      <w:proofErr w:type="gramEnd"/>
      <w:r w:rsidRPr="4A4EEA91">
        <w:rPr>
          <w:rFonts w:eastAsia="Calibri"/>
          <w:sz w:val="12"/>
          <w:szCs w:val="12"/>
        </w:rPr>
        <w:t xml:space="preserve"> my position leads not to apathy but to hyper- and pessimistic activism. </w:t>
      </w:r>
    </w:p>
    <w:p w14:paraId="37E82964" w14:textId="6EDD8E29" w:rsidR="0015328D" w:rsidRDefault="0015328D" w:rsidP="00E71E3B">
      <w:r w:rsidRPr="4A4EEA91">
        <w:rPr>
          <w:rFonts w:eastAsia="Calibri"/>
          <w:sz w:val="24"/>
        </w:rPr>
        <w:t xml:space="preserve"> </w:t>
      </w:r>
    </w:p>
    <w:p w14:paraId="2ACDF52A" w14:textId="77777777" w:rsidR="0015328D" w:rsidRPr="0015328D" w:rsidRDefault="0015328D" w:rsidP="0015328D"/>
    <w:sectPr w:rsidR="0015328D" w:rsidRPr="001532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32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28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E3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95C4E6"/>
  <w14:defaultImageDpi w14:val="300"/>
  <w15:docId w15:val="{1BCF3B7B-9E5C-C444-A82A-0BC6F4F2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32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32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32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532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532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32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28D"/>
  </w:style>
  <w:style w:type="character" w:customStyle="1" w:styleId="Heading1Char">
    <w:name w:val="Heading 1 Char"/>
    <w:aliases w:val="Pocket Char"/>
    <w:basedOn w:val="DefaultParagraphFont"/>
    <w:link w:val="Heading1"/>
    <w:uiPriority w:val="9"/>
    <w:rsid w:val="001532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328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532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532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328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5328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1532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32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5328D"/>
    <w:rPr>
      <w:color w:val="auto"/>
      <w:u w:val="none"/>
    </w:rPr>
  </w:style>
  <w:style w:type="paragraph" w:styleId="DocumentMap">
    <w:name w:val="Document Map"/>
    <w:basedOn w:val="Normal"/>
    <w:link w:val="DocumentMapChar"/>
    <w:uiPriority w:val="99"/>
    <w:semiHidden/>
    <w:unhideWhenUsed/>
    <w:rsid w:val="001532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328D"/>
    <w:rPr>
      <w:rFonts w:ascii="Lucida Grande" w:hAnsi="Lucida Grande" w:cs="Lucida Grande"/>
    </w:rPr>
  </w:style>
  <w:style w:type="paragraph" w:customStyle="1" w:styleId="textbold">
    <w:name w:val="text bold"/>
    <w:basedOn w:val="Normal"/>
    <w:link w:val="Emphasis"/>
    <w:uiPriority w:val="20"/>
    <w:qFormat/>
    <w:rsid w:val="0015328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532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13496</Words>
  <Characters>76931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2</cp:revision>
  <dcterms:created xsi:type="dcterms:W3CDTF">2021-11-06T17:26:00Z</dcterms:created>
  <dcterms:modified xsi:type="dcterms:W3CDTF">2021-11-06T17:39:00Z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