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A33F5" w14:textId="77777777" w:rsidR="00993864" w:rsidRPr="00481F72" w:rsidRDefault="00993864" w:rsidP="00993864">
      <w:pPr>
        <w:pStyle w:val="Heading3"/>
      </w:pPr>
      <w:r>
        <w:t>1</w:t>
      </w:r>
    </w:p>
    <w:p w14:paraId="5367F72C" w14:textId="77777777" w:rsidR="00993864" w:rsidRPr="00876078" w:rsidRDefault="00993864" w:rsidP="00993864">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w:t>
      </w:r>
      <w:r>
        <w:rPr>
          <w:rFonts w:cs="Calibri"/>
        </w:rPr>
        <w:t xml:space="preserve">for COVID medicines </w:t>
      </w:r>
      <w:r w:rsidRPr="00184738">
        <w:rPr>
          <w:rFonts w:cs="Calibri"/>
        </w:rPr>
        <w:t xml:space="preserve">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56824387" w14:textId="77777777" w:rsidR="00993864" w:rsidRPr="00E16557" w:rsidRDefault="00993864" w:rsidP="00993864">
      <w:pPr>
        <w:pStyle w:val="Heading4"/>
        <w:tabs>
          <w:tab w:val="left" w:pos="960"/>
        </w:tabs>
      </w:pPr>
      <w:r>
        <w:t xml:space="preserve">The Health Impact Fund would guarantee patent rights and increase profits, while also equalizing the cost of medicines </w:t>
      </w:r>
    </w:p>
    <w:p w14:paraId="5E656523" w14:textId="77777777" w:rsidR="00993864" w:rsidRPr="00E16557" w:rsidRDefault="00993864" w:rsidP="00993864">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72E5DA69" w14:textId="77777777" w:rsidR="00993864" w:rsidRPr="00962F52" w:rsidRDefault="00993864" w:rsidP="00993864">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 cross national borders.</w:t>
      </w:r>
    </w:p>
    <w:p w14:paraId="76F8E128" w14:textId="77777777" w:rsidR="00993864" w:rsidRDefault="00993864" w:rsidP="00993864"/>
    <w:p w14:paraId="44E2B4D7" w14:textId="77777777" w:rsidR="00993864" w:rsidRDefault="00993864" w:rsidP="00993864">
      <w:pPr>
        <w:pStyle w:val="Heading3"/>
        <w:rPr>
          <w:rFonts w:cs="Calibri"/>
        </w:rPr>
      </w:pPr>
      <w:r>
        <w:rPr>
          <w:rFonts w:cs="Calibri"/>
        </w:rPr>
        <w:t>2</w:t>
      </w:r>
    </w:p>
    <w:p w14:paraId="484078F1" w14:textId="77777777" w:rsidR="00993864" w:rsidRPr="00405D88" w:rsidRDefault="00993864" w:rsidP="0099386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6C6C9169" w14:textId="77777777" w:rsidR="00993864" w:rsidRPr="00405D88" w:rsidRDefault="00993864" w:rsidP="00993864">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1C135D83" w14:textId="77777777" w:rsidR="00993864" w:rsidRPr="00405D88" w:rsidRDefault="00993864" w:rsidP="00993864">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DF72184" w14:textId="77777777" w:rsidR="00993864" w:rsidRPr="009026E1" w:rsidRDefault="00993864" w:rsidP="00993864">
      <w:pPr>
        <w:pStyle w:val="Heading4"/>
      </w:pPr>
      <w:r>
        <w:t>This sets a precedent that spills over to all future diseases – Hopkins 21:</w:t>
      </w:r>
    </w:p>
    <w:p w14:paraId="7CCD7DE5" w14:textId="77777777" w:rsidR="00993864" w:rsidRPr="00405D88" w:rsidRDefault="00993864" w:rsidP="00993864">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7263BC30" w14:textId="77777777" w:rsidR="00993864" w:rsidRPr="00856058" w:rsidRDefault="00993864" w:rsidP="00993864">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77378355" w14:textId="77777777" w:rsidR="00993864" w:rsidRPr="00405D88" w:rsidRDefault="00993864" w:rsidP="00993864">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27B6447F" w14:textId="77777777" w:rsidR="00993864" w:rsidRPr="00405D88" w:rsidRDefault="00993864" w:rsidP="00993864">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66E9647" w14:textId="77777777" w:rsidR="00993864" w:rsidRPr="00405D88" w:rsidRDefault="00993864" w:rsidP="00993864">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B87E8FA" w14:textId="77777777" w:rsidR="00993864" w:rsidRPr="00082772" w:rsidRDefault="00993864" w:rsidP="00993864"/>
    <w:p w14:paraId="180187BA" w14:textId="77777777" w:rsidR="00993864" w:rsidRPr="00E0694B" w:rsidRDefault="00993864" w:rsidP="00993864">
      <w:pPr>
        <w:pStyle w:val="Heading3"/>
      </w:pPr>
      <w:r>
        <w:t>3</w:t>
      </w:r>
    </w:p>
    <w:p w14:paraId="0DC0BA4C" w14:textId="77777777" w:rsidR="00993864" w:rsidRPr="007142A4" w:rsidRDefault="00993864" w:rsidP="00993864">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inequality</w:t>
      </w:r>
      <w:r w:rsidRPr="007142A4">
        <w:t xml:space="preserve"> 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4" w:history="1">
        <w:r w:rsidRPr="007142A4">
          <w:rPr>
            <w:rStyle w:val="Hyperlink"/>
            <w:b w:val="0"/>
          </w:rPr>
          <w:t>https://scholarship.law.duke.edu/cgi/viewcontent.cgi?article=4710&amp;context=lcp</w:t>
        </w:r>
      </w:hyperlink>
      <w:r w:rsidRPr="007142A4">
        <w:rPr>
          <w:b w:val="0"/>
        </w:rPr>
        <w:t>] BC</w:t>
      </w:r>
    </w:p>
    <w:p w14:paraId="35B7B347" w14:textId="77777777" w:rsidR="00993864" w:rsidRPr="00F1071C" w:rsidRDefault="00993864" w:rsidP="00993864">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63657113" w14:textId="77777777" w:rsidR="00993864" w:rsidRDefault="00993864" w:rsidP="00993864"/>
    <w:p w14:paraId="45AFCE47" w14:textId="77777777" w:rsidR="00993864" w:rsidRPr="00201E5B" w:rsidRDefault="00993864" w:rsidP="00993864">
      <w:pPr>
        <w:pStyle w:val="Heading4"/>
      </w:pPr>
      <w:r w:rsidRPr="00201E5B">
        <w:t>Neoliberalism rips apart communal bonds to maintain the illusion that structural inequalities are individual problems – the impact is systemic victim-blaming, poverty, and violence.</w:t>
      </w:r>
    </w:p>
    <w:p w14:paraId="0489549C" w14:textId="77777777" w:rsidR="00993864" w:rsidRPr="00201E5B" w:rsidRDefault="00993864" w:rsidP="00993864">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237F9DD8" w14:textId="77777777" w:rsidR="00993864" w:rsidRPr="00E51987" w:rsidRDefault="00993864" w:rsidP="00993864">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71D731A5" w14:textId="77777777" w:rsidR="00993864" w:rsidRPr="00C46288" w:rsidRDefault="00993864" w:rsidP="00993864">
      <w:pPr>
        <w:pStyle w:val="Heading4"/>
      </w:pPr>
      <w:r w:rsidRPr="00C46288">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67988066" w14:textId="77777777" w:rsidR="00993864" w:rsidRDefault="00993864" w:rsidP="00993864">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6082B3D3" w14:textId="77777777" w:rsidR="00993864" w:rsidRPr="003C07C8" w:rsidRDefault="00993864" w:rsidP="00993864">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world might actually be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11399FA4" w14:textId="77777777" w:rsidR="00993864" w:rsidRPr="008F1A3E" w:rsidRDefault="00993864" w:rsidP="00993864"/>
    <w:p w14:paraId="1431FD5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38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86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76FC7"/>
  <w14:defaultImageDpi w14:val="300"/>
  <w15:docId w15:val="{76BFE19E-AF74-8E44-BFB6-6E53A777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38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38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38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938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9938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38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864"/>
  </w:style>
  <w:style w:type="character" w:customStyle="1" w:styleId="Heading1Char">
    <w:name w:val="Heading 1 Char"/>
    <w:aliases w:val="Pocket Char"/>
    <w:basedOn w:val="DefaultParagraphFont"/>
    <w:link w:val="Heading1"/>
    <w:uiPriority w:val="9"/>
    <w:rsid w:val="009938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386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99386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9938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386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9386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938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3864"/>
    <w:rPr>
      <w:color w:val="auto"/>
      <w:u w:val="none"/>
    </w:rPr>
  </w:style>
  <w:style w:type="character" w:styleId="Hyperlink">
    <w:name w:val="Hyperlink"/>
    <w:aliases w:val="No Spacing Char,Card Format Char,ClearFormatting Char,Clear Char,DDI Tag Char,Tag Title Char,Dont use Char,Tag and Cite Char,CD - Cite Char,No Spacing22 Char,No Spacing41 Char,No Spacing6 Char,No Spacing7 Char,Very Small Text Char"/>
    <w:basedOn w:val="DefaultParagraphFont"/>
    <w:link w:val="NoSpacing"/>
    <w:uiPriority w:val="99"/>
    <w:unhideWhenUsed/>
    <w:rsid w:val="00993864"/>
    <w:rPr>
      <w:color w:val="auto"/>
      <w:u w:val="none"/>
    </w:rPr>
  </w:style>
  <w:style w:type="paragraph" w:styleId="DocumentMap">
    <w:name w:val="Document Map"/>
    <w:basedOn w:val="Normal"/>
    <w:link w:val="DocumentMapChar"/>
    <w:uiPriority w:val="99"/>
    <w:semiHidden/>
    <w:unhideWhenUsed/>
    <w:rsid w:val="009938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3864"/>
    <w:rPr>
      <w:rFonts w:ascii="Lucida Grande" w:hAnsi="Lucida Grande" w:cs="Lucida Grande"/>
    </w:rPr>
  </w:style>
  <w:style w:type="paragraph" w:customStyle="1" w:styleId="textbold">
    <w:name w:val="text bold"/>
    <w:basedOn w:val="Normal"/>
    <w:link w:val="Emphasis"/>
    <w:uiPriority w:val="20"/>
    <w:qFormat/>
    <w:rsid w:val="0099386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Clear,DDI Tag,Tag Title,Dont use,Tag and Cite,CD - Cite,No Spacing22,No Spacing41,No Spacing6,No Spacing7,Very Small Text,No Spacing8,Dont u,No Spacing311,No Spacing111112,No Spacing51,No Spacing3,card"/>
    <w:basedOn w:val="Heading1"/>
    <w:link w:val="Hyperlink"/>
    <w:autoRedefine/>
    <w:uiPriority w:val="99"/>
    <w:qFormat/>
    <w:rsid w:val="009938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8419</Words>
  <Characters>47994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2021-10-16T17:06:00Z</dcterms:created>
  <dcterms:modified xsi:type="dcterms:W3CDTF">2021-10-16T17:06:00Z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