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1875E" w14:textId="77777777" w:rsidR="00BB5584" w:rsidRDefault="00BB5584" w:rsidP="00BB5584">
      <w:pPr>
        <w:pStyle w:val="Heading1"/>
      </w:pPr>
      <w:r>
        <w:t>AT Biocolonialism AC</w:t>
      </w:r>
    </w:p>
    <w:p w14:paraId="07F30CF9" w14:textId="77777777" w:rsidR="00BB5584" w:rsidRDefault="00BB5584" w:rsidP="00BB5584"/>
    <w:p w14:paraId="12456E8C" w14:textId="77777777" w:rsidR="00BB5584" w:rsidRDefault="00BB5584" w:rsidP="00BB5584">
      <w:pPr>
        <w:pStyle w:val="Heading2"/>
      </w:pPr>
      <w:r>
        <w:t>Nebel T</w:t>
      </w:r>
    </w:p>
    <w:p w14:paraId="0CAEAC48" w14:textId="77777777" w:rsidR="00BB5584" w:rsidRPr="009811A7" w:rsidRDefault="00BB5584" w:rsidP="00BB5584">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2413FB35" w14:textId="77777777" w:rsidR="00BB5584" w:rsidRPr="009811A7" w:rsidRDefault="00BB5584" w:rsidP="00BB5584">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2D98EACF" w14:textId="77777777" w:rsidR="00BB5584" w:rsidRPr="009811A7" w:rsidRDefault="00BB5584" w:rsidP="00BB5584">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E74D6C6" w14:textId="77777777" w:rsidR="00BB5584" w:rsidRPr="009811A7" w:rsidRDefault="00BB5584" w:rsidP="00BB5584">
      <w:pPr>
        <w:tabs>
          <w:tab w:val="left" w:pos="4280"/>
        </w:tabs>
        <w:rPr>
          <w:sz w:val="12"/>
        </w:rPr>
      </w:pPr>
      <w:r>
        <w:rPr>
          <w:sz w:val="12"/>
        </w:rPr>
        <w:tab/>
      </w:r>
    </w:p>
    <w:p w14:paraId="43604006" w14:textId="77777777" w:rsidR="00BB5584" w:rsidRPr="009811A7" w:rsidRDefault="00BB5584" w:rsidP="00BB5584">
      <w:pPr>
        <w:pStyle w:val="Heading4"/>
        <w:rPr>
          <w:rFonts w:cs="Calibri"/>
        </w:rPr>
      </w:pPr>
      <w:r w:rsidRPr="009811A7">
        <w:rPr>
          <w:rFonts w:cs="Calibri"/>
        </w:rPr>
        <w:t>It applies to medicines:</w:t>
      </w:r>
    </w:p>
    <w:p w14:paraId="5E84F4B4" w14:textId="77777777" w:rsidR="00BB5584" w:rsidRPr="009811A7" w:rsidRDefault="00BB5584" w:rsidP="00BB5584">
      <w:pPr>
        <w:pStyle w:val="Heading4"/>
        <w:numPr>
          <w:ilvl w:val="0"/>
          <w:numId w:val="12"/>
        </w:numPr>
        <w:tabs>
          <w:tab w:val="num" w:pos="36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2DAC8505" w14:textId="77777777" w:rsidR="00BB5584" w:rsidRDefault="00BB5584" w:rsidP="00BB5584">
      <w:pPr>
        <w:pStyle w:val="Heading4"/>
        <w:numPr>
          <w:ilvl w:val="0"/>
          <w:numId w:val="12"/>
        </w:numPr>
        <w:tabs>
          <w:tab w:val="num" w:pos="360"/>
        </w:tabs>
        <w:ind w:left="0" w:firstLine="0"/>
        <w:rPr>
          <w:rFonts w:cs="Calibri"/>
        </w:rPr>
      </w:pPr>
      <w:r w:rsidRPr="009811A7">
        <w:rPr>
          <w:rFonts w:cs="Calibri"/>
        </w:rPr>
        <w:t>Adverb test – adding “usually” to the res doesn’t substantially change its meaning because a reduction is permanent</w:t>
      </w:r>
    </w:p>
    <w:p w14:paraId="4E77CC4F" w14:textId="77777777" w:rsidR="00BB5584" w:rsidRPr="009811A7" w:rsidRDefault="00BB5584" w:rsidP="00BB5584"/>
    <w:p w14:paraId="64E5D514" w14:textId="77777777" w:rsidR="00BB5584" w:rsidRPr="009811A7" w:rsidRDefault="00BB5584" w:rsidP="00BB5584">
      <w:pPr>
        <w:pStyle w:val="Heading4"/>
        <w:rPr>
          <w:rFonts w:cs="Calibri"/>
        </w:rPr>
      </w:pPr>
      <w:r w:rsidRPr="009811A7">
        <w:rPr>
          <w:rFonts w:cs="Calibri"/>
        </w:rPr>
        <w:t>Vote neg:</w:t>
      </w:r>
    </w:p>
    <w:p w14:paraId="602C4D0F" w14:textId="77777777" w:rsidR="00BB5584" w:rsidRPr="009811A7" w:rsidRDefault="00BB5584" w:rsidP="00BB5584">
      <w:pPr>
        <w:pStyle w:val="Heading4"/>
        <w:numPr>
          <w:ilvl w:val="0"/>
          <w:numId w:val="13"/>
        </w:numPr>
        <w:tabs>
          <w:tab w:val="num" w:pos="360"/>
          <w:tab w:val="num" w:pos="720"/>
        </w:tabs>
        <w:ind w:left="0" w:firstLine="0"/>
        <w:rPr>
          <w:rFonts w:cs="Calibri"/>
        </w:rPr>
      </w:pPr>
      <w:r w:rsidRPr="009811A7">
        <w:rPr>
          <w:rFonts w:cs="Calibri"/>
        </w:rPr>
        <w:t>Semantics o</w:t>
      </w:r>
      <w:r w:rsidRPr="009811A7">
        <w:rPr>
          <w:rFonts w:eastAsia="MS Gothic" w:cs="Calibri"/>
        </w:rPr>
        <w:t>utweigh:</w:t>
      </w:r>
    </w:p>
    <w:p w14:paraId="1E952EC3" w14:textId="77777777" w:rsidR="00BB5584" w:rsidRPr="009811A7" w:rsidRDefault="00BB5584" w:rsidP="00BB5584">
      <w:pPr>
        <w:pStyle w:val="Heading4"/>
        <w:numPr>
          <w:ilvl w:val="1"/>
          <w:numId w:val="13"/>
        </w:numPr>
        <w:tabs>
          <w:tab w:val="num" w:pos="360"/>
          <w:tab w:val="num" w:pos="720"/>
        </w:tabs>
        <w:ind w:left="0" w:firstLine="0"/>
        <w:rPr>
          <w:rFonts w:cs="Calibri"/>
        </w:rPr>
      </w:pPr>
      <w:r w:rsidRPr="009811A7">
        <w:rPr>
          <w:rFonts w:cs="Calibri"/>
        </w:rPr>
        <w:t>T is a constitutive rule of the activity and a basic aff burden – they agreed to debate the topic when they came here</w:t>
      </w:r>
    </w:p>
    <w:p w14:paraId="5C2FC169" w14:textId="77777777" w:rsidR="00BB5584" w:rsidRPr="009811A7" w:rsidRDefault="00BB5584" w:rsidP="00BB5584">
      <w:pPr>
        <w:pStyle w:val="Heading4"/>
        <w:numPr>
          <w:ilvl w:val="1"/>
          <w:numId w:val="13"/>
        </w:numPr>
        <w:tabs>
          <w:tab w:val="num" w:pos="360"/>
          <w:tab w:val="num" w:pos="720"/>
        </w:tabs>
        <w:ind w:left="0" w:firstLine="0"/>
        <w:rPr>
          <w:rFonts w:cs="Calibri"/>
        </w:rPr>
      </w:pPr>
      <w:r w:rsidRPr="009811A7">
        <w:rPr>
          <w:rFonts w:cs="Calibri"/>
        </w:rPr>
        <w:t>Jurisdiction – you can’t vote aff if they haven’t affirmed the resolution</w:t>
      </w:r>
    </w:p>
    <w:p w14:paraId="2F1BB96E" w14:textId="77777777" w:rsidR="00BB5584" w:rsidRDefault="00BB5584" w:rsidP="00BB5584">
      <w:pPr>
        <w:pStyle w:val="Heading4"/>
        <w:numPr>
          <w:ilvl w:val="1"/>
          <w:numId w:val="13"/>
        </w:numPr>
        <w:tabs>
          <w:tab w:val="num" w:pos="360"/>
          <w:tab w:val="num" w:pos="72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55A57418" w14:textId="77777777" w:rsidR="00BB5584" w:rsidRPr="009811A7" w:rsidRDefault="00BB5584" w:rsidP="00BB5584"/>
    <w:p w14:paraId="4763B355" w14:textId="77777777" w:rsidR="00BB5584" w:rsidRPr="00122B32" w:rsidRDefault="00BB5584" w:rsidP="00BB5584">
      <w:pPr>
        <w:pStyle w:val="Heading4"/>
        <w:numPr>
          <w:ilvl w:val="0"/>
          <w:numId w:val="13"/>
        </w:numPr>
        <w:tabs>
          <w:tab w:val="num" w:pos="360"/>
          <w:tab w:val="num" w:pos="720"/>
        </w:tabs>
        <w:ind w:left="0" w:firstLine="0"/>
        <w:rPr>
          <w:rFonts w:cs="Calibri"/>
        </w:rPr>
      </w:pPr>
      <w:r w:rsidRPr="009811A7">
        <w:rPr>
          <w:rFonts w:cs="Calibri"/>
        </w:rPr>
        <w:t xml:space="preserve">Limits – there are countless affs accounting for thousands of medicines – unlimited topics incentivize obscure affs that negs won’t have prep on – limits are key to reciprocal prep burden – potential abuse doesn’t justify foregoing the topic and 1AR theory </w:t>
      </w:r>
      <w:r>
        <w:rPr>
          <w:rFonts w:cs="Calibri"/>
        </w:rPr>
        <w:t xml:space="preserve">and functional limits </w:t>
      </w:r>
      <w:r w:rsidRPr="009811A7">
        <w:rPr>
          <w:rFonts w:cs="Calibri"/>
        </w:rPr>
        <w:t>checks PICs</w:t>
      </w:r>
    </w:p>
    <w:p w14:paraId="56E38BF5" w14:textId="77777777" w:rsidR="00BB5584" w:rsidRPr="009811A7" w:rsidRDefault="00BB5584" w:rsidP="00BB5584"/>
    <w:p w14:paraId="727D2C2A" w14:textId="77777777" w:rsidR="00BB5584" w:rsidRPr="009811A7" w:rsidRDefault="00BB5584" w:rsidP="00BB5584">
      <w:pPr>
        <w:pStyle w:val="Heading4"/>
        <w:rPr>
          <w:rFonts w:cs="Calibri"/>
        </w:rPr>
      </w:pPr>
      <w:r w:rsidRPr="009811A7">
        <w:rPr>
          <w:rFonts w:cs="Calibri"/>
        </w:rPr>
        <w:t xml:space="preserve">There are over 20,000 affs </w:t>
      </w:r>
    </w:p>
    <w:p w14:paraId="47143241" w14:textId="77777777" w:rsidR="00BB5584" w:rsidRPr="009811A7" w:rsidRDefault="00BB5584" w:rsidP="00BB5584">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6CD8D023" w14:textId="77777777" w:rsidR="00BB5584" w:rsidRPr="009811A7" w:rsidRDefault="00BB5584" w:rsidP="00BB5584">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54B5B777" w14:textId="77777777" w:rsidR="00BB5584" w:rsidRPr="009811A7" w:rsidRDefault="00BB5584" w:rsidP="00BB5584">
      <w:pPr>
        <w:rPr>
          <w:sz w:val="12"/>
          <w:szCs w:val="12"/>
        </w:rPr>
      </w:pPr>
      <w:r w:rsidRPr="009811A7">
        <w:rPr>
          <w:sz w:val="12"/>
          <w:szCs w:val="12"/>
        </w:rPr>
        <w:t>FDA oversees over 6,500 different medical device product categories.</w:t>
      </w:r>
    </w:p>
    <w:p w14:paraId="5A4C27AC" w14:textId="77777777" w:rsidR="00BB5584" w:rsidRPr="009811A7" w:rsidRDefault="00BB5584" w:rsidP="00BB5584">
      <w:pPr>
        <w:rPr>
          <w:sz w:val="12"/>
          <w:szCs w:val="12"/>
        </w:rPr>
      </w:pPr>
      <w:r w:rsidRPr="009811A7">
        <w:rPr>
          <w:sz w:val="12"/>
          <w:szCs w:val="12"/>
        </w:rPr>
        <w:t>There are over 1,600 FDA-approved animal drug products.</w:t>
      </w:r>
    </w:p>
    <w:p w14:paraId="369ACA5A" w14:textId="77777777" w:rsidR="00BB5584" w:rsidRPr="009811A7" w:rsidRDefault="00BB5584" w:rsidP="00BB5584">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6B51A281" w14:textId="77777777" w:rsidR="00BB5584" w:rsidRPr="009811A7" w:rsidRDefault="00BB5584" w:rsidP="00BB5584"/>
    <w:p w14:paraId="35D41777" w14:textId="77777777" w:rsidR="00BB5584" w:rsidRDefault="00BB5584" w:rsidP="00BB5584">
      <w:pPr>
        <w:pStyle w:val="Heading4"/>
        <w:numPr>
          <w:ilvl w:val="0"/>
          <w:numId w:val="13"/>
        </w:numPr>
        <w:tabs>
          <w:tab w:val="num" w:pos="360"/>
          <w:tab w:val="num" w:pos="720"/>
        </w:tabs>
        <w:ind w:left="0" w:firstLine="0"/>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2494F996" w14:textId="77777777" w:rsidR="00BB5584" w:rsidRPr="009811A7" w:rsidRDefault="00BB5584" w:rsidP="00BB5584"/>
    <w:p w14:paraId="0237C2AB" w14:textId="77777777" w:rsidR="00BB5584" w:rsidRPr="009811A7" w:rsidRDefault="00BB5584" w:rsidP="00BB5584">
      <w:pPr>
        <w:pStyle w:val="Heading4"/>
        <w:numPr>
          <w:ilvl w:val="0"/>
          <w:numId w:val="13"/>
        </w:numPr>
        <w:tabs>
          <w:tab w:val="num" w:pos="360"/>
          <w:tab w:val="num" w:pos="720"/>
        </w:tabs>
        <w:ind w:left="0" w:firstLine="0"/>
        <w:rPr>
          <w:rFonts w:cs="Calibri"/>
        </w:rPr>
      </w:pPr>
      <w:r w:rsidRPr="009811A7">
        <w:rPr>
          <w:rFonts w:cs="Calibri"/>
        </w:rPr>
        <w:t>TVA solves – read as an advantage to whole rez</w:t>
      </w:r>
    </w:p>
    <w:p w14:paraId="3033BF10" w14:textId="77777777" w:rsidR="00BB5584" w:rsidRPr="009811A7" w:rsidRDefault="00BB5584" w:rsidP="00BB5584"/>
    <w:p w14:paraId="4C359158" w14:textId="77777777" w:rsidR="00BB5584" w:rsidRPr="009811A7" w:rsidRDefault="00BB5584" w:rsidP="00BB5584">
      <w:pPr>
        <w:pStyle w:val="Heading4"/>
        <w:rPr>
          <w:rFonts w:cs="Calibri"/>
        </w:rPr>
      </w:pPr>
      <w:r w:rsidRPr="009811A7">
        <w:rPr>
          <w:rFonts w:cs="Calibri"/>
        </w:rPr>
        <w:t>Paradigm issues:</w:t>
      </w:r>
    </w:p>
    <w:p w14:paraId="3E15C738" w14:textId="77777777" w:rsidR="00BB5584" w:rsidRPr="009811A7" w:rsidRDefault="00BB5584" w:rsidP="00BB5584">
      <w:pPr>
        <w:pStyle w:val="Heading4"/>
        <w:numPr>
          <w:ilvl w:val="0"/>
          <w:numId w:val="14"/>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6488788C" w14:textId="77777777" w:rsidR="00BB5584" w:rsidRPr="009811A7" w:rsidRDefault="00BB5584" w:rsidP="00BB5584">
      <w:pPr>
        <w:pStyle w:val="Heading4"/>
        <w:numPr>
          <w:ilvl w:val="0"/>
          <w:numId w:val="14"/>
        </w:numPr>
        <w:tabs>
          <w:tab w:val="num" w:pos="360"/>
          <w:tab w:val="num" w:pos="1080"/>
        </w:tabs>
        <w:ind w:left="0" w:firstLine="0"/>
        <w:rPr>
          <w:rFonts w:cs="Calibri"/>
        </w:rPr>
      </w:pPr>
      <w:r w:rsidRPr="009811A7">
        <w:rPr>
          <w:rFonts w:cs="Calibri"/>
        </w:rPr>
        <w:t>Comes before 1AR theory – NC abuse is responsive to them not being topical</w:t>
      </w:r>
    </w:p>
    <w:p w14:paraId="62857E74" w14:textId="77777777" w:rsidR="00BB5584" w:rsidRPr="009811A7" w:rsidRDefault="00BB5584" w:rsidP="00BB5584">
      <w:pPr>
        <w:pStyle w:val="Heading4"/>
        <w:numPr>
          <w:ilvl w:val="0"/>
          <w:numId w:val="14"/>
        </w:numPr>
        <w:tabs>
          <w:tab w:val="num" w:pos="360"/>
          <w:tab w:val="num" w:pos="1080"/>
        </w:tabs>
        <w:ind w:left="0" w:firstLine="0"/>
        <w:rPr>
          <w:rFonts w:cs="Calibri"/>
        </w:rPr>
      </w:pPr>
      <w:r w:rsidRPr="009811A7">
        <w:rPr>
          <w:rFonts w:cs="Calibri"/>
        </w:rPr>
        <w:t>Competing interps – reasonability invites arbitrary judge intervention and a race to the bottom of questionable argumentation</w:t>
      </w:r>
    </w:p>
    <w:p w14:paraId="3651220D" w14:textId="77777777" w:rsidR="00BB5584" w:rsidRPr="009811A7" w:rsidRDefault="00BB5584" w:rsidP="00BB5584">
      <w:pPr>
        <w:pStyle w:val="Heading4"/>
        <w:numPr>
          <w:ilvl w:val="0"/>
          <w:numId w:val="14"/>
        </w:numPr>
        <w:tabs>
          <w:tab w:val="num" w:pos="360"/>
          <w:tab w:val="num" w:pos="108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61941481" w14:textId="77777777" w:rsidR="00BB5584" w:rsidRPr="009811A7" w:rsidRDefault="00BB5584" w:rsidP="00BB5584">
      <w:pPr>
        <w:pStyle w:val="Heading4"/>
        <w:numPr>
          <w:ilvl w:val="0"/>
          <w:numId w:val="14"/>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08E37328" w14:textId="77777777" w:rsidR="00BB5584" w:rsidRPr="0072701E" w:rsidRDefault="00BB5584" w:rsidP="00BB5584">
      <w:pPr>
        <w:pStyle w:val="Heading4"/>
        <w:numPr>
          <w:ilvl w:val="0"/>
          <w:numId w:val="14"/>
        </w:numPr>
        <w:tabs>
          <w:tab w:val="num" w:pos="360"/>
          <w:tab w:val="num" w:pos="1080"/>
        </w:tabs>
        <w:ind w:left="0" w:firstLine="0"/>
        <w:rPr>
          <w:rFonts w:cs="Calibri"/>
        </w:rPr>
      </w:pPr>
      <w:r w:rsidRPr="009811A7">
        <w:rPr>
          <w:rFonts w:cs="Calibri"/>
        </w:rPr>
        <w:t>Education is a voter – why schools fund debate</w:t>
      </w:r>
    </w:p>
    <w:p w14:paraId="18C5744A" w14:textId="77777777" w:rsidR="00BB5584" w:rsidRDefault="00BB5584" w:rsidP="00BB5584">
      <w:pPr>
        <w:pStyle w:val="Heading2"/>
      </w:pPr>
      <w:r>
        <w:t xml:space="preserve"> CP</w:t>
      </w:r>
    </w:p>
    <w:p w14:paraId="6A0AFB8B" w14:textId="77777777" w:rsidR="00BB5584" w:rsidRPr="00183057" w:rsidRDefault="00BB5584" w:rsidP="00BB5584">
      <w:pPr>
        <w:pStyle w:val="Heading4"/>
        <w:rPr>
          <w:rFonts w:cs="Calibri"/>
          <w:color w:val="000000" w:themeColor="text1"/>
        </w:rPr>
      </w:pPr>
      <w:r w:rsidRPr="00183057">
        <w:rPr>
          <w:rFonts w:cs="Calibri"/>
          <w:color w:val="000000" w:themeColor="text1"/>
        </w:rPr>
        <w:t xml:space="preserve">CP: The member nations of the world trade organization ought to – </w:t>
      </w:r>
    </w:p>
    <w:p w14:paraId="4260FA55" w14:textId="77777777" w:rsidR="00BB5584" w:rsidRPr="00183057" w:rsidRDefault="00BB5584" w:rsidP="00BB5584">
      <w:pPr>
        <w:pStyle w:val="Heading4"/>
        <w:rPr>
          <w:rFonts w:cs="Calibri"/>
          <w:color w:val="000000" w:themeColor="text1"/>
        </w:rPr>
      </w:pPr>
      <w:r w:rsidRPr="00183057">
        <w:rPr>
          <w:rFonts w:cs="Calibri"/>
          <w:color w:val="000000" w:themeColor="text1"/>
        </w:rPr>
        <w:t>--</w:t>
      </w:r>
      <w:r>
        <w:rPr>
          <w:rFonts w:cs="Calibri"/>
          <w:color w:val="000000" w:themeColor="text1"/>
        </w:rPr>
        <w:t>-</w:t>
      </w:r>
      <w:r w:rsidRPr="00183057">
        <w:rPr>
          <w:rFonts w:cs="Calibri"/>
          <w:color w:val="000000" w:themeColor="text1"/>
        </w:rPr>
        <w:t>create a new form of Sui Generis patent applications as per Vezina 20</w:t>
      </w:r>
    </w:p>
    <w:p w14:paraId="1D706BDE" w14:textId="77777777" w:rsidR="00BB5584" w:rsidRPr="00183057" w:rsidRDefault="00BB5584" w:rsidP="00BB5584">
      <w:pPr>
        <w:pStyle w:val="Heading4"/>
        <w:rPr>
          <w:color w:val="000000" w:themeColor="text1"/>
        </w:rPr>
      </w:pPr>
      <w:r w:rsidRPr="00183057">
        <w:rPr>
          <w:color w:val="000000" w:themeColor="text1"/>
        </w:rPr>
        <w:t>---Grant this form of patent to Indigenous peoples</w:t>
      </w:r>
    </w:p>
    <w:p w14:paraId="7CE6E715" w14:textId="77777777" w:rsidR="00BB5584" w:rsidRPr="00183057" w:rsidRDefault="00BB5584" w:rsidP="00BB5584">
      <w:pPr>
        <w:pStyle w:val="Heading4"/>
        <w:rPr>
          <w:color w:val="000000" w:themeColor="text1"/>
        </w:rPr>
      </w:pPr>
      <w:r>
        <w:rPr>
          <w:color w:val="000000" w:themeColor="text1"/>
        </w:rPr>
        <w:t>---</w:t>
      </w:r>
      <w:r w:rsidRPr="00183057">
        <w:rPr>
          <w:color w:val="000000" w:themeColor="text1"/>
        </w:rPr>
        <w:t>Exclude non Indigenous groups from applying for Sui Generis patents</w:t>
      </w:r>
      <w:r>
        <w:rPr>
          <w:color w:val="000000" w:themeColor="text1"/>
        </w:rPr>
        <w:t xml:space="preserve"> and reduce intellectual property protections for medicines for non Indigenous groups</w:t>
      </w:r>
    </w:p>
    <w:p w14:paraId="413BFCC0" w14:textId="77777777" w:rsidR="00BB5584" w:rsidRPr="00183057" w:rsidRDefault="00BB5584" w:rsidP="00BB5584">
      <w:pPr>
        <w:pStyle w:val="Heading4"/>
        <w:rPr>
          <w:color w:val="000000" w:themeColor="text1"/>
        </w:rPr>
      </w:pPr>
      <w:r w:rsidRPr="00183057">
        <w:rPr>
          <w:color w:val="000000" w:themeColor="text1"/>
        </w:rPr>
        <w:t>Sui generis moral rights framework emphasizing guardianship over ownership and are the only way to stop the appropriate that comes with public knowledge</w:t>
      </w:r>
      <w:r>
        <w:rPr>
          <w:color w:val="000000" w:themeColor="text1"/>
        </w:rPr>
        <w:t xml:space="preserve"> – answers the reforms fail ev bc it bars settlers from using knowledge which isn’t sharing – also solves K of IPR used by Indigenous groups bc it uses a new fw</w:t>
      </w:r>
    </w:p>
    <w:p w14:paraId="355C2FC9" w14:textId="77777777" w:rsidR="00BB5584" w:rsidRPr="00B3448B" w:rsidRDefault="00BB5584" w:rsidP="00BB5584">
      <w:r w:rsidRPr="00B3448B">
        <w:rPr>
          <w:rStyle w:val="Style13ptBold"/>
        </w:rPr>
        <w:t xml:space="preserve">Vézina 20 </w:t>
      </w:r>
      <w:r w:rsidRPr="00B3448B">
        <w:t xml:space="preserve">“Ensuring Respect for Indigenous Cultures A Moral Rights Approach” Brigitte Vézina [fellow at the Canadian think tank Centre for International Governance Innovation. She holds a bachelor’s degree in law from the Université de Montréal and a master’s in law from Georgetown University], Centre for International Governance Innovation Papers No. 243 — May 2020, </w:t>
      </w:r>
      <w:hyperlink r:id="rId9" w:history="1">
        <w:r w:rsidRPr="00B3448B">
          <w:rPr>
            <w:rStyle w:val="Hyperlink"/>
          </w:rPr>
          <w:t>https://www.cigionline.org/static/documents/documents/vezina-paper_1.pdf</w:t>
        </w:r>
      </w:hyperlink>
      <w:r w:rsidRPr="00B3448B">
        <w:t xml:space="preserve"> SM</w:t>
      </w:r>
    </w:p>
    <w:p w14:paraId="2CA20A49" w14:textId="77777777" w:rsidR="00BB5584" w:rsidRPr="00B3448B" w:rsidRDefault="00BB5584" w:rsidP="00BB5584">
      <w:pPr>
        <w:rPr>
          <w:rStyle w:val="StyleUnderline"/>
        </w:rPr>
      </w:pPr>
      <w:r w:rsidRPr="00B3448B">
        <w:rPr>
          <w:rStyle w:val="StyleUnderline"/>
        </w:rPr>
        <w:t>Features of a Sui Generis Moral Rights-type Framework</w:t>
      </w:r>
    </w:p>
    <w:p w14:paraId="5F716B4F" w14:textId="77777777" w:rsidR="00BB5584" w:rsidRPr="00B3448B" w:rsidRDefault="00BB5584" w:rsidP="00BB5584">
      <w:r w:rsidRPr="00B3448B">
        <w:t>Subject Matter and Beneficiaries</w:t>
      </w:r>
    </w:p>
    <w:p w14:paraId="1D2E98E8" w14:textId="77777777" w:rsidR="00BB5584" w:rsidRPr="00B3448B" w:rsidRDefault="00BB5584" w:rsidP="00BB5584">
      <w:r w:rsidRPr="00B3448B">
        <w:t xml:space="preserve">TCEs that maintain a current and significant relationship with the Indigenous peoples who hold them would be protected. As long as a community, as a whole and by virtue of its own internal cultural rules, identifies with a specific form of expression and can establish a particular relationship with it, it can claim protection over it. As Susy Frankel points out, </w:t>
      </w:r>
      <w:r w:rsidRPr="00B3448B">
        <w:rPr>
          <w:rStyle w:val="StyleUnderline"/>
        </w:rPr>
        <w:t xml:space="preserve">the key rationale in favour of protecting TCEs is the guardianship relationship, from which proportionate moral rights flow.155 </w:t>
      </w:r>
      <w:r w:rsidRPr="00B3448B">
        <w:rPr>
          <w:rStyle w:val="StyleUnderline"/>
          <w:highlight w:val="green"/>
        </w:rPr>
        <w:t>Guardianship is to be contrasted with ownership</w:t>
      </w:r>
      <w:r w:rsidRPr="00B3448B">
        <w:rPr>
          <w:rStyle w:val="StyleUnderline"/>
        </w:rPr>
        <w:t>, which is the concept buttressing most IP law systems, with the notable exception of moral rights</w:t>
      </w:r>
      <w:r w:rsidRPr="00B3448B">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1FACC2A4" w14:textId="77777777" w:rsidR="00BB5584" w:rsidRPr="00B3448B" w:rsidRDefault="00BB5584" w:rsidP="00BB5584">
      <w:pPr>
        <w:rPr>
          <w:rStyle w:val="StyleUnderline"/>
        </w:rPr>
      </w:pPr>
      <w:r w:rsidRPr="00B3448B">
        <w:t xml:space="preserve">Obviously, </w:t>
      </w:r>
      <w:r w:rsidRPr="00B3448B">
        <w:rPr>
          <w:rStyle w:val="StyleUnderline"/>
          <w:highlight w:val="green"/>
        </w:rPr>
        <w:t>cultures</w:t>
      </w:r>
      <w:r w:rsidRPr="00B3448B">
        <w:rPr>
          <w:rStyle w:val="StyleUnderline"/>
        </w:rPr>
        <w:t xml:space="preserve"> are seldom unique to a people. TCEs </w:t>
      </w:r>
      <w:r w:rsidRPr="00B3448B">
        <w:rPr>
          <w:rStyle w:val="StyleUnderline"/>
          <w:highlight w:val="green"/>
        </w:rPr>
        <w:t>might be shared among different Indigenous groups</w:t>
      </w:r>
      <w:r w:rsidRPr="00B3448B">
        <w:rPr>
          <w:rStyle w:val="StyleUnderline"/>
        </w:rPr>
        <w:t xml:space="preserve"> that all identify and hold a guardianship relationship with them. In such cases, procedures should be in place to facilitate cooperation and settlement of disputes</w:t>
      </w:r>
      <w:r w:rsidRPr="00B3448B">
        <w:t>.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Mixe huipil at stake in the Isabel Marant case, some were quick to point out that the embroideries had, in the upshot of the Spanish conquest, incorporated European elements.</w:t>
      </w:r>
      <w:r w:rsidRPr="00B3448B">
        <w:rPr>
          <w:rStyle w:val="StyleUnderline"/>
        </w:rPr>
        <w:t xml:space="preserve">159 Hence, </w:t>
      </w:r>
      <w:r w:rsidRPr="00B3448B">
        <w:rPr>
          <w:rStyle w:val="StyleUnderline"/>
          <w:highlight w:val="green"/>
        </w:rPr>
        <w:t>when considering a relationship between a TCE and its holder, one should not exact</w:t>
      </w:r>
      <w:r w:rsidRPr="00B3448B">
        <w:rPr>
          <w:rStyle w:val="StyleUnderline"/>
        </w:rPr>
        <w:t xml:space="preserve"> uniqueness or </w:t>
      </w:r>
      <w:r w:rsidRPr="00B3448B">
        <w:rPr>
          <w:rStyle w:val="StyleUnderline"/>
          <w:highlight w:val="green"/>
        </w:rPr>
        <w:t>exclusiveness, but embrace</w:t>
      </w:r>
      <w:r w:rsidRPr="00B3448B">
        <w:rPr>
          <w:rStyle w:val="StyleUnderline"/>
        </w:rPr>
        <w:t xml:space="preserve"> the fact </w:t>
      </w:r>
      <w:r w:rsidRPr="00B3448B">
        <w:rPr>
          <w:rStyle w:val="StyleUnderline"/>
          <w:highlight w:val="green"/>
        </w:rPr>
        <w:t>that a group can identify with</w:t>
      </w:r>
      <w:r w:rsidRPr="00B3448B">
        <w:rPr>
          <w:rStyle w:val="StyleUnderline"/>
        </w:rPr>
        <w:t xml:space="preserve"> </w:t>
      </w:r>
      <w:r w:rsidRPr="00B3448B">
        <w:rPr>
          <w:rStyle w:val="StyleUnderline"/>
          <w:highlight w:val="green"/>
        </w:rPr>
        <w:t>TCEs that are</w:t>
      </w:r>
      <w:r w:rsidRPr="00B3448B">
        <w:rPr>
          <w:rStyle w:val="StyleUnderline"/>
        </w:rPr>
        <w:t xml:space="preserve"> dynamic and </w:t>
      </w:r>
      <w:r w:rsidRPr="00B3448B">
        <w:rPr>
          <w:rStyle w:val="StyleUnderline"/>
          <w:highlight w:val="green"/>
        </w:rPr>
        <w:t>kaleidoscopic,</w:t>
      </w:r>
      <w:r w:rsidRPr="00B3448B">
        <w:rPr>
          <w:rStyle w:val="StyleUnderline"/>
        </w:rPr>
        <w:t xml:space="preserve"> all the while remaining authentic.</w:t>
      </w:r>
    </w:p>
    <w:p w14:paraId="41B3D68F" w14:textId="77777777" w:rsidR="00BB5584" w:rsidRPr="00B3448B" w:rsidRDefault="00BB5584" w:rsidP="00BB5584">
      <w:r w:rsidRPr="00B3448B">
        <w:rPr>
          <w:rStyle w:val="StyleUnderline"/>
        </w:rPr>
        <w:t xml:space="preserve">Beneficiaries of protection should be TCE holding Indigenous communities as a whole, such that moral rights would be afforded to the entire community as group rights. </w:t>
      </w:r>
      <w:r w:rsidRPr="00B3448B">
        <w:rPr>
          <w:rStyle w:val="StyleUnderline"/>
          <w:highlight w:val="green"/>
        </w:rPr>
        <w:t>Recognition of beneficiaries</w:t>
      </w:r>
      <w:r w:rsidRPr="00B3448B">
        <w:rPr>
          <w:rStyle w:val="StyleUnderline"/>
        </w:rPr>
        <w:t xml:space="preserve"> as well as determination of the authority to exercise the rights </w:t>
      </w:r>
      <w:r w:rsidRPr="00B3448B">
        <w:rPr>
          <w:rStyle w:val="StyleUnderline"/>
          <w:highlight w:val="green"/>
        </w:rPr>
        <w:t>would have to be done from within</w:t>
      </w:r>
      <w:r w:rsidRPr="00B3448B">
        <w:rPr>
          <w:rStyle w:val="StyleUnderline"/>
        </w:rPr>
        <w:t xml:space="preserve"> the community, </w:t>
      </w:r>
      <w:r w:rsidRPr="00B3448B">
        <w:rPr>
          <w:rStyle w:val="StyleUnderline"/>
          <w:highlight w:val="green"/>
        </w:rPr>
        <w:t>by way of application of customary law1</w:t>
      </w:r>
      <w:r w:rsidRPr="00B3448B">
        <w:rPr>
          <w:rStyle w:val="StyleUnderline"/>
        </w:rPr>
        <w:t xml:space="preserve">60 or be captured under the legal constructs of trusts, associations, or other legal entities holding the rights.161 Indigenous communities need to have </w:t>
      </w:r>
      <w:r w:rsidRPr="00B3448B">
        <w:rPr>
          <w:rStyle w:val="StyleUnderline"/>
          <w:highlight w:val="green"/>
        </w:rPr>
        <w:t>the autonomy to exercise</w:t>
      </w:r>
      <w:r w:rsidRPr="00B3448B">
        <w:rPr>
          <w:rStyle w:val="StyleUnderline"/>
        </w:rPr>
        <w:t xml:space="preserve"> control over and make </w:t>
      </w:r>
      <w:r w:rsidRPr="00B3448B">
        <w:rPr>
          <w:rStyle w:val="StyleUnderline"/>
          <w:highlight w:val="green"/>
        </w:rPr>
        <w:t>their own decisions regarding</w:t>
      </w:r>
      <w:r w:rsidRPr="00B3448B">
        <w:rPr>
          <w:rStyle w:val="StyleUnderline"/>
        </w:rPr>
        <w:t xml:space="preserve"> the </w:t>
      </w:r>
      <w:r w:rsidRPr="00B3448B">
        <w:rPr>
          <w:rStyle w:val="StyleUnderline"/>
          <w:highlight w:val="green"/>
        </w:rPr>
        <w:t>management</w:t>
      </w:r>
      <w:r w:rsidRPr="00B3448B">
        <w:rPr>
          <w:rStyle w:val="StyleUnderline"/>
        </w:rPr>
        <w:t xml:space="preserve"> of their moral rights in their TCEs</w:t>
      </w:r>
      <w:r w:rsidRPr="00B3448B">
        <w:t>.162</w:t>
      </w:r>
    </w:p>
    <w:p w14:paraId="2B3B02A5" w14:textId="77777777" w:rsidR="00BB5584" w:rsidRPr="00B3448B" w:rsidRDefault="00BB5584" w:rsidP="00BB5584">
      <w:r w:rsidRPr="00B3448B">
        <w:t>Scope of Protection</w:t>
      </w:r>
    </w:p>
    <w:p w14:paraId="11E12D7D" w14:textId="77777777" w:rsidR="00BB5584" w:rsidRPr="00B3448B" w:rsidRDefault="00BB5584" w:rsidP="00BB5584">
      <w:pPr>
        <w:rPr>
          <w:rStyle w:val="StyleUnderline"/>
        </w:rPr>
      </w:pPr>
      <w:r w:rsidRPr="00B3448B">
        <w:rPr>
          <w:rStyle w:val="StyleUnderline"/>
        </w:rPr>
        <w:t>At first glance, it is difficult to reconcile the notion of personhood, the cornerstone of moral rights, with the pluralistic conception of a community, by definition made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069ADB12" w14:textId="77777777" w:rsidR="00BB5584" w:rsidRPr="00B3448B" w:rsidRDefault="00BB5584" w:rsidP="00BB5584">
      <w:r w:rsidRPr="00B3448B">
        <w:rPr>
          <w:rStyle w:val="StyleUnderline"/>
        </w:rPr>
        <w:t>Forasmuch as TCEs are collectively and communally held, so too must the moral rights of Indigenous peoples be communal.</w:t>
      </w:r>
      <w:r w:rsidRPr="00B3448B">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7DD30007" w14:textId="77777777" w:rsidR="00BB5584" w:rsidRPr="00B3448B" w:rsidRDefault="00BB5584" w:rsidP="00BB5584">
      <w:r w:rsidRPr="00B3448B">
        <w:rPr>
          <w:rStyle w:val="StyleUnderline"/>
        </w:rPr>
        <w:t>Moral rights would only regulate the relationship between the community and the outside world; use in a traditional and customary context would not be affected</w:t>
      </w:r>
      <w:r w:rsidRPr="00B3448B">
        <w:t>. Just as moral rights vest automatically in the author (without any need for registration or any other form of assertion), so too would sui generis moral rights vest in the community.</w:t>
      </w:r>
    </w:p>
    <w:p w14:paraId="22B4F91E" w14:textId="77777777" w:rsidR="00BB5584" w:rsidRPr="00B3448B" w:rsidRDefault="00BB5584" w:rsidP="00BB5584">
      <w:r w:rsidRPr="00B3448B">
        <w:rPr>
          <w:rStyle w:val="StyleUnderline"/>
        </w:rPr>
        <w:t>Communal moral rights would include, at a minimum, the right of attribution, including false attribution</w:t>
      </w:r>
      <w:r w:rsidRPr="00B3448B">
        <w:t xml:space="preserve"> (to ensure proper recognition of the community as the source and to prevent others from falsely claiming a guardianship over a TCE) </w:t>
      </w:r>
      <w:r w:rsidRPr="00B3448B">
        <w:rPr>
          <w:rStyle w:val="StyleUnderline"/>
        </w:rPr>
        <w:t>and integrity</w:t>
      </w:r>
      <w:r w:rsidRPr="00B3448B">
        <w:t xml:space="preserve"> (to protect TCEs against inappropriate, derogatory, or culturally insensitive use). </w:t>
      </w:r>
      <w:r w:rsidRPr="00B3448B">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rsidRPr="00B3448B">
        <w:t xml:space="preserve"> (to allow TCE holders to remove from circulation the TCEs that they no longer wish to make publicly available).</w:t>
      </w:r>
    </w:p>
    <w:p w14:paraId="13C5AF05" w14:textId="77777777" w:rsidR="00BB5584" w:rsidRPr="00B3448B" w:rsidRDefault="00BB5584" w:rsidP="00BB5584">
      <w:pPr>
        <w:rPr>
          <w:rStyle w:val="StyleUnderline"/>
        </w:rPr>
      </w:pPr>
      <w:r w:rsidRPr="00B3448B">
        <w:t xml:space="preserve">In most national laws, </w:t>
      </w:r>
      <w:r w:rsidRPr="00B3448B">
        <w:rPr>
          <w:rStyle w:val="StyleUnderline"/>
          <w:highlight w:val="green"/>
        </w:rPr>
        <w:t>moral rights are inalienable or non-transferable</w:t>
      </w:r>
      <w:r w:rsidRPr="00B3448B">
        <w:t xml:space="preserve">. In other words, </w:t>
      </w:r>
      <w:r w:rsidRPr="00B3448B">
        <w:rPr>
          <w:rStyle w:val="StyleUnderline"/>
        </w:rPr>
        <w:t xml:space="preserve">they cannot be divested from the author — they </w:t>
      </w:r>
      <w:r w:rsidRPr="00B3448B">
        <w:rPr>
          <w:rStyle w:val="StyleUnderline"/>
          <w:highlight w:val="green"/>
        </w:rPr>
        <w:t>cannot be assigned, licensed or given away</w:t>
      </w:r>
      <w:r w:rsidRPr="00B3448B">
        <w:rPr>
          <w:rStyle w:val="StyleUnderline"/>
        </w:rPr>
        <w:t>.</w:t>
      </w:r>
      <w:r w:rsidRPr="00B3448B">
        <w:t xml:space="preserve"> As mentioned, if an author transfers all their economic rights to a third party, the author retains their moral rights in the work.168 As such, </w:t>
      </w:r>
      <w:r w:rsidRPr="00B3448B">
        <w:rPr>
          <w:rStyle w:val="StyleUnderline"/>
        </w:rPr>
        <w:t xml:space="preserve">sui generis moral rights in TCEs would be </w:t>
      </w:r>
      <w:r w:rsidRPr="00B3448B">
        <w:rPr>
          <w:rStyle w:val="StyleUnderline"/>
          <w:highlight w:val="green"/>
        </w:rPr>
        <w:t>independent from any economic right</w:t>
      </w:r>
      <w:r w:rsidRPr="00B3448B">
        <w:rPr>
          <w:rStyle w:val="StyleUnderline"/>
        </w:rPr>
        <w:t>s</w:t>
      </w:r>
      <w:r w:rsidRPr="00B3448B">
        <w:t xml:space="preserve"> that might arise and be held and exercised separately, regardless of who might hold these economic rights (in cases, for example, where communities would commercialize their TCEs and grant licences) or who might have physical ownership of a TCE (such as a cultural institution). However, in some jurisdictions, such as Canada, the United States and the United Kingdom (but not Australia and France), moral rights can be waived, irreversibly, in whole or in part, explicitly, by contract, at the discretion of the author. </w:t>
      </w:r>
      <w:r w:rsidRPr="00B3448B">
        <w:rPr>
          <w:rStyle w:val="StyleUnderline"/>
        </w:rPr>
        <w:t>In order to ensure flexible protection to TCEs, it could be envisaged that sui generis moral rights be made waivable.</w:t>
      </w:r>
    </w:p>
    <w:p w14:paraId="21D8125C" w14:textId="77777777" w:rsidR="00BB5584" w:rsidRDefault="00BB5584" w:rsidP="00BB5584">
      <w:r w:rsidRPr="00B3448B">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rsidRPr="00B3448B">
        <w:t>. Reliance on particular facts may be difficult to reconcile with the need for certainty and predictability, but flexibility trumps these concerns, as no use should be considered offensive per se.</w:t>
      </w:r>
    </w:p>
    <w:p w14:paraId="79450818" w14:textId="77777777" w:rsidR="00BB5584" w:rsidRDefault="00BB5584" w:rsidP="00BB5584">
      <w:pPr>
        <w:pStyle w:val="Heading4"/>
      </w:pPr>
      <w:r>
        <w:t>Their ev even agrees – 1AC McGonigle</w:t>
      </w:r>
    </w:p>
    <w:p w14:paraId="68547528" w14:textId="77777777" w:rsidR="00BB5584" w:rsidRPr="00B3448B" w:rsidRDefault="00BB5584" w:rsidP="00BB5584">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w:t>
      </w:r>
    </w:p>
    <w:p w14:paraId="0B1F63DD" w14:textId="77777777" w:rsidR="00BB5584" w:rsidRPr="00183057" w:rsidRDefault="00BB5584" w:rsidP="00BB5584">
      <w:pPr>
        <w:pStyle w:val="Heading4"/>
        <w:rPr>
          <w:rFonts w:cs="Calibri"/>
          <w:color w:val="000000" w:themeColor="text1"/>
        </w:rPr>
      </w:pPr>
      <w:r w:rsidRPr="00183057">
        <w:rPr>
          <w:rFonts w:cs="Calibri"/>
          <w:color w:val="000000" w:themeColor="text1"/>
        </w:rPr>
        <w:t xml:space="preserve">Reforming IPR is key to affirming native sovereignty. Solves the aff because it shifts away from western conceptions of property, but the perm fails since we think IPR is good. </w:t>
      </w:r>
    </w:p>
    <w:p w14:paraId="4E46D114" w14:textId="77777777" w:rsidR="00BB5584" w:rsidRPr="00B3448B" w:rsidRDefault="00BB5584" w:rsidP="00BB5584">
      <w:r w:rsidRPr="00B3448B">
        <w:rPr>
          <w:rStyle w:val="Style13ptBold"/>
        </w:rPr>
        <w:t xml:space="preserve">Younging 10 </w:t>
      </w:r>
      <w:r w:rsidRPr="00B3448B">
        <w:t xml:space="preserve">“Intergovernmental Committee On Intellectual Property And Genetic Resources Traditional Knowledge And Folklore” Seventeenth Session Geneva, December 6-10, 2010 Wipo Indigenous Panel On The Role Of The Public Domain Concept: Experiences In The Fields Of Genetic Resources, Traditional Knowledge And Traditional Cultural Expressions: Experiences From Canada Document prepared by Mr. Gregory Younging [Creative Rights Alliance, Kelowna, Canada, Opaskwayak Cree Nation-Canada] </w:t>
      </w:r>
      <w:hyperlink r:id="rId10" w:history="1">
        <w:r w:rsidRPr="00B3448B">
          <w:rPr>
            <w:rStyle w:val="Hyperlink"/>
          </w:rPr>
          <w:t>https://www.wipo.int/edocs/mdocs/tk/en/wipo_grtkf_ic_17/wipo_grtkf_ic_17_inf_5_a.pdf</w:t>
        </w:r>
      </w:hyperlink>
      <w:r w:rsidRPr="00B3448B">
        <w:t xml:space="preserve"> SM</w:t>
      </w:r>
    </w:p>
    <w:p w14:paraId="0DCFC429" w14:textId="77777777" w:rsidR="00BB5584" w:rsidRPr="00B3448B" w:rsidRDefault="00BB5584" w:rsidP="00BB5584">
      <w:pPr>
        <w:rPr>
          <w:rStyle w:val="StyleUnderline"/>
        </w:rPr>
      </w:pPr>
      <w:r w:rsidRPr="00B3448B">
        <w:rPr>
          <w:rStyle w:val="StyleUnderline"/>
        </w:rPr>
        <w:t>Under the IPR system, knowledge and creative ideas that are not “protected” are in the Public</w:t>
      </w:r>
    </w:p>
    <w:p w14:paraId="76A50ED7" w14:textId="77777777" w:rsidR="00BB5584" w:rsidRPr="00B3448B" w:rsidRDefault="00BB5584" w:rsidP="00BB5584">
      <w:pPr>
        <w:rPr>
          <w:rStyle w:val="StyleUnderline"/>
        </w:rPr>
      </w:pPr>
      <w:r w:rsidRPr="00B3448B">
        <w:rPr>
          <w:rStyle w:val="StyleUnderline"/>
        </w:rPr>
        <w:t>Domain (i.e. accessible by the public).</w:t>
      </w:r>
      <w:r w:rsidRPr="00B3448B">
        <w:t xml:space="preserve"> Generally, Indigenous peoples have not used IPRs to protect their knowledge; and so </w:t>
      </w:r>
      <w:r w:rsidRPr="00B3448B">
        <w:rPr>
          <w:rStyle w:val="StyleUnderline"/>
          <w:highlight w:val="green"/>
        </w:rPr>
        <w:t>TK</w:t>
      </w:r>
      <w:r w:rsidRPr="00B3448B">
        <w:rPr>
          <w:rStyle w:val="StyleUnderline"/>
        </w:rPr>
        <w:t xml:space="preserve"> is often </w:t>
      </w:r>
      <w:r w:rsidRPr="00B3448B">
        <w:rPr>
          <w:rStyle w:val="StyleUnderline"/>
          <w:highlight w:val="green"/>
        </w:rPr>
        <w:t>treated</w:t>
      </w:r>
      <w:r w:rsidRPr="00B3448B">
        <w:rPr>
          <w:rStyle w:val="StyleUnderline"/>
        </w:rPr>
        <w:t xml:space="preserve"> as if it is </w:t>
      </w:r>
      <w:r w:rsidRPr="00B3448B">
        <w:rPr>
          <w:rStyle w:val="StyleUnderline"/>
          <w:highlight w:val="green"/>
        </w:rPr>
        <w:t>in the Public Domain</w:t>
      </w:r>
      <w:r w:rsidRPr="00B3448B">
        <w:t xml:space="preserve"> – without regard for Customary Laws. Another key problem for TK is that </w:t>
      </w:r>
      <w:r w:rsidRPr="00B3448B">
        <w:rPr>
          <w:rStyle w:val="StyleUnderline"/>
        </w:rPr>
        <w:t xml:space="preserve">the </w:t>
      </w:r>
      <w:r w:rsidRPr="00B3448B">
        <w:rPr>
          <w:rStyle w:val="StyleUnderline"/>
          <w:highlight w:val="green"/>
        </w:rPr>
        <w:t>IPR</w:t>
      </w:r>
      <w:r w:rsidRPr="00B3448B">
        <w:rPr>
          <w:rStyle w:val="StyleUnderline"/>
        </w:rPr>
        <w:t xml:space="preserve"> system</w:t>
      </w:r>
      <w:r w:rsidRPr="00B3448B">
        <w:rPr>
          <w:rStyle w:val="StyleUnderline"/>
          <w:highlight w:val="green"/>
        </w:rPr>
        <w:t>’s</w:t>
      </w:r>
      <w:r w:rsidRPr="00B3448B">
        <w:rPr>
          <w:rStyle w:val="StyleUnderline"/>
        </w:rPr>
        <w:t xml:space="preserve"> </w:t>
      </w:r>
      <w:r w:rsidRPr="00B3448B">
        <w:rPr>
          <w:rStyle w:val="StyleUnderline"/>
          <w:highlight w:val="green"/>
        </w:rPr>
        <w:t>concept of the Public Domain is based on the premise that</w:t>
      </w:r>
      <w:r w:rsidRPr="00B3448B">
        <w:rPr>
          <w:rStyle w:val="StyleUnderline"/>
        </w:rPr>
        <w:t xml:space="preserve"> </w:t>
      </w:r>
      <w:r w:rsidRPr="00B3448B">
        <w:t xml:space="preserve">the author/creator deserves recognition and compensation for his/her work because it is the product of his/her genius; but </w:t>
      </w:r>
      <w:r w:rsidRPr="00B3448B">
        <w:rPr>
          <w:rStyle w:val="StyleUnderline"/>
        </w:rPr>
        <w:t xml:space="preserve">that </w:t>
      </w:r>
      <w:r w:rsidRPr="00B3448B">
        <w:rPr>
          <w:rStyle w:val="StyleUnderline"/>
          <w:highlight w:val="green"/>
        </w:rPr>
        <w:t>all of society must eventually</w:t>
      </w:r>
      <w:r w:rsidRPr="00B3448B">
        <w:rPr>
          <w:rStyle w:val="StyleUnderline"/>
        </w:rPr>
        <w:t xml:space="preserve"> be able to </w:t>
      </w:r>
      <w:r w:rsidRPr="00B3448B">
        <w:rPr>
          <w:rStyle w:val="StyleUnderline"/>
          <w:highlight w:val="green"/>
        </w:rPr>
        <w:t>benefit from that genius</w:t>
      </w:r>
      <w:r w:rsidRPr="00B3448B">
        <w:rPr>
          <w:rStyle w:val="StyleUnderline"/>
        </w:rPr>
        <w:t>. Therefore, according to this aspect of IPR theory, all knowledge and creative ideas must eventually enter the Public Domain. Under IPR theory, this is the reasoning behind the time period limitations associated with copyright, patents and trademarks.</w:t>
      </w:r>
    </w:p>
    <w:p w14:paraId="353745EB" w14:textId="77777777" w:rsidR="00BB5584" w:rsidRPr="00B3448B" w:rsidRDefault="00BB5584" w:rsidP="00BB5584">
      <w:r w:rsidRPr="00B3448B">
        <w:rPr>
          <w:rStyle w:val="StyleUnderline"/>
          <w:highlight w:val="green"/>
        </w:rPr>
        <w:t>The precept</w:t>
      </w:r>
      <w:r w:rsidRPr="00B3448B">
        <w:rPr>
          <w:rStyle w:val="StyleUnderline"/>
        </w:rPr>
        <w:t xml:space="preserve"> that all Intellectual Property, including TK, is intended to eventually enter the Public Domain </w:t>
      </w:r>
      <w:r w:rsidRPr="00B3448B">
        <w:rPr>
          <w:rStyle w:val="StyleUnderline"/>
          <w:highlight w:val="green"/>
        </w:rPr>
        <w:t>is a problem for Indigenous peoples because</w:t>
      </w:r>
      <w:r w:rsidRPr="00B3448B">
        <w:rPr>
          <w:rStyle w:val="StyleUnderline"/>
        </w:rPr>
        <w:t xml:space="preserve"> Customary Law dictates that certain aspects of </w:t>
      </w:r>
      <w:r w:rsidRPr="00B3448B">
        <w:rPr>
          <w:rStyle w:val="StyleUnderline"/>
          <w:highlight w:val="green"/>
        </w:rPr>
        <w:t xml:space="preserve">TK are not intended for external </w:t>
      </w:r>
      <w:r w:rsidRPr="00B3448B">
        <w:rPr>
          <w:rStyle w:val="StyleUnderline"/>
        </w:rPr>
        <w:t xml:space="preserve">access and </w:t>
      </w:r>
      <w:r w:rsidRPr="00B3448B">
        <w:rPr>
          <w:rStyle w:val="StyleUnderline"/>
          <w:highlight w:val="green"/>
        </w:rPr>
        <w:t>use</w:t>
      </w:r>
      <w:r w:rsidRPr="00B3448B">
        <w:rPr>
          <w:rStyle w:val="StyleUnderline"/>
        </w:rPr>
        <w:t xml:space="preserve"> in any form</w:t>
      </w:r>
      <w:r w:rsidRPr="00B3448B">
        <w:t xml:space="preserve">. As a response to this, there have been circumstances where </w:t>
      </w:r>
      <w:r w:rsidRPr="00B3448B">
        <w:rPr>
          <w:rStyle w:val="StyleUnderline"/>
          <w:highlight w:val="green"/>
        </w:rPr>
        <w:t xml:space="preserve">indigenous people have argued that </w:t>
      </w:r>
      <w:r w:rsidRPr="00B3448B">
        <w:rPr>
          <w:rStyle w:val="StyleUnderline"/>
        </w:rPr>
        <w:t xml:space="preserve">some knowledge should be withdrawn from circulation and that for specific kinds of knowledge, </w:t>
      </w:r>
      <w:r w:rsidRPr="00B3448B">
        <w:rPr>
          <w:rStyle w:val="StyleUnderline"/>
          <w:highlight w:val="green"/>
        </w:rPr>
        <w:t>protection should be granted in perpetuity</w:t>
      </w:r>
      <w:r w:rsidRPr="00B3448B">
        <w:t>.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medicines and motifs. However, the present reality is that TK is, or will be, in the Public Domain (i.e., the IPR system overrides Customary Law.)</w:t>
      </w:r>
    </w:p>
    <w:p w14:paraId="24820CEF" w14:textId="77777777" w:rsidR="00BB5584" w:rsidRPr="00B3448B" w:rsidRDefault="00BB5584" w:rsidP="00BB5584">
      <w:pPr>
        <w:rPr>
          <w:rStyle w:val="StyleUnderline"/>
        </w:rPr>
      </w:pPr>
      <w:r w:rsidRPr="00B3448B">
        <w:rPr>
          <w:rStyle w:val="StyleUnderline"/>
        </w:rPr>
        <w:t>Certain aspects of TK should not enter the public domain (as deemed under Customary Law) and should remain protected as such into perpetuity, which could be expressed as a form of “Indigenous private domain.”</w:t>
      </w:r>
      <w:r w:rsidRPr="00B3448B">
        <w:t xml:space="preserve"> (Younging 2007). </w:t>
      </w:r>
      <w:r w:rsidRPr="00B3448B">
        <w:rPr>
          <w:rStyle w:val="StyleUnderline"/>
        </w:rPr>
        <w:t xml:space="preserve">Indigenous peoples’ historical </w:t>
      </w:r>
      <w:r w:rsidRPr="00B3448B">
        <w:rPr>
          <w:rStyle w:val="StyleUnderline"/>
          <w:highlight w:val="green"/>
        </w:rPr>
        <w:t>exclusion from the broad category of ‘public’</w:t>
      </w:r>
      <w:r w:rsidRPr="00B3448B">
        <w:rPr>
          <w:rStyle w:val="StyleUnderline"/>
        </w:rPr>
        <w:t xml:space="preserve"> feeds part of the differences in objectives. </w:t>
      </w:r>
      <w:r w:rsidRPr="00B3448B">
        <w:rPr>
          <w:rStyle w:val="StyleUnderline"/>
          <w:highlight w:val="green"/>
        </w:rPr>
        <w:t>Indigenous peoples</w:t>
      </w:r>
      <w:r w:rsidRPr="00B3448B">
        <w:rPr>
          <w:rStyle w:val="StyleUnderline"/>
        </w:rPr>
        <w:t xml:space="preserve"> also </w:t>
      </w:r>
      <w:r w:rsidRPr="00B3448B">
        <w:rPr>
          <w:rStyle w:val="StyleUnderline"/>
          <w:highlight w:val="green"/>
        </w:rPr>
        <w:t xml:space="preserve">present different perceptions of </w:t>
      </w:r>
      <w:r w:rsidRPr="00B3448B">
        <w:rPr>
          <w:rStyle w:val="StyleUnderline"/>
        </w:rPr>
        <w:t xml:space="preserve">knowledge, </w:t>
      </w:r>
      <w:r w:rsidRPr="00B3448B">
        <w:rPr>
          <w:rStyle w:val="StyleUnderline"/>
          <w:highlight w:val="green"/>
        </w:rPr>
        <w:t>the cultural and political contexts from which knowledge emerges,</w:t>
      </w:r>
      <w:r w:rsidRPr="00B3448B">
        <w:rPr>
          <w:rStyle w:val="StyleUnderline"/>
        </w:rPr>
        <w:t xml:space="preserve"> and the availability, or perceived benefits of the availability, of all kinds of cultural knowledge. 30</w:t>
      </w:r>
    </w:p>
    <w:p w14:paraId="2C36E805" w14:textId="77777777" w:rsidR="00BB5584" w:rsidRPr="00B3448B" w:rsidRDefault="00BB5584" w:rsidP="00BB5584">
      <w:r w:rsidRPr="00B3448B">
        <w:t>Copyright Case Study: The Cameron Case</w:t>
      </w:r>
    </w:p>
    <w:p w14:paraId="516FCE53" w14:textId="77777777" w:rsidR="00BB5584" w:rsidRPr="00B3448B" w:rsidRDefault="00BB5584" w:rsidP="00BB5584">
      <w:r w:rsidRPr="00B3448B">
        <w:t>In 1985 the Euro-Canadian author Anne Cameron began publishing a series of children’s books though Harbour Publications based on Westcoast Indigenous traditional stories. These books include: The Raven, Raven and Snipe, Keeper of the River, How the Loon Lost Her Voice, Orca’s Song, Raven Returns the Water, Spider Woman, Lazy Boy and Raven Goes Berrypicking. Cameron had been told the traditional stories by Indigenous storytellers and/or had been present at occasions where the stories were recited. The original printing of the books granted Anne Cameron sole authorship, copyright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494B1D12" w14:textId="77777777" w:rsidR="00BB5584" w:rsidRPr="00B3448B" w:rsidRDefault="00BB5584" w:rsidP="00BB5584">
      <w:r w:rsidRPr="00B3448B">
        <w:t>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Island I met a woman who was a storyteller. She shared many stories with me and later gave me permission to share them with others… the woman’s name was Klopimum.” However, Cameron continued to maintain sole author credit, copyright and royalties payments. In a further concession, the 1998 new addition to the series T’aal: the One Who Takes Bad Children is co-authored by Anne Cameron and the Indigenous Elder/storyteller Sue Pielle who also shares copyright and royalties.</w:t>
      </w:r>
    </w:p>
    <w:p w14:paraId="61A709FD" w14:textId="77777777" w:rsidR="00BB5584" w:rsidRPr="00B3448B" w:rsidRDefault="00BB5584" w:rsidP="00BB5584">
      <w:r w:rsidRPr="00B3448B">
        <w:t>Patent Case Study: The Igloolik Case</w:t>
      </w:r>
    </w:p>
    <w:p w14:paraId="60370F91" w14:textId="77777777" w:rsidR="00BB5584" w:rsidRPr="00B3448B" w:rsidRDefault="00BB5584" w:rsidP="00BB5584">
      <w:r w:rsidRPr="00B3448B">
        <w:t>An example of the failure of the Patent Act In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3B5D13A7" w14:textId="77777777" w:rsidR="00BB5584" w:rsidRPr="00B3448B" w:rsidRDefault="00BB5584" w:rsidP="00BB5584">
      <w:r w:rsidRPr="00B3448B">
        <w:t>Trademark Case: The Snumeymux Case</w:t>
      </w:r>
    </w:p>
    <w:p w14:paraId="7CC7CFAC" w14:textId="77777777" w:rsidR="00BB5584" w:rsidRPr="00B3448B" w:rsidRDefault="00BB5584" w:rsidP="00BB5584">
      <w:r w:rsidRPr="00B3448B">
        <w:t>As most Indigenous communities are far behind in terms of establishing businesses most trademarking of TK involves a non-Indigenous corporation trademarking an Indigenous symbol, design or name. Again, many cases could have been examined in this section but only two have been chosen: one case involving the Snumeymux Band trade marking petroglyphs through the Canadian Patent Office, and one involving an international corporation’s patent licence being the subject of an intense international Indigenous lobbying effort.</w:t>
      </w:r>
    </w:p>
    <w:p w14:paraId="1876E9CE" w14:textId="77777777" w:rsidR="00BB5584" w:rsidRPr="00B3448B" w:rsidRDefault="00BB5584" w:rsidP="00BB5584">
      <w:r w:rsidRPr="00B3448B">
        <w:rPr>
          <w:rStyle w:val="StyleUnderline"/>
        </w:rPr>
        <w:t>The Snumeymux people have several ancient petroglyphs located off their reserve lands</w:t>
      </w:r>
      <w:r w:rsidRPr="00B3448B">
        <w:t xml:space="preserve"> near False Narrows on Gabriola Island, BC. In the early 1990s </w:t>
      </w:r>
      <w:r w:rsidRPr="00B3448B">
        <w:rPr>
          <w:rStyle w:val="StyleUnderline"/>
        </w:rPr>
        <w:t>non-Indigenous residents of Gabriola Island began using some of the petroglyph images in coffee shops and various other business logos</w:t>
      </w:r>
      <w:r w:rsidRPr="00B3448B">
        <w:t xml:space="preserve">. In the mid-1990s </w:t>
      </w:r>
      <w:r w:rsidRPr="00B3448B">
        <w:rPr>
          <w:rStyle w:val="StyleUnderline"/>
        </w:rPr>
        <w:t>the Island’s music festival named itself after what had become the local name of the most well known petroglyph image, the dancing man</w:t>
      </w:r>
      <w:r w:rsidRPr="00B3448B">
        <w:t>. The Dancing Man Music Festival then adopted the image of the dancing man as the festival logo and used it on brochures, posters, advertisements and T-shirts.</w:t>
      </w:r>
    </w:p>
    <w:p w14:paraId="24F4421A" w14:textId="77777777" w:rsidR="00BB5584" w:rsidRPr="00B3448B" w:rsidRDefault="00BB5584" w:rsidP="00BB5584">
      <w:r w:rsidRPr="00B3448B">
        <w:t>The Snuneymux Band first made unsuccessful appeals to the festival, buisnesses and the Gabriola community to stop using the petroglyph symbols. In 1998 the Snuneymux Band hired Murry Brown as legal counsel to seek protection of the petroglyphs (Manson-2003). At a 1998 meeting with Brown, Snuneymux Elders and community members on the matter, The Dancing Man Festival and Gabriola business’ and community representatives were still defiant that they had a right to use the images from the petroglyphs (Brown-2003).</w:t>
      </w:r>
    </w:p>
    <w:p w14:paraId="4998B71C" w14:textId="77777777" w:rsidR="00BB5584" w:rsidRPr="00B3448B" w:rsidRDefault="00BB5584" w:rsidP="00BB5584">
      <w:pPr>
        <w:rPr>
          <w:rStyle w:val="StyleUnderline"/>
        </w:rPr>
      </w:pPr>
      <w:r w:rsidRPr="00B3448B">
        <w:t>On the advice of Murry Brown,</w:t>
      </w:r>
      <w:r w:rsidRPr="00B3448B">
        <w:rPr>
          <w:rStyle w:val="StyleUnderline"/>
        </w:rPr>
        <w:t xml:space="preserve"> The Snuneymux Band filed for a Section 91(n) Public Authority Trademark for eight petroglyphs and was awarded the trademark in October of 1998</w:t>
      </w:r>
      <w:r w:rsidRPr="00B3448B">
        <w:t xml:space="preserve"> (Brown2003). </w:t>
      </w:r>
      <w:r w:rsidRPr="00B3448B">
        <w:rPr>
          <w:rStyle w:val="StyleUnderline"/>
        </w:rPr>
        <w:t>The trademark protects the petrogylphs from “all uses” by non-Snuneymux people and, therefore the Dancing Man Festival and Gabriola Island business and community representatives were forced to stop using images derived from the petroglyphs</w:t>
      </w:r>
      <w:r w:rsidRPr="00B3448B">
        <w:t xml:space="preserve">. In the Snuneymux case the petroglyphs were trademarked for “defensive” purposes. </w:t>
      </w:r>
      <w:r w:rsidRPr="00B3448B">
        <w:rPr>
          <w:rStyle w:val="StyleUnderline"/>
        </w:rPr>
        <w:t>The Snuneymux case represents an innovative use of the IPR system that negotiated within the systems limitations and found a way to make it work to protect TK.</w:t>
      </w:r>
    </w:p>
    <w:p w14:paraId="02B59AF2" w14:textId="77777777" w:rsidR="00BB5584" w:rsidRPr="00B3448B" w:rsidRDefault="00BB5584" w:rsidP="00BB5584">
      <w:r w:rsidRPr="00B3448B">
        <w:t>Case Studies Summary</w:t>
      </w:r>
    </w:p>
    <w:p w14:paraId="0C05ED5D" w14:textId="77777777" w:rsidR="00BB5584" w:rsidRPr="00B3448B" w:rsidRDefault="00BB5584" w:rsidP="00BB5584">
      <w:r w:rsidRPr="00B3448B">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B3448B">
        <w:rPr>
          <w:rStyle w:val="StyleUnderline"/>
        </w:rPr>
        <w:t xml:space="preserve">In contrast to Eurocentric thought, </w:t>
      </w:r>
      <w:r w:rsidRPr="00B3448B">
        <w:rPr>
          <w:rStyle w:val="StyleUnderline"/>
          <w:highlight w:val="green"/>
        </w:rPr>
        <w:t>almost all Indigenous thought asserts</w:t>
      </w:r>
      <w:r w:rsidRPr="00B3448B">
        <w:rPr>
          <w:rStyle w:val="StyleUnderline"/>
        </w:rPr>
        <w:t xml:space="preserve"> that </w:t>
      </w:r>
      <w:r w:rsidRPr="00B3448B">
        <w:rPr>
          <w:rStyle w:val="StyleUnderline"/>
          <w:highlight w:val="green"/>
        </w:rPr>
        <w:t>property is a sacred ecological order</w:t>
      </w:r>
      <w:r w:rsidRPr="00B3448B">
        <w:rPr>
          <w:rStyle w:val="StyleUnderline"/>
        </w:rPr>
        <w:t xml:space="preserve"> and manifestations of that order should not be treated as commodities.32 It is clear that there are pressing problems in the regulation of TK.</w:t>
      </w:r>
      <w:r w:rsidRPr="00B3448B">
        <w:t xml:space="preserve"> It is also clear that IPR system and other Eurocentric concepts do not offer a solution to some of the problems. </w:t>
      </w:r>
      <w:r w:rsidRPr="00B3448B">
        <w:rPr>
          <w:rStyle w:val="StyleUnderline"/>
        </w:rPr>
        <w:t>There have been cases of Indigenous people using the IPR system to protect their TK.</w:t>
      </w:r>
      <w:r w:rsidRPr="00B3448B">
        <w:t xml:space="preserve"> However, the reality is that </w:t>
      </w:r>
      <w:r w:rsidRPr="00B3448B">
        <w:rPr>
          <w:rStyle w:val="StyleUnderline"/>
        </w:rPr>
        <w:t xml:space="preserve">there are </w:t>
      </w:r>
      <w:r w:rsidRPr="00B3448B">
        <w:rPr>
          <w:rStyle w:val="StyleUnderline"/>
          <w:highlight w:val="green"/>
        </w:rPr>
        <w:t>many more cases of non-Indigenous people using</w:t>
      </w:r>
      <w:r w:rsidRPr="00B3448B">
        <w:rPr>
          <w:rStyle w:val="StyleUnderline"/>
        </w:rPr>
        <w:t xml:space="preserve"> the </w:t>
      </w:r>
      <w:r w:rsidRPr="00B3448B">
        <w:rPr>
          <w:rStyle w:val="StyleUnderline"/>
          <w:highlight w:val="green"/>
        </w:rPr>
        <w:t>IPR</w:t>
      </w:r>
      <w:r w:rsidRPr="00B3448B">
        <w:rPr>
          <w:rStyle w:val="StyleUnderline"/>
        </w:rPr>
        <w:t xml:space="preserve"> system </w:t>
      </w:r>
      <w:r w:rsidRPr="00B3448B">
        <w:rPr>
          <w:rStyle w:val="StyleUnderline"/>
          <w:highlight w:val="green"/>
        </w:rPr>
        <w:t>to take ownership over TK</w:t>
      </w:r>
      <w:r w:rsidRPr="00B3448B">
        <w:rPr>
          <w:rStyle w:val="StyleUnderline"/>
        </w:rPr>
        <w:t xml:space="preserve"> using</w:t>
      </w:r>
      <w:r w:rsidRPr="00B3448B">
        <w:t xml:space="preserve"> copyright, trademark, patents and </w:t>
      </w:r>
      <w:r w:rsidRPr="00B3448B">
        <w:rPr>
          <w:rStyle w:val="StyleUnderline"/>
        </w:rPr>
        <w:t>the Public Domain.</w:t>
      </w:r>
      <w:r w:rsidRPr="00B3448B">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practices and circumstances. At the same time, </w:t>
      </w:r>
      <w:r w:rsidRPr="00B3448B">
        <w:rPr>
          <w:rStyle w:val="StyleUnderline"/>
        </w:rPr>
        <w:t>there is little evidence that these changes have been promoted within the system, i.e., from failed efforts to use it that have been challenged</w:t>
      </w:r>
      <w:r w:rsidRPr="00B3448B">
        <w:t xml:space="preserve">” (IPPD-2002). Such conclusions, along with other conclusions being drawn in other countries and international forums, and the case study examples discussed, appear to support the argument that </w:t>
      </w:r>
      <w:r w:rsidRPr="00B3448B">
        <w:rPr>
          <w:rStyle w:val="StyleUnderline"/>
          <w:highlight w:val="green"/>
        </w:rPr>
        <w:t>new systems of protection need to be developed. Sui Generis models</w:t>
      </w:r>
      <w:r w:rsidRPr="00B3448B">
        <w:rPr>
          <w:rStyle w:val="StyleUnderline"/>
        </w:rPr>
        <w:t xml:space="preserve"> based on and/or incorporating Customary Laws </w:t>
      </w:r>
      <w:r w:rsidRPr="00B3448B">
        <w:rPr>
          <w:rStyle w:val="StyleUnderline"/>
          <w:highlight w:val="green"/>
        </w:rPr>
        <w:t>have been proposed</w:t>
      </w:r>
      <w:r w:rsidRPr="00B3448B">
        <w:rPr>
          <w:highlight w:val="green"/>
        </w:rPr>
        <w:t xml:space="preserve"> </w:t>
      </w:r>
      <w:r w:rsidRPr="00B3448B">
        <w:t>and developed in many countries and are being discussed in the WIPO IGC.</w:t>
      </w:r>
    </w:p>
    <w:p w14:paraId="5A6FCC26" w14:textId="77777777" w:rsidR="00BB5584" w:rsidRPr="00B3448B" w:rsidRDefault="00BB5584" w:rsidP="00BB5584">
      <w:r w:rsidRPr="00B3448B">
        <w:t>Gnaritas Nullius (Nobody’s Knowledge)</w:t>
      </w:r>
    </w:p>
    <w:p w14:paraId="0DF7A397" w14:textId="77777777" w:rsidR="00BB5584" w:rsidRPr="00B3448B" w:rsidRDefault="00BB5584" w:rsidP="00BB5584">
      <w:pPr>
        <w:rPr>
          <w:rStyle w:val="StyleUnderline"/>
        </w:rPr>
      </w:pPr>
      <w:r w:rsidRPr="00B3448B">
        <w:rPr>
          <w:rStyle w:val="StyleUnderline"/>
        </w:rPr>
        <w:t xml:space="preserve">Just as Indigenous territories were declared as Terra Nullius in the colonization process, so too has TK been treated as Gnaritas Nullius (Nobody’s Knowledge) by the IPR system and consequently flowed into the public domain along with Western knowledge. </w:t>
      </w:r>
      <w:r w:rsidRPr="00B3448B">
        <w:t xml:space="preserve">This has occurred despite widespread Indigenous claims of ownership and breech of Customary Law. The problem is that </w:t>
      </w:r>
      <w:r w:rsidRPr="00B3448B">
        <w:rPr>
          <w:rStyle w:val="StyleUnderline"/>
          <w:highlight w:val="green"/>
        </w:rPr>
        <w:t>advocates for the public domain</w:t>
      </w:r>
      <w:r w:rsidRPr="00B3448B">
        <w:rPr>
          <w:rStyle w:val="StyleUnderline"/>
        </w:rPr>
        <w:t xml:space="preserve"> seem to see knowledge as the same concept across cultures, and </w:t>
      </w:r>
      <w:r w:rsidRPr="00B3448B">
        <w:rPr>
          <w:rStyle w:val="StyleUnderline"/>
          <w:highlight w:val="green"/>
        </w:rPr>
        <w:t>impose the liberal ideals of freedom and equality</w:t>
      </w:r>
      <w:r w:rsidRPr="00B3448B">
        <w:rPr>
          <w:rStyle w:val="StyleUnderline"/>
        </w:rPr>
        <w:t xml:space="preserve"> to Indigenous peoples knowledge systems. </w:t>
      </w:r>
      <w:r w:rsidRPr="00B3448B">
        <w:rPr>
          <w:rStyle w:val="StyleUnderline"/>
          <w:highlight w:val="green"/>
        </w:rPr>
        <w:t>Not all knowledge has the same role</w:t>
      </w:r>
      <w:r w:rsidRPr="00B3448B">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rsidRPr="00B3448B">
        <w:t xml:space="preserve">. A central dimension of Indigenous knowledge systems is that knowledge is shared according to developed rules and expectations for behavior within frameworks that have been developed and practiced over centuries and millennium. </w:t>
      </w:r>
      <w:r w:rsidRPr="00B3448B">
        <w:rPr>
          <w:rStyle w:val="StyleUnderline"/>
        </w:rPr>
        <w:t>Arguments for a public domain of Indigenous knowledge again reduces the capacity for Indigenous control and decision making</w:t>
      </w:r>
      <w:r w:rsidRPr="00B3448B">
        <w:t xml:space="preserve"> (Anderson 2010) </w:t>
      </w:r>
      <w:r w:rsidRPr="00B3448B">
        <w:rPr>
          <w:rStyle w:val="StyleUnderline"/>
        </w:rPr>
        <w:t>and can not be reasonably made outside the problematic frameworks of the colonization of TK and Gnaritas Nullius.</w:t>
      </w:r>
    </w:p>
    <w:p w14:paraId="704BA195" w14:textId="77777777" w:rsidR="00BB5584" w:rsidRPr="0072701E" w:rsidRDefault="00BB5584" w:rsidP="00BB5584"/>
    <w:p w14:paraId="2082C725" w14:textId="77777777" w:rsidR="00BB5584" w:rsidRDefault="00BB5584" w:rsidP="00BB5584">
      <w:pPr>
        <w:pStyle w:val="Heading2"/>
      </w:pPr>
      <w:r>
        <w:t xml:space="preserve">CP </w:t>
      </w:r>
    </w:p>
    <w:p w14:paraId="541E8D37" w14:textId="77777777" w:rsidR="00BB5584" w:rsidRDefault="00BB5584" w:rsidP="00BB5584">
      <w:pPr>
        <w:pStyle w:val="Heading4"/>
      </w:pPr>
      <w:r w:rsidRPr="00741081">
        <w:rPr>
          <w:rFonts w:cs="Arial"/>
        </w:rPr>
        <w:t>The member nations of the World Trade Organization should eliminate patents on medicines based on Indigenous knowledge from patentability</w:t>
      </w:r>
      <w:r>
        <w:rPr>
          <w:rFonts w:cs="Arial"/>
        </w:rPr>
        <w:t xml:space="preserve"> unless the patents are already owned or will be owned by indigenous people. </w:t>
      </w:r>
    </w:p>
    <w:p w14:paraId="331C485B" w14:textId="77777777" w:rsidR="00BB5584" w:rsidRDefault="00BB5584" w:rsidP="00BB5584">
      <w:pPr>
        <w:pStyle w:val="Heading2"/>
      </w:pPr>
      <w:r>
        <w:t>DA</w:t>
      </w:r>
    </w:p>
    <w:p w14:paraId="5F108893" w14:textId="77777777" w:rsidR="00BB5584" w:rsidRPr="001631A3" w:rsidRDefault="00BB5584" w:rsidP="00BB5584">
      <w:pPr>
        <w:pStyle w:val="Heading4"/>
        <w:rPr>
          <w:rFonts w:asciiTheme="majorHAnsi" w:hAnsiTheme="majorHAnsi" w:cstheme="majorHAnsi"/>
        </w:rPr>
      </w:pPr>
      <w:r w:rsidRPr="001631A3">
        <w:rPr>
          <w:rFonts w:asciiTheme="majorHAnsi" w:hAnsiTheme="majorHAnsi" w:cstheme="majorHAnsi"/>
        </w:rPr>
        <w:t>Indigenous people need strong intellectual property rights to traditional medicines – their unique medicinal knowledge is open to appropriation and theft from larger Western pharmaceutical companies without it – Sinela and Ramcharan ‘05</w:t>
      </w:r>
    </w:p>
    <w:p w14:paraId="18544E1D" w14:textId="77777777" w:rsidR="00BB5584" w:rsidRPr="001631A3" w:rsidRDefault="00BB5584" w:rsidP="00BB5584">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754578C9" w14:textId="77777777" w:rsidR="00BB5584" w:rsidRPr="001631A3" w:rsidRDefault="00BB5584" w:rsidP="00BB5584">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developmental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buo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still remains open. The study by Mr. Martinez Cobo,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Cobo,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Daes,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r w:rsidRPr="001631A3">
        <w:rPr>
          <w:rStyle w:val="Emphasis"/>
          <w:rFonts w:asciiTheme="majorHAnsi" w:hAnsiTheme="majorHAnsi" w:cstheme="majorHAnsi"/>
        </w:rPr>
        <w:t>societies</w:t>
      </w:r>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r w:rsidRPr="001631A3">
        <w:rPr>
          <w:rStyle w:val="Emphasis"/>
          <w:rFonts w:asciiTheme="majorHAnsi" w:hAnsiTheme="majorHAnsi" w:cstheme="majorHAnsi"/>
          <w:highlight w:val="yellow"/>
        </w:rPr>
        <w:t>self determination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technologies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(i)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tribal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Shanklands resort on the banks of Essequibo River, conveyed his impressive knowledge of his community's medicinal uses of various plants and trees in the tropical rainforest. Using the native names of trees, he related the use of the 'yarula' tree for preventing and curing malaria, the use of the 'kakaballi' tree for treating diarrhea and the use of the 'capadulla'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r w:rsidRPr="001631A3">
        <w:rPr>
          <w:rStyle w:val="Emphasis"/>
          <w:rFonts w:asciiTheme="majorHAnsi" w:hAnsiTheme="majorHAnsi" w:cstheme="majorHAnsi"/>
        </w:rPr>
        <w:t>cross-cuts</w:t>
      </w:r>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Daes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 xml:space="preserve">".25 Attempts by Western governments and drug producing companies to harness such TK and TM for their own benefit have led to phenomena such as 'bio piracy' (theft of genetic resources by 'bioprospectors').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Smithkline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Daes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66092A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55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58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25B678"/>
  <w14:defaultImageDpi w14:val="300"/>
  <w15:docId w15:val="{6FDD9845-CCC4-0241-A28D-F3C99A419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55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55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55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55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BB55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55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5584"/>
  </w:style>
  <w:style w:type="character" w:customStyle="1" w:styleId="Heading1Char">
    <w:name w:val="Heading 1 Char"/>
    <w:aliases w:val="Pocket Char"/>
    <w:basedOn w:val="DefaultParagraphFont"/>
    <w:link w:val="Heading1"/>
    <w:uiPriority w:val="9"/>
    <w:rsid w:val="00BB55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55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558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BB558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B5584"/>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BB558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BB55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558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B5584"/>
    <w:rPr>
      <w:color w:val="auto"/>
      <w:u w:val="none"/>
    </w:rPr>
  </w:style>
  <w:style w:type="paragraph" w:styleId="DocumentMap">
    <w:name w:val="Document Map"/>
    <w:basedOn w:val="Normal"/>
    <w:link w:val="DocumentMapChar"/>
    <w:uiPriority w:val="99"/>
    <w:semiHidden/>
    <w:unhideWhenUsed/>
    <w:rsid w:val="00BB55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5584"/>
    <w:rPr>
      <w:rFonts w:ascii="Lucida Grande" w:hAnsi="Lucida Grande" w:cs="Lucida Grande"/>
    </w:rPr>
  </w:style>
  <w:style w:type="paragraph" w:customStyle="1" w:styleId="textbold">
    <w:name w:val="text bold"/>
    <w:basedOn w:val="Normal"/>
    <w:link w:val="Emphasis"/>
    <w:uiPriority w:val="20"/>
    <w:qFormat/>
    <w:rsid w:val="00BB558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B55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ipo.int/edocs/mdocs/tk/en/wipo_grtkf_ic_17/wipo_grtkf_ic_17_inf_5_a.pdf" TargetMode="External"/><Relationship Id="rId4" Type="http://schemas.openxmlformats.org/officeDocument/2006/relationships/customXml" Target="../customXml/item4.xml"/><Relationship Id="rId9" Type="http://schemas.openxmlformats.org/officeDocument/2006/relationships/hyperlink" Target="https://www.cigionline.org/static/documents/documents/vezina-paper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6453</Words>
  <Characters>36787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2021-11-02T01:39:00Z</dcterms:created>
  <dcterms:modified xsi:type="dcterms:W3CDTF">2021-11-02T01:39:00Z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