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A3F4A" w14:textId="65E4FE07" w:rsidR="00E42E4C" w:rsidRDefault="000C24DE" w:rsidP="000C24DE">
      <w:pPr>
        <w:pStyle w:val="Heading2"/>
      </w:pPr>
      <w:r>
        <w:t>Nebel</w:t>
      </w:r>
    </w:p>
    <w:p w14:paraId="14523E1C" w14:textId="52C14F53" w:rsidR="000C24DE" w:rsidRDefault="000C24DE" w:rsidP="000C24DE">
      <w:pPr>
        <w:pStyle w:val="Heading4"/>
      </w:pPr>
      <w:r w:rsidRPr="00BC4B37">
        <w:t xml:space="preserve">Interpretation—the aff may not specify a </w:t>
      </w:r>
      <w:r>
        <w:t>government</w:t>
      </w:r>
    </w:p>
    <w:p w14:paraId="32256F78" w14:textId="77777777" w:rsidR="000C24DE" w:rsidRDefault="000C24DE" w:rsidP="000C24DE">
      <w:pPr>
        <w:pStyle w:val="Heading4"/>
      </w:pPr>
      <w:r>
        <w:t xml:space="preserve">A is </w:t>
      </w:r>
      <w:proofErr w:type="gramStart"/>
      <w:r>
        <w:t>an</w:t>
      </w:r>
      <w:proofErr w:type="gramEnd"/>
      <w:r>
        <w:t xml:space="preserve"> generic indefinite singular. Cohen 01 </w:t>
      </w:r>
    </w:p>
    <w:p w14:paraId="61322A61" w14:textId="77777777" w:rsidR="000C24DE" w:rsidRDefault="000C24DE" w:rsidP="000C24DE">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C90B8A2" w14:textId="77777777" w:rsidR="000C24DE" w:rsidRPr="00271F77" w:rsidRDefault="000C24DE" w:rsidP="000C24DE">
      <w:pPr>
        <w:rPr>
          <w:rStyle w:val="Style13ptBold"/>
        </w:rPr>
      </w:pPr>
      <w:r>
        <w:rPr>
          <w:rStyle w:val="Style13ptBold"/>
        </w:rPr>
        <w:t xml:space="preserve">*IS generic = </w:t>
      </w:r>
      <w:r w:rsidRPr="00C972AA">
        <w:rPr>
          <w:rStyle w:val="Style13ptBold"/>
        </w:rPr>
        <w:t>Indefinite Singulars</w:t>
      </w:r>
    </w:p>
    <w:p w14:paraId="3708002F" w14:textId="77777777" w:rsidR="000C24DE" w:rsidRDefault="000C24DE" w:rsidP="000C24DE">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Hadassa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48FBE30A" w14:textId="77777777" w:rsidR="000C24DE" w:rsidRPr="003A22DC" w:rsidRDefault="000C24DE" w:rsidP="000C24DE">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0241D9EB" w14:textId="78899E21" w:rsidR="000C24DE" w:rsidRPr="00EF3EAD" w:rsidRDefault="000C24DE" w:rsidP="000C24DE">
      <w:pPr>
        <w:pStyle w:val="Heading4"/>
      </w:pPr>
      <w:r w:rsidRPr="00BC4B37">
        <w:t>Violation—</w:t>
      </w:r>
      <w:r>
        <w:t xml:space="preserve">they specified </w:t>
      </w:r>
      <w:r w:rsidR="00E30D7E">
        <w:t>Qatar</w:t>
      </w:r>
    </w:p>
    <w:p w14:paraId="3351B356" w14:textId="77777777" w:rsidR="000C24DE" w:rsidRDefault="000C24DE" w:rsidP="000C24DE">
      <w:pPr>
        <w:pStyle w:val="Heading4"/>
      </w:pPr>
      <w:r>
        <w:t>Vote neg:</w:t>
      </w:r>
    </w:p>
    <w:p w14:paraId="6059AF1A" w14:textId="77777777" w:rsidR="000C24DE" w:rsidRPr="003A22DC" w:rsidRDefault="000C24DE" w:rsidP="000C24DE">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6B9F6683" w14:textId="77777777" w:rsidR="000C24DE" w:rsidRDefault="000C24DE" w:rsidP="000C24DE">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5D2CA946" w14:textId="77777777" w:rsidR="000C24DE" w:rsidRPr="007016AC" w:rsidRDefault="000C24DE" w:rsidP="000C24DE">
      <w:pPr>
        <w:pStyle w:val="Heading4"/>
      </w:pPr>
      <w:r>
        <w:t xml:space="preserve">Hypothetical Neg abuse doesn’t justify aff abuse and theory checks cheaty PICs </w:t>
      </w:r>
    </w:p>
    <w:p w14:paraId="1566BBAC" w14:textId="77777777" w:rsidR="000C24DE" w:rsidRPr="006A7C9E" w:rsidRDefault="000C24DE" w:rsidP="000C24DE">
      <w:pPr>
        <w:pStyle w:val="Heading4"/>
      </w:pPr>
      <w:r>
        <w:t>DTD – same thing as drop the arg</w:t>
      </w:r>
    </w:p>
    <w:p w14:paraId="213A75C6" w14:textId="77777777" w:rsidR="000C24DE" w:rsidRPr="003A22DC" w:rsidRDefault="000C24DE" w:rsidP="000C24DE">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5AC500EC" w14:textId="77777777" w:rsidR="000C24DE" w:rsidRDefault="000C24DE" w:rsidP="000C24DE">
      <w:pPr>
        <w:pStyle w:val="Heading4"/>
        <w:rPr>
          <w:rFonts w:eastAsia="Times New Roman"/>
        </w:rPr>
      </w:pPr>
      <w:r w:rsidRPr="00BC4B37">
        <w:rPr>
          <w:rFonts w:eastAsia="Times New Roman"/>
        </w:rPr>
        <w:t xml:space="preserve">No RVIs—it’s your burden to be topical. </w:t>
      </w:r>
    </w:p>
    <w:p w14:paraId="1A405B9E" w14:textId="004A2E42" w:rsidR="000C24DE" w:rsidRDefault="000C24DE" w:rsidP="000C24DE">
      <w:pPr>
        <w:pStyle w:val="Heading2"/>
      </w:pPr>
      <w:r>
        <w:lastRenderedPageBreak/>
        <w:t>Postwork K</w:t>
      </w:r>
    </w:p>
    <w:p w14:paraId="0BD4FA33" w14:textId="77777777" w:rsidR="007235CE" w:rsidRPr="004F3F7A" w:rsidRDefault="007235CE" w:rsidP="007235CE">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rsidRPr="00AA1462">
        <w:t xml:space="preserve"> </w:t>
      </w:r>
      <w:r>
        <w:t>AND centers political organizing and resistance to capitalism around identifying oneself first and foremost as a worker</w:t>
      </w:r>
      <w:r w:rsidRPr="004F3F7A">
        <w:t>. This reduces human</w:t>
      </w:r>
      <w:r>
        <w:t>s</w:t>
      </w:r>
      <w:r w:rsidRPr="004F3F7A">
        <w:t xml:space="preserve"> to labor capital</w:t>
      </w:r>
      <w:r>
        <w:t xml:space="preserve">, which </w:t>
      </w:r>
      <w:r w:rsidRPr="004F3F7A">
        <w:t>causes work-dependency and inhibits alternatives</w:t>
      </w:r>
      <w:r>
        <w:t>.</w:t>
      </w:r>
    </w:p>
    <w:p w14:paraId="048F2A15" w14:textId="77777777" w:rsidR="007235CE" w:rsidRPr="0024759A" w:rsidRDefault="007235CE" w:rsidP="007235CE">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34E19E9" w14:textId="77777777" w:rsidR="007235CE" w:rsidRPr="00F23A1A" w:rsidRDefault="007235CE" w:rsidP="007235CE">
      <w:pPr>
        <w:rPr>
          <w:sz w:val="16"/>
        </w:rPr>
      </w:pPr>
      <w:r w:rsidRPr="00F23A1A">
        <w:rPr>
          <w:sz w:val="16"/>
        </w:rPr>
        <w:t>The societal dependence on work</w:t>
      </w:r>
    </w:p>
    <w:p w14:paraId="6644AE8C" w14:textId="77777777" w:rsidR="007235CE" w:rsidRPr="009A6DC9" w:rsidRDefault="007235CE" w:rsidP="007235CE">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73E925D2" w14:textId="77777777" w:rsidR="007235CE" w:rsidRPr="009A6DC9" w:rsidRDefault="007235CE" w:rsidP="007235CE">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525CEEE3" w14:textId="77777777" w:rsidR="007235CE" w:rsidRPr="00F23A1A" w:rsidRDefault="007235CE" w:rsidP="007235CE">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2454F35" w14:textId="77777777" w:rsidR="007235CE" w:rsidRPr="00F23A1A" w:rsidRDefault="007235CE" w:rsidP="007235CE">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labour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w:t>
      </w:r>
      <w:r w:rsidRPr="00DD394F">
        <w:rPr>
          <w:rStyle w:val="StyleUnderline"/>
        </w:rPr>
        <w:lastRenderedPageBreak/>
        <w:t>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(Gronemeyer 2012; Paech 2012).</w:t>
      </w:r>
    </w:p>
    <w:p w14:paraId="47FC8ECD" w14:textId="77777777" w:rsidR="007235CE" w:rsidRPr="00F23A1A" w:rsidRDefault="007235CE" w:rsidP="007235CE">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3EFF338D" w14:textId="77777777" w:rsidR="007235CE" w:rsidRPr="00DD394F" w:rsidRDefault="007235CE" w:rsidP="007235CE">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xml:space="preserve">’ (Gorz 1989, 13; Weber 1992 [1905]; Weeks 2011); </w:t>
      </w:r>
      <w:r w:rsidRPr="00DD394F">
        <w:rPr>
          <w:rStyle w:val="StyleUnderline"/>
        </w:rPr>
        <w:t xml:space="preserve">it is centred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5F698355" w14:textId="77777777" w:rsidR="007235CE" w:rsidRDefault="007235CE" w:rsidP="007235CE">
      <w:pPr>
        <w:pStyle w:val="Heading4"/>
      </w:pPr>
      <w:r>
        <w:t>Work necessitates material throughput and waste that destroys the environment, even when the jobs are ‘green’</w:t>
      </w:r>
    </w:p>
    <w:p w14:paraId="6DE04F49" w14:textId="77777777" w:rsidR="007235CE" w:rsidRPr="0000117A" w:rsidRDefault="007235CE" w:rsidP="007235CE">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14E8394" w14:textId="77777777" w:rsidR="007235CE" w:rsidRPr="006E7E43" w:rsidRDefault="007235CE" w:rsidP="007235CE">
      <w:pPr>
        <w:rPr>
          <w:sz w:val="16"/>
        </w:rPr>
      </w:pPr>
      <w:r w:rsidRPr="006E7E43">
        <w:rPr>
          <w:sz w:val="16"/>
        </w:rPr>
        <w:t>An ecological critique of work</w:t>
      </w:r>
    </w:p>
    <w:p w14:paraId="4C1A9982" w14:textId="77777777" w:rsidR="007235CE" w:rsidRPr="006E7E43" w:rsidRDefault="007235CE" w:rsidP="007235CE">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337FFAC7" w14:textId="77777777" w:rsidR="007235CE" w:rsidRPr="006E7E43" w:rsidRDefault="007235CE" w:rsidP="007235CE">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4FC46302" w14:textId="77777777" w:rsidR="007235CE" w:rsidRPr="006E7E43" w:rsidRDefault="007235CE" w:rsidP="007235CE">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3C171ED7" w14:textId="77777777" w:rsidR="007235CE" w:rsidRPr="006E7E43" w:rsidRDefault="007235CE" w:rsidP="007235CE">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5E06F326" w14:textId="77777777" w:rsidR="007235CE" w:rsidRDefault="007235CE" w:rsidP="007235CE">
      <w:pPr>
        <w:pStyle w:val="Heading4"/>
      </w:pPr>
      <w:r>
        <w:t>Unions are intrinsically invested in labor being good – they don’t strike to get rid of work; they strike to get people back to work. Lundström 14:</w:t>
      </w:r>
    </w:p>
    <w:p w14:paraId="4BAAD8DD" w14:textId="77777777" w:rsidR="007235CE" w:rsidRPr="00050F02" w:rsidRDefault="007235CE" w:rsidP="007235CE">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Rathzel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44E6AE0" w14:textId="77777777" w:rsidR="007235CE" w:rsidRPr="004F3F7A" w:rsidRDefault="007235CE" w:rsidP="007235CE">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w:t>
      </w:r>
      <w:proofErr w:type="gramStart"/>
      <w:r w:rsidRPr="00050F02">
        <w:rPr>
          <w:sz w:val="12"/>
        </w:rPr>
        <w:t>a majority of</w:t>
      </w:r>
      <w:proofErr w:type="gramEnd"/>
      <w:r w:rsidRPr="00050F02">
        <w:rPr>
          <w:sz w:val="12"/>
        </w:rPr>
        <w:t xml:space="preserve">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6" w:history="1">
        <w:r w:rsidRPr="004F3F7A">
          <w:rPr>
            <w:rStyle w:val="Hyperlink"/>
            <w:sz w:val="12"/>
          </w:rPr>
          <w:t>2012</w:t>
        </w:r>
      </w:hyperlink>
      <w:r w:rsidRPr="004F3F7A">
        <w:rPr>
          <w:sz w:val="12"/>
        </w:rPr>
        <w:t>; Rivera Alejo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7F671659" w14:textId="77777777" w:rsidR="007235CE" w:rsidRDefault="007235CE" w:rsidP="007235CE">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30D141A7" w14:textId="77777777" w:rsidR="007235CE" w:rsidRPr="00E73C56" w:rsidRDefault="007235CE" w:rsidP="007235CE">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66D07E1B" w14:textId="77777777" w:rsidR="007235CE" w:rsidRPr="00CD77D8" w:rsidRDefault="007235CE" w:rsidP="007235CE">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782B4DD" w14:textId="77777777" w:rsidR="007235CE" w:rsidRPr="009A6DC9" w:rsidRDefault="007235CE" w:rsidP="007235CE">
      <w:pPr>
        <w:rPr>
          <w:rStyle w:val="Emphasis"/>
        </w:rPr>
      </w:pPr>
      <w:r w:rsidRPr="009A6DC9">
        <w:rPr>
          <w:rStyle w:val="Emphasis"/>
        </w:rPr>
        <w:t>What is postwork?</w:t>
      </w:r>
    </w:p>
    <w:p w14:paraId="1C616112" w14:textId="77777777" w:rsidR="007235CE" w:rsidRPr="00A72FF2" w:rsidRDefault="007235CE" w:rsidP="007235CE">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(Seyferth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5ED5C0C3" w14:textId="77777777" w:rsidR="007235CE" w:rsidRPr="00A72FF2" w:rsidRDefault="007235CE" w:rsidP="007235CE">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4950CEC8" w14:textId="77777777" w:rsidR="007235CE" w:rsidRPr="00A72FF2" w:rsidRDefault="007235CE" w:rsidP="007235CE">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C19B59C" w14:textId="77777777" w:rsidR="007235CE" w:rsidRPr="00A72FF2" w:rsidRDefault="007235CE" w:rsidP="007235CE">
      <w:pPr>
        <w:rPr>
          <w:sz w:val="14"/>
        </w:rPr>
      </w:pPr>
      <w:r w:rsidRPr="00A72FF2">
        <w:rPr>
          <w:sz w:val="14"/>
        </w:rPr>
        <w:t>The ecological case for postwork</w:t>
      </w:r>
    </w:p>
    <w:p w14:paraId="4158EB2D" w14:textId="77777777" w:rsidR="007235CE" w:rsidRPr="00A72FF2" w:rsidRDefault="007235CE" w:rsidP="007235CE">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0B42FE75" w14:textId="77777777" w:rsidR="007235CE" w:rsidRPr="00A72FF2" w:rsidRDefault="007235CE" w:rsidP="007235CE">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postwork, aiming at de-centring and de-normalising work, and releasing time, </w:t>
      </w:r>
      <w:proofErr w:type="gramStart"/>
      <w:r w:rsidRPr="00A72FF2">
        <w:rPr>
          <w:sz w:val="14"/>
        </w:rPr>
        <w:t>energy</w:t>
      </w:r>
      <w:proofErr w:type="gramEnd"/>
      <w:r w:rsidRPr="00A72FF2">
        <w:rPr>
          <w:sz w:val="14"/>
        </w:rPr>
        <w:t xml:space="preserve">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w:t>
      </w:r>
      <w:proofErr w:type="gramStart"/>
      <w:r w:rsidRPr="00A72FF2">
        <w:rPr>
          <w:sz w:val="14"/>
        </w:rPr>
        <w:t>intermittent</w:t>
      </w:r>
      <w:proofErr w:type="gramEnd"/>
      <w:r w:rsidRPr="00A72FF2">
        <w:rPr>
          <w:sz w:val="14"/>
        </w:rPr>
        <w:t xml:space="preserve">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24289191" w14:textId="77777777" w:rsidR="007235CE" w:rsidRPr="008018E5" w:rsidRDefault="007235CE" w:rsidP="007235CE">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436530F5" w14:textId="77777777" w:rsidR="007235CE" w:rsidRPr="00A72FF2" w:rsidRDefault="007235CE" w:rsidP="007235CE">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1C13F335" w14:textId="77777777" w:rsidR="007235CE" w:rsidRPr="00A72FF2" w:rsidRDefault="007235CE" w:rsidP="007235CE">
      <w:pPr>
        <w:rPr>
          <w:sz w:val="14"/>
        </w:rPr>
      </w:pPr>
      <w:r w:rsidRPr="00A72FF2">
        <w:rPr>
          <w:sz w:val="14"/>
        </w:rPr>
        <w:t>Conclusions: postwork politics and practices</w:t>
      </w:r>
    </w:p>
    <w:p w14:paraId="446607AE" w14:textId="77777777" w:rsidR="007235CE" w:rsidRPr="00A72FF2" w:rsidRDefault="007235CE" w:rsidP="007235CE">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1941665F" w14:textId="77777777" w:rsidR="007235CE" w:rsidRPr="004F0127" w:rsidRDefault="007235CE" w:rsidP="007235CE">
      <w:pPr>
        <w:rPr>
          <w:u w:val="single"/>
        </w:rPr>
      </w:pPr>
      <w:r w:rsidRPr="00A72FF2">
        <w:rPr>
          <w:sz w:val="14"/>
        </w:rPr>
        <w:lastRenderedPageBreak/>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 xml:space="preserve">postwork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7D00FAE9" w14:textId="77777777" w:rsidR="007235CE" w:rsidRPr="00A72FF2" w:rsidRDefault="007235CE" w:rsidP="007235CE">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29A6C9E3" w14:textId="77777777" w:rsidR="007235CE" w:rsidRPr="00A72FF2" w:rsidRDefault="007235CE" w:rsidP="007235CE">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w:t>
      </w:r>
      <w:proofErr w:type="gramStart"/>
      <w:r w:rsidRPr="00A72FF2">
        <w:rPr>
          <w:sz w:val="14"/>
        </w:rPr>
        <w:t>start</w:t>
      </w:r>
      <w:proofErr w:type="gramEnd"/>
      <w:r w:rsidRPr="00A72FF2">
        <w:rPr>
          <w:sz w:val="14"/>
        </w:rPr>
        <w:t xml:space="preserve">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7E9BCC13" w14:textId="77777777" w:rsidR="007235CE" w:rsidRPr="00A72FF2" w:rsidRDefault="007235CE" w:rsidP="007235CE">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39F0E119" w14:textId="77777777" w:rsidR="007235CE" w:rsidRPr="00A72FF2" w:rsidRDefault="007235CE" w:rsidP="007235CE">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68F86102" w14:textId="77777777" w:rsidR="007235CE" w:rsidRPr="00A72FF2" w:rsidRDefault="007235CE" w:rsidP="007235CE">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t>
      </w:r>
      <w:proofErr w:type="gramStart"/>
      <w:r w:rsidRPr="00A72FF2">
        <w:rPr>
          <w:sz w:val="14"/>
        </w:rPr>
        <w:t>wage</w:t>
      </w:r>
      <w:proofErr w:type="gramEnd"/>
      <w:r w:rsidRPr="00A72FF2">
        <w:rPr>
          <w:sz w:val="14"/>
        </w:rPr>
        <w:t xml:space="preserv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1BAE7D45" w14:textId="77777777" w:rsidR="007235CE" w:rsidRPr="008018E5" w:rsidRDefault="007235CE" w:rsidP="007235CE">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100876FE" w14:textId="77777777" w:rsidR="007235CE" w:rsidRDefault="007235CE" w:rsidP="007235CE">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40760CC7" w14:textId="77777777" w:rsidR="007235CE" w:rsidRDefault="007235CE" w:rsidP="000C24DE">
      <w:pPr>
        <w:rPr>
          <w:rStyle w:val="Emphasis"/>
        </w:rPr>
      </w:pPr>
    </w:p>
    <w:p w14:paraId="02E2F03E" w14:textId="3B78DB8A" w:rsidR="000C24DE" w:rsidRDefault="007235CE" w:rsidP="007235CE">
      <w:pPr>
        <w:pStyle w:val="Heading2"/>
        <w:rPr>
          <w:rStyle w:val="Emphasis"/>
        </w:rPr>
      </w:pPr>
      <w:r>
        <w:rPr>
          <w:rStyle w:val="Emphasis"/>
        </w:rPr>
        <w:lastRenderedPageBreak/>
        <w:t>Unions CP</w:t>
      </w:r>
    </w:p>
    <w:p w14:paraId="268B17DF" w14:textId="23022209" w:rsidR="007235CE" w:rsidRPr="007235CE" w:rsidRDefault="007235CE" w:rsidP="007235CE">
      <w:pPr>
        <w:pStyle w:val="Heading4"/>
      </w:pPr>
      <w:r>
        <w:t>CP Text: The state of Qatar should allow migrant and domestic workers to join Unions. Their Amnesty International ev:</w:t>
      </w:r>
    </w:p>
    <w:p w14:paraId="0F632E7C" w14:textId="6AFB0843" w:rsidR="007235CE" w:rsidRPr="007235CE" w:rsidRDefault="007235CE" w:rsidP="007235CE">
      <w:r w:rsidRPr="007235CE">
        <w:rPr>
          <w:b/>
          <w:highlight w:val="yellow"/>
          <w:u w:val="single"/>
        </w:rPr>
        <w:t>Joining and forming a trade union is a fundamental right for workers</w:t>
      </w:r>
      <w:r w:rsidRPr="00656CB4">
        <w:rPr>
          <w:u w:val="single"/>
        </w:rPr>
        <w:t xml:space="preserve">, a right enshrined in international treaties that Qatar has ratified.74 Yet </w:t>
      </w:r>
      <w:r w:rsidRPr="007235CE">
        <w:rPr>
          <w:b/>
          <w:highlight w:val="yellow"/>
          <w:u w:val="single"/>
        </w:rPr>
        <w:t>migrant workers in Qatar are still not allowed to do this</w:t>
      </w:r>
      <w:r w:rsidRPr="007235CE">
        <w:rPr>
          <w:highlight w:val="yellow"/>
          <w:u w:val="single"/>
        </w:rPr>
        <w:t>. As a result, they cannot collectively re-balance the relationship with their employers to improve their working conditions and combat labour abuses</w:t>
      </w:r>
      <w:r w:rsidRPr="0056422D">
        <w:rPr>
          <w:sz w:val="16"/>
        </w:rPr>
        <w:t>.</w:t>
      </w:r>
    </w:p>
    <w:p w14:paraId="7D9545DE" w14:textId="62A646DD" w:rsidR="007235CE" w:rsidRPr="007235CE" w:rsidRDefault="007235CE" w:rsidP="007235CE">
      <w:pPr>
        <w:pStyle w:val="Heading4"/>
      </w:pPr>
      <w:r>
        <w:t xml:space="preserve">The aff does not let people join unions – hold them to their plan text, not what they say will happen. The CP solves the whole aff because when people join unions, they </w:t>
      </w:r>
      <w:proofErr w:type="gramStart"/>
      <w:r>
        <w:t>are able to</w:t>
      </w:r>
      <w:proofErr w:type="gramEnd"/>
      <w:r>
        <w:t xml:space="preserve"> engage in other forms of collective bargaining. Also solves for strike crackdown – migrants and domestic workers can now be part of powerful labor organizations.</w:t>
      </w:r>
    </w:p>
    <w:p w14:paraId="1CF23E71" w14:textId="5727260E" w:rsidR="000C24DE" w:rsidRDefault="000C24DE" w:rsidP="000C24DE">
      <w:pPr>
        <w:pStyle w:val="Heading2"/>
      </w:pPr>
      <w:r>
        <w:lastRenderedPageBreak/>
        <w:t>Case</w:t>
      </w:r>
    </w:p>
    <w:p w14:paraId="7B189A66" w14:textId="77777777" w:rsidR="000C24DE" w:rsidRPr="00D46F33" w:rsidRDefault="000C24DE" w:rsidP="000C24DE">
      <w:pPr>
        <w:pStyle w:val="ListParagraph"/>
        <w:keepNext/>
        <w:keepLines/>
        <w:numPr>
          <w:ilvl w:val="0"/>
          <w:numId w:val="14"/>
        </w:numPr>
        <w:spacing w:before="40" w:after="0"/>
        <w:outlineLvl w:val="3"/>
        <w:rPr>
          <w:rFonts w:eastAsia="MS Gothic"/>
          <w:b/>
          <w:iCs/>
          <w:sz w:val="26"/>
        </w:rPr>
      </w:pPr>
      <w:r w:rsidRPr="00D46F33">
        <w:rPr>
          <w:rFonts w:eastAsia="MS Gothic"/>
          <w:b/>
          <w:iCs/>
          <w:sz w:val="26"/>
        </w:rPr>
        <w:t>Turn: More strikes lead to backlash bills that weaken unions – empirically proven. Partelow ‘19</w:t>
      </w:r>
    </w:p>
    <w:p w14:paraId="79E827EC" w14:textId="77777777" w:rsidR="000C24DE" w:rsidRPr="002E25ED" w:rsidRDefault="000C24DE" w:rsidP="000C24DE">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5A508617" w14:textId="77777777" w:rsidR="000C24DE" w:rsidRPr="002E25ED" w:rsidRDefault="000C24DE" w:rsidP="000C24DE">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8"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9"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0"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1"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2"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3"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4"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5"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6"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7"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8"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9"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0"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1"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2"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3"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4"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5"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6"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7"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E34F5D9" w14:textId="77777777" w:rsidR="000C24DE" w:rsidRPr="002E25ED" w:rsidRDefault="000C24DE" w:rsidP="000C24DE">
      <w:pPr>
        <w:spacing w:line="240" w:lineRule="auto"/>
        <w:rPr>
          <w:rFonts w:eastAsia="Cambria"/>
          <w:lang w:val="en-HK"/>
        </w:rPr>
      </w:pPr>
    </w:p>
    <w:p w14:paraId="30C86957" w14:textId="77777777" w:rsidR="000C24DE" w:rsidRPr="00D46F33" w:rsidRDefault="000C24DE" w:rsidP="000C24DE">
      <w:pPr>
        <w:pStyle w:val="ListParagraph"/>
        <w:keepNext/>
        <w:keepLines/>
        <w:numPr>
          <w:ilvl w:val="0"/>
          <w:numId w:val="14"/>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137DEA7A" w14:textId="77777777" w:rsidR="000C24DE" w:rsidRPr="002E25ED" w:rsidRDefault="000C24DE" w:rsidP="000C24DE">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609902D1" w14:textId="77777777" w:rsidR="000C24DE" w:rsidRPr="002E25ED" w:rsidRDefault="000C24DE" w:rsidP="000C24DE">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8"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9"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40"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1"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2"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3"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90DE41D" w14:textId="77777777" w:rsidR="000C24DE" w:rsidRPr="002E25ED" w:rsidRDefault="000C24DE" w:rsidP="000C24DE">
      <w:pPr>
        <w:shd w:val="clear" w:color="auto" w:fill="FFFFFF"/>
        <w:spacing w:after="0" w:line="240" w:lineRule="auto"/>
        <w:ind w:left="720"/>
        <w:textAlignment w:val="baseline"/>
        <w:rPr>
          <w:rFonts w:eastAsia="Times New Roman"/>
          <w:color w:val="333333"/>
          <w:sz w:val="12"/>
        </w:rPr>
      </w:pPr>
    </w:p>
    <w:p w14:paraId="54F524B8" w14:textId="77777777" w:rsidR="000C24DE" w:rsidRPr="002E25ED" w:rsidRDefault="000C24DE" w:rsidP="000C24DE">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7BDC52EB" w14:textId="77777777" w:rsidR="000C24DE" w:rsidRPr="002E25ED" w:rsidRDefault="000C24DE" w:rsidP="000C24DE">
      <w:pPr>
        <w:pStyle w:val="Heading4"/>
        <w:numPr>
          <w:ilvl w:val="0"/>
          <w:numId w:val="14"/>
        </w:numPr>
        <w:tabs>
          <w:tab w:val="num" w:pos="360"/>
        </w:tabs>
        <w:ind w:left="360"/>
      </w:pPr>
      <w:r>
        <w:t xml:space="preserve">Conditional RTS is enough. </w:t>
      </w:r>
      <w:r w:rsidRPr="002E25ED">
        <w:t>Countries generally restrict the right to strike, even where Unions are effective and powerful.</w:t>
      </w:r>
    </w:p>
    <w:p w14:paraId="4E65EE17" w14:textId="77777777" w:rsidR="000C24DE" w:rsidRPr="002E25ED" w:rsidRDefault="000C24DE" w:rsidP="000C24DE">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376BD7C6" w14:textId="77777777" w:rsidR="000C24DE" w:rsidRDefault="000C24DE" w:rsidP="000C24DE">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3F41A497" w14:textId="77777777" w:rsidR="000C24DE" w:rsidRDefault="000C24DE" w:rsidP="000C24DE">
      <w:pPr>
        <w:pStyle w:val="Heading4"/>
        <w:numPr>
          <w:ilvl w:val="0"/>
          <w:numId w:val="14"/>
        </w:numPr>
        <w:tabs>
          <w:tab w:val="num" w:pos="360"/>
        </w:tabs>
        <w:ind w:left="360"/>
      </w:pPr>
      <w:r>
        <w:t>The problem with worker organization isn’t the right to strike- it’s companies taking deliberate anti-union action, which the aff doesn’t solve. Means the aff can never solve.</w:t>
      </w:r>
    </w:p>
    <w:p w14:paraId="545410A4" w14:textId="77777777" w:rsidR="000C24DE" w:rsidRDefault="000C24DE" w:rsidP="000C24DE">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380F50F9" w14:textId="77777777" w:rsidR="000C24DE" w:rsidRPr="00730326" w:rsidRDefault="000C24DE" w:rsidP="000C24DE">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w:t>
      </w:r>
      <w:r w:rsidRPr="00730326">
        <w:rPr>
          <w:sz w:val="12"/>
        </w:rPr>
        <w:lastRenderedPageBreak/>
        <w:t>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w:t>
      </w:r>
      <w:proofErr w:type="gramStart"/>
      <w:r w:rsidRPr="004F53A6">
        <w:rPr>
          <w:sz w:val="12"/>
        </w:rPr>
        <w:t>are able to</w:t>
      </w:r>
      <w:proofErr w:type="gramEnd"/>
      <w:r w:rsidRPr="004F53A6">
        <w:rPr>
          <w:sz w:val="12"/>
        </w:rPr>
        <w:t xml:space="preserve"> join together, form a union and collectively</w:t>
      </w:r>
      <w:r w:rsidRPr="00730326">
        <w:rPr>
          <w:sz w:val="12"/>
        </w:rPr>
        <w:t xml:space="preserve">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3EA241CA" w14:textId="77777777" w:rsidR="000C24DE" w:rsidRPr="00C6050C" w:rsidRDefault="000C24DE" w:rsidP="000C24DE"/>
    <w:p w14:paraId="07A25EB9" w14:textId="77777777" w:rsidR="000C24DE" w:rsidRPr="000C24DE" w:rsidRDefault="000C24DE" w:rsidP="000C24DE"/>
    <w:sectPr w:rsidR="000C24DE" w:rsidRPr="000C24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erif">
    <w:altName w:val="Yu Gothic"/>
    <w:panose1 w:val="020B0604020202020204"/>
    <w:charset w:val="80"/>
    <w:family w:val="roman"/>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24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C24D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ECF"/>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968"/>
    <w:rsid w:val="00717B01"/>
    <w:rsid w:val="007227D9"/>
    <w:rsid w:val="007235C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D7E"/>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6BACA"/>
  <w14:defaultImageDpi w14:val="300"/>
  <w15:docId w15:val="{27FF5CD4-07FD-374C-9075-07B8CD782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24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24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24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0C24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T"/>
    <w:basedOn w:val="Normal"/>
    <w:next w:val="Normal"/>
    <w:link w:val="Heading4Char"/>
    <w:uiPriority w:val="9"/>
    <w:unhideWhenUsed/>
    <w:qFormat/>
    <w:rsid w:val="000C24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24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4DE"/>
  </w:style>
  <w:style w:type="character" w:customStyle="1" w:styleId="Heading1Char">
    <w:name w:val="Heading 1 Char"/>
    <w:aliases w:val="Pocket Char"/>
    <w:basedOn w:val="DefaultParagraphFont"/>
    <w:link w:val="Heading1"/>
    <w:uiPriority w:val="9"/>
    <w:rsid w:val="000C24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24DE"/>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0C24D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0C24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24DE"/>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8"/>
    <w:basedOn w:val="DefaultParagraphFont"/>
    <w:uiPriority w:val="1"/>
    <w:qFormat/>
    <w:rsid w:val="000C24DE"/>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C24D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C24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0C24DE"/>
    <w:rPr>
      <w:color w:val="auto"/>
      <w:u w:val="none"/>
    </w:rPr>
  </w:style>
  <w:style w:type="paragraph" w:styleId="DocumentMap">
    <w:name w:val="Document Map"/>
    <w:basedOn w:val="Normal"/>
    <w:link w:val="DocumentMapChar"/>
    <w:uiPriority w:val="99"/>
    <w:semiHidden/>
    <w:unhideWhenUsed/>
    <w:rsid w:val="000C24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24DE"/>
    <w:rPr>
      <w:rFonts w:ascii="Lucida Grande" w:hAnsi="Lucida Grande" w:cs="Lucida Grande"/>
    </w:rPr>
  </w:style>
  <w:style w:type="paragraph" w:customStyle="1" w:styleId="textbold">
    <w:name w:val="text bold"/>
    <w:basedOn w:val="Normal"/>
    <w:link w:val="Emphasis"/>
    <w:uiPriority w:val="20"/>
    <w:qFormat/>
    <w:rsid w:val="000C24DE"/>
    <w:pPr>
      <w:pBdr>
        <w:top w:val="single" w:sz="4" w:space="0" w:color="auto"/>
        <w:left w:val="single" w:sz="4" w:space="0" w:color="auto"/>
        <w:bottom w:val="single" w:sz="4" w:space="0" w:color="auto"/>
        <w:right w:val="single" w:sz="4" w:space="0" w:color="auto"/>
      </w:pBdr>
      <w:spacing w:after="0" w:line="256" w:lineRule="auto"/>
      <w:ind w:left="720"/>
      <w:jc w:val="both"/>
    </w:pPr>
    <w:rPr>
      <w:b/>
      <w:iCs/>
      <w:u w:val="single"/>
    </w:rPr>
  </w:style>
  <w:style w:type="paragraph" w:customStyle="1" w:styleId="Quotations">
    <w:name w:val="Quotations"/>
    <w:basedOn w:val="Normal"/>
    <w:qFormat/>
    <w:rsid w:val="000C24DE"/>
    <w:pPr>
      <w:overflowPunct w:val="0"/>
      <w:spacing w:after="283" w:line="240" w:lineRule="auto"/>
      <w:ind w:left="567" w:right="567"/>
    </w:pPr>
    <w:rPr>
      <w:rFonts w:ascii="Liberation Serif" w:eastAsia="Noto Sans CJK SC Regular" w:hAnsi="Liberation Serif" w:cs="FreeSans"/>
      <w:color w:val="00000A"/>
      <w:sz w:val="24"/>
      <w:lang w:eastAsia="zh-CN" w:bidi="hi-IN"/>
    </w:rPr>
  </w:style>
  <w:style w:type="paragraph" w:customStyle="1" w:styleId="Emphasis1">
    <w:name w:val="Emphasis1"/>
    <w:basedOn w:val="Normal"/>
    <w:autoRedefine/>
    <w:uiPriority w:val="20"/>
    <w:qFormat/>
    <w:rsid w:val="000C24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0C2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morningconsult.com/opinions/americas-teachers-are-at-their-boiling-point/"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 TargetMode="External"/><Relationship Id="rId34" Type="http://schemas.openxmlformats.org/officeDocument/2006/relationships/hyperlink" Target="http://nymag.com/intelligencer/2019/01/teacher-walkouts-gop-lawmakers-push-retaliatory-bills.html"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tucson.com/news/local/gov-ducey-teachers-aren-t-going-to-get-percent-pay/article_75a9b7dc-930b-5374-be12-61fb840e4ce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cnn.com/2018/04/03/us/oklahoma-teachers-textbooks-trnd/index.html" TargetMode="External"/><Relationship Id="rId32" Type="http://schemas.openxmlformats.org/officeDocument/2006/relationships/hyperlink" Target="http://www.nea.org/assets/docs/180413-Rankings_And_Estimates_Report_2018.pdf" TargetMode="External"/><Relationship Id="rId37" Type="http://schemas.openxmlformats.org/officeDocument/2006/relationships/hyperlink" Target="https://newsok.com/article/5593286/bill-is-revenge-for-teacher-walkout-unions-say"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motherjones.com/politics/2018/01/its-not-just-freezing-classrooms-in-baltimore-americas-schools-are-physically-falling-apart/" TargetMode="External"/><Relationship Id="rId28" Type="http://schemas.openxmlformats.org/officeDocument/2006/relationships/hyperlink" Target="https://www.latimes.com/nation/la-na-teacher-funding-20180306-story.html" TargetMode="External"/><Relationship Id="rId36" Type="http://schemas.openxmlformats.org/officeDocument/2006/relationships/hyperlink" Target="https://www.nytimes.com/aponline/2019/01/28/us/ap-us-education-bill-west-virginia.htm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nymag.com/intelligencer/2019/01/teacher-walkouts-gop-lawmakers-push-retaliatory-bills.html" TargetMode="External"/><Relationship Id="rId31" Type="http://schemas.openxmlformats.org/officeDocument/2006/relationships/hyperlink" Target="https://thehill.com/homenews/state-watch/426030-states-race-to-prevent-teacher-strikes-by-boosting-pa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5b" TargetMode="External"/><Relationship Id="rId27" Type="http://schemas.openxmlformats.org/officeDocument/2006/relationships/hyperlink" Target="https://www.americanprogressaction.org/issues/education/news/2018/10/09/171813/little-late-many-gubernatorial-candidates-education-funding/" TargetMode="External"/><Relationship Id="rId30" Type="http://schemas.openxmlformats.org/officeDocument/2006/relationships/hyperlink" Target="https://www.reuters.com/article/us-usa-education-arizona/arizona-governor-signs-bill-to-boost-teachers-wages-amid-strike-idUSKBN1I40N8" TargetMode="External"/><Relationship Id="rId35" Type="http://schemas.openxmlformats.org/officeDocument/2006/relationships/hyperlink" Target="https://www.vox.com/policy-and-politics/2018/4/23/17270422/colorado-teachers-strike-jail-bill" TargetMode="External"/><Relationship Id="rId43"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tucson.com/news/local/we-continue-to-worsen-nearly-arizona-teaching-jobs-remain-vacant/article_1c8d665a-a422-5c7b-95b9-98afe0cb0c6f.html" TargetMode="External"/><Relationship Id="rId33" Type="http://schemas.openxmlformats.org/officeDocument/2006/relationships/hyperlink" Target="https://www.apnews.com/883e9d387709112a11ee8901c223294e" TargetMode="External"/><Relationship Id="rId38" Type="http://schemas.openxmlformats.org/officeDocument/2006/relationships/hyperlink" Target="https://www.epi.org/publication/fear-at-work-how-employers-scare-workers-out-of-unionizing/" TargetMode="External"/><Relationship Id="rId20" Type="http://schemas.openxmlformats.org/officeDocument/2006/relationships/hyperlink" Target="https://www.nytimes.com/2018/05/16/us/teacher-walkout-north-carolina.html"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15</Pages>
  <Words>8973</Words>
  <Characters>51151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2021-12-13T15:43:00Z</dcterms:created>
  <dcterms:modified xsi:type="dcterms:W3CDTF">2021-12-13T16:27:00Z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