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54536" w14:textId="77777777" w:rsidR="00487096" w:rsidRDefault="00487096" w:rsidP="00487096">
      <w:pPr>
        <w:pStyle w:val="Heading2"/>
      </w:pPr>
      <w:r>
        <w:t>Extra T</w:t>
      </w:r>
    </w:p>
    <w:p w14:paraId="3A5CF438" w14:textId="77777777" w:rsidR="00487096" w:rsidRPr="00487096" w:rsidRDefault="00487096" w:rsidP="00487096">
      <w:pPr>
        <w:pStyle w:val="Heading4"/>
      </w:pPr>
      <w:r>
        <w:t xml:space="preserve">Our </w:t>
      </w:r>
      <w:r w:rsidRPr="00630D10">
        <w:t>interpretation is The aff shouldn’t be allowed to garner offense from actions beyond the scope of the resolution.</w:t>
      </w:r>
      <w:r w:rsidRPr="00630D10">
        <w:br/>
      </w:r>
    </w:p>
    <w:p w14:paraId="1B11ECC0" w14:textId="77777777" w:rsidR="00487096" w:rsidRDefault="00487096" w:rsidP="00487096">
      <w:pPr>
        <w:pStyle w:val="Heading4"/>
      </w:pPr>
      <w:r>
        <w:t>Medicines are used for diagnosis, treatment, and prevention of disease. OED ND</w:t>
      </w:r>
    </w:p>
    <w:p w14:paraId="19B44484" w14:textId="77777777" w:rsidR="00487096" w:rsidRPr="00487096" w:rsidRDefault="00487096" w:rsidP="00487096">
      <w:r>
        <w:t>Oxford English Dicitonary</w:t>
      </w:r>
    </w:p>
    <w:p w14:paraId="33B5295C" w14:textId="77777777" w:rsidR="00487096" w:rsidRPr="00487096" w:rsidRDefault="00487096" w:rsidP="00487096">
      <w:pPr>
        <w:rPr>
          <w:sz w:val="12"/>
        </w:rPr>
      </w:pPr>
      <w:r w:rsidRPr="00487096">
        <w:rPr>
          <w:rStyle w:val="StyleUnderline"/>
          <w:highlight w:val="yellow"/>
        </w:rPr>
        <w:t>Medicine</w:t>
      </w:r>
      <w:r w:rsidRPr="00487096">
        <w:rPr>
          <w:sz w:val="12"/>
        </w:rPr>
        <w:t xml:space="preserve"> noun plural noun: medicines, </w:t>
      </w:r>
      <w:r w:rsidRPr="00487096">
        <w:rPr>
          <w:rStyle w:val="StyleUnderline"/>
          <w:highlight w:val="yellow"/>
        </w:rPr>
        <w:t>the science or practice of the diagnosis, treatment, and prevention of disease</w:t>
      </w:r>
      <w:r w:rsidRPr="00487096">
        <w:rPr>
          <w:rStyle w:val="StyleUnderline"/>
        </w:rPr>
        <w:t xml:space="preserve"> </w:t>
      </w:r>
      <w:r w:rsidRPr="00487096">
        <w:rPr>
          <w:sz w:val="12"/>
        </w:rPr>
        <w:t>(in technical use often taken to exclude surgery).</w:t>
      </w:r>
    </w:p>
    <w:p w14:paraId="48008B1C" w14:textId="05DBC929" w:rsidR="00487096" w:rsidRDefault="00487096" w:rsidP="00487096">
      <w:pPr>
        <w:pStyle w:val="Heading4"/>
      </w:pPr>
      <w:r>
        <w:t>Violation: they defend reduction of IP protections on non-medicines. I read yellow.</w:t>
      </w:r>
    </w:p>
    <w:p w14:paraId="5BC0D667" w14:textId="38FE07A2" w:rsidR="00E96821" w:rsidRPr="00E96821" w:rsidRDefault="00E96821" w:rsidP="00E96821">
      <w:pPr>
        <w:shd w:val="clear" w:color="auto" w:fill="FFFFFF"/>
        <w:spacing w:line="240" w:lineRule="auto"/>
        <w:rPr>
          <w:rFonts w:ascii="Times New Roman" w:eastAsia="Times New Roman" w:hAnsi="Times New Roman" w:cs="Times New Roman"/>
          <w:color w:val="000000"/>
          <w:sz w:val="16"/>
          <w:szCs w:val="16"/>
        </w:rPr>
      </w:pPr>
      <w:r>
        <w:rPr>
          <w:rFonts w:ascii="Arial" w:eastAsia="Arial" w:hAnsi="Arial" w:cs="Arial"/>
          <w:color w:val="000000"/>
          <w:sz w:val="16"/>
          <w:szCs w:val="16"/>
        </w:rPr>
        <w:t xml:space="preserve">Martin </w:t>
      </w:r>
      <w:r>
        <w:rPr>
          <w:b/>
          <w:sz w:val="26"/>
          <w:szCs w:val="26"/>
        </w:rPr>
        <w:t>Khor</w:t>
      </w:r>
      <w:r>
        <w:rPr>
          <w:rFonts w:ascii="Arial" w:eastAsia="Arial" w:hAnsi="Arial" w:cs="Arial"/>
          <w:color w:val="000000"/>
          <w:sz w:val="16"/>
          <w:szCs w:val="16"/>
        </w:rPr>
        <w:t xml:space="preserve"> October </w:t>
      </w:r>
      <w:r>
        <w:rPr>
          <w:b/>
          <w:sz w:val="26"/>
          <w:szCs w:val="26"/>
        </w:rPr>
        <w:t>2000</w:t>
      </w:r>
      <w:r>
        <w:rPr>
          <w:color w:val="000000"/>
          <w:sz w:val="16"/>
          <w:szCs w:val="16"/>
        </w:rPr>
        <w:t xml:space="preserve"> </w:t>
      </w:r>
      <w:r>
        <w:rPr>
          <w:rFonts w:ascii="Arial" w:eastAsia="Arial" w:hAnsi="Arial" w:cs="Arial"/>
          <w:color w:val="000000"/>
          <w:sz w:val="16"/>
          <w:szCs w:val="16"/>
        </w:rPr>
        <w:t>Why Life Forms Should Not Be Patented</w:t>
      </w:r>
      <w:r>
        <w:rPr>
          <w:color w:val="000000"/>
          <w:sz w:val="16"/>
          <w:szCs w:val="16"/>
        </w:rPr>
        <w:t xml:space="preserve"> </w:t>
      </w:r>
      <w:r>
        <w:rPr>
          <w:rFonts w:ascii="Arial" w:eastAsia="Arial" w:hAnsi="Arial" w:cs="Arial"/>
          <w:color w:val="000000"/>
          <w:sz w:val="16"/>
          <w:szCs w:val="16"/>
        </w:rPr>
        <w:t>Third World Network Features, https://www.twn.my/title/2103.htm</w:t>
      </w:r>
    </w:p>
    <w:p w14:paraId="57E57F19" w14:textId="77777777" w:rsidR="00487096" w:rsidRPr="00487096" w:rsidRDefault="00487096" w:rsidP="00487096">
      <w:r w:rsidRPr="00AF4B49">
        <w:rPr>
          <w:rStyle w:val="Emphasis"/>
        </w:rPr>
        <w:t xml:space="preserve">She said that </w:t>
      </w:r>
      <w:r w:rsidRPr="004140F3">
        <w:rPr>
          <w:rStyle w:val="Emphasis"/>
          <w:highlight w:val="cyan"/>
        </w:rPr>
        <w:t>there are four categories of patents on life forms and processes, which should be prohibited or banned. 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indigenous communities, 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 xml:space="preserve">Patents on </w:t>
      </w:r>
      <w:r w:rsidRPr="00487096">
        <w:rPr>
          <w:rStyle w:val="Emphasis"/>
          <w:highlight w:val="yellow"/>
        </w:rPr>
        <w:t>discoveries, for example, micro-organisms, cell lines, genomes, gene</w:t>
      </w:r>
      <w:r w:rsidRPr="00AF4B49">
        <w:rPr>
          <w:rStyle w:val="Emphasis"/>
        </w:rPr>
        <w:t xml:space="preserv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 xml:space="preserve">Patents on </w:t>
      </w:r>
      <w:r w:rsidRPr="00487096">
        <w:rPr>
          <w:rStyle w:val="Emphasis"/>
          <w:highlight w:val="yellow"/>
        </w:rPr>
        <w:t>transgenic techniques and constructs, and transgenic plants, animals and micro-organisms</w:t>
      </w:r>
      <w:r w:rsidRPr="00AF4B49">
        <w:rPr>
          <w:rStyle w:val="Emphasis"/>
        </w:rPr>
        <w:t xml:space="preserve"> </w:t>
      </w:r>
      <w:r w:rsidRPr="004140F3">
        <w:rPr>
          <w:sz w:val="12"/>
        </w:rPr>
        <w:t>(better known as genetically modified organisms);</w:t>
      </w:r>
      <w:r w:rsidRPr="00AF4B49">
        <w:rPr>
          <w:rStyle w:val="Emphasis"/>
        </w:rPr>
        <w:t xml:space="preserve"> </w:t>
      </w:r>
      <w:r w:rsidRPr="004140F3">
        <w:rPr>
          <w:rStyle w:val="Emphasis"/>
          <w:highlight w:val="cyan"/>
        </w:rPr>
        <w:t xml:space="preserve">and · </w:t>
      </w:r>
      <w:r w:rsidRPr="00487096">
        <w:rPr>
          <w:rStyle w:val="Emphasis"/>
          <w:highlight w:val="yellow"/>
        </w:rPr>
        <w:t>Patents on nuclear transplant cloning (for example, the techniques that produced Dolly the sheep</w:t>
      </w:r>
      <w:r w:rsidRPr="00AF4B49">
        <w:rPr>
          <w:rStyle w:val="Emphasis"/>
        </w:rPr>
        <w:t>)</w:t>
      </w:r>
    </w:p>
    <w:p w14:paraId="1A49B854" w14:textId="77777777" w:rsidR="00487096" w:rsidRPr="00630D10" w:rsidRDefault="00487096" w:rsidP="00487096">
      <w:pPr>
        <w:pStyle w:val="Heading4"/>
      </w:pPr>
      <w:r w:rsidRPr="00630D10">
        <w:lastRenderedPageBreak/>
        <w:t>Standards:</w:t>
      </w:r>
    </w:p>
    <w:p w14:paraId="1931249E" w14:textId="77777777" w:rsidR="00487096" w:rsidRPr="00630D10" w:rsidRDefault="00487096" w:rsidP="00487096">
      <w:pPr>
        <w:pStyle w:val="Heading4"/>
      </w:pPr>
      <w:r w:rsidRPr="00630D10">
        <w:t>Ground: Allowing the aff to access extratopical offense explodes the range of possible aff arguments. While the negative may only access offense from topical arguments about the aff, the aff may access offense from any area they wish. This is essentially unlimited: once the topic doesn’t matter, they can garner offense from reforming the government entirely or solving world peace. </w:t>
      </w:r>
    </w:p>
    <w:p w14:paraId="0D567A6C" w14:textId="77777777" w:rsidR="00487096" w:rsidRPr="00630D10" w:rsidRDefault="00487096" w:rsidP="00487096">
      <w:pPr>
        <w:pStyle w:val="Heading4"/>
      </w:pPr>
      <w:r w:rsidRPr="00630D10">
        <w:t xml:space="preserve">Predictability: The negative preparation for the round relies on the topic as a limit to aff advocacies. Allowing the aff to be extratopical prevents the negative from preparing answers, and gives the aff a huge advantage in terms of quality and quantity of relevant evidence. This prevents me from having evidence to test </w:t>
      </w:r>
      <w:r>
        <w:t>her</w:t>
      </w:r>
      <w:r w:rsidRPr="00630D10">
        <w:t xml:space="preserve"> solvency advocates.</w:t>
      </w:r>
    </w:p>
    <w:p w14:paraId="49A33D7A" w14:textId="77777777" w:rsidR="00487096" w:rsidRPr="00630D10" w:rsidRDefault="00487096" w:rsidP="00487096">
      <w:pPr>
        <w:pStyle w:val="Heading4"/>
      </w:pPr>
      <w:r w:rsidRPr="00630D10">
        <w:t xml:space="preserve">Strat Skew: </w:t>
      </w:r>
      <w:r>
        <w:t xml:space="preserve">Her </w:t>
      </w:r>
      <w:r w:rsidRPr="00630D10">
        <w:t xml:space="preserve">blurring of extratopical arguments with topical arguments forces me to waste CX and speech time to identify which impacts </w:t>
      </w:r>
      <w:r>
        <w:t>s</w:t>
      </w:r>
      <w:r w:rsidRPr="00630D10">
        <w:t xml:space="preserve">he can get. </w:t>
      </w:r>
      <w:r>
        <w:t>Sh</w:t>
      </w:r>
      <w:r w:rsidRPr="00630D10">
        <w:t>e also can plan on claiming more of the extratopical benefits later in the round, which skews NC and NR Strategy.</w:t>
      </w:r>
      <w:r>
        <w:t xml:space="preserve"> She’ll say that these lead to a reduction in IPR but that logic applies to affs that say overthrow capitalism because that’ll get rid of IPR.</w:t>
      </w:r>
    </w:p>
    <w:p w14:paraId="167A4CA9" w14:textId="77777777" w:rsidR="00487096" w:rsidRPr="00630D10" w:rsidRDefault="00487096" w:rsidP="00487096">
      <w:pPr>
        <w:pStyle w:val="Heading4"/>
        <w:rPr>
          <w:rFonts w:eastAsia="Times New Roman" w:cs="Times New Roman"/>
          <w:lang w:eastAsia="zh-CN"/>
        </w:rPr>
      </w:pPr>
      <w:r w:rsidRPr="00630D10">
        <w:t>Voter: Fairness is a gateway issue because unfair rules result in unfair decisions. The ballot shouldn’t be a measure of who can interpret the resolution in the most imbalanced manner. Your decision is meaningless unless you</w:t>
      </w:r>
      <w:r w:rsidRPr="00630D10">
        <w:rPr>
          <w:rFonts w:eastAsia="Times New Roman" w:cs="Times New Roman"/>
          <w:lang w:eastAsia="zh-CN"/>
        </w:rPr>
        <w:t xml:space="preserve"> enforce ground-rules that maintain fairness. </w:t>
      </w:r>
    </w:p>
    <w:p w14:paraId="6CDBB2FA" w14:textId="0477A39A" w:rsidR="00487096" w:rsidRDefault="00487096" w:rsidP="00487096">
      <w:pPr>
        <w:pStyle w:val="Heading4"/>
      </w:pPr>
      <w:r>
        <w:t xml:space="preserve">No RVIS – don’t get a cookie for being fair and it’s illogical </w:t>
      </w:r>
    </w:p>
    <w:p w14:paraId="7CCC04F0" w14:textId="2D894E18" w:rsidR="00E96821" w:rsidRPr="00E96821" w:rsidRDefault="00E96821" w:rsidP="00E96821">
      <w:pPr>
        <w:pStyle w:val="Heading4"/>
      </w:pPr>
      <w:r>
        <w:t>T before 1AR theory – any abuse on our part was because of an unfair aff</w:t>
      </w:r>
    </w:p>
    <w:p w14:paraId="436E1AE1" w14:textId="77777777" w:rsidR="00487096" w:rsidRDefault="00487096" w:rsidP="00487096">
      <w:pPr>
        <w:pStyle w:val="Heading4"/>
      </w:pPr>
      <w:r>
        <w:t xml:space="preserve">Drop the debater – Aff set the stage for the rest of the debate, dropping the argument is the same as dropping the Aff and deters other abuses </w:t>
      </w:r>
    </w:p>
    <w:p w14:paraId="7209FF87" w14:textId="77777777" w:rsidR="00487096" w:rsidRPr="004421CF" w:rsidRDefault="00487096" w:rsidP="00487096"/>
    <w:p w14:paraId="327D9AB8" w14:textId="77777777" w:rsidR="00487096" w:rsidRDefault="00487096" w:rsidP="004421CF">
      <w:pPr>
        <w:pStyle w:val="Heading2"/>
      </w:pPr>
    </w:p>
    <w:p w14:paraId="4EF22291" w14:textId="03536CB2" w:rsidR="004421CF" w:rsidRDefault="004421CF" w:rsidP="004421CF">
      <w:pPr>
        <w:pStyle w:val="Heading2"/>
      </w:pPr>
      <w:r>
        <w:lastRenderedPageBreak/>
        <w:t>CP</w:t>
      </w:r>
    </w:p>
    <w:p w14:paraId="025F915F" w14:textId="5E6A20AA" w:rsidR="004421CF" w:rsidRPr="001631A3" w:rsidRDefault="004421CF" w:rsidP="004421CF">
      <w:pPr>
        <w:pStyle w:val="Heading4"/>
        <w:numPr>
          <w:ilvl w:val="0"/>
          <w:numId w:val="12"/>
        </w:numPr>
        <w:rPr>
          <w:rFonts w:asciiTheme="majorHAnsi" w:hAnsiTheme="majorHAnsi" w:cstheme="majorHAnsi"/>
        </w:rPr>
      </w:pPr>
      <w:r w:rsidRPr="001631A3">
        <w:rPr>
          <w:rFonts w:asciiTheme="majorHAnsi" w:hAnsiTheme="majorHAnsi" w:cstheme="majorHAnsi"/>
        </w:rPr>
        <w:t>Indigenous people need strong intellectual property rights to traditional medicines – their unique medicinal knowledge is open to appropriation and theft from larger Western pharmaceutical companies without it</w:t>
      </w:r>
      <w:r>
        <w:rPr>
          <w:rFonts w:asciiTheme="majorHAnsi" w:hAnsiTheme="majorHAnsi" w:cstheme="majorHAnsi"/>
        </w:rPr>
        <w:t xml:space="preserve">. Turns case because they prevent Indigenous </w:t>
      </w:r>
      <w:r w:rsidR="00B27147">
        <w:rPr>
          <w:rFonts w:asciiTheme="majorHAnsi" w:hAnsiTheme="majorHAnsi" w:cstheme="majorHAnsi"/>
        </w:rPr>
        <w:t>people from patenting their own medicines</w:t>
      </w:r>
      <w:r w:rsidR="00E96821">
        <w:rPr>
          <w:rFonts w:asciiTheme="majorHAnsi" w:hAnsiTheme="majorHAnsi" w:cstheme="majorHAnsi"/>
        </w:rPr>
        <w:t xml:space="preserve"> by limiting patents to countries.</w:t>
      </w:r>
      <w:r w:rsidRPr="001631A3">
        <w:rPr>
          <w:rFonts w:asciiTheme="majorHAnsi" w:hAnsiTheme="majorHAnsi" w:cstheme="majorHAnsi"/>
        </w:rPr>
        <w:t xml:space="preserve"> – Sinela and Ramcharan ‘05</w:t>
      </w:r>
    </w:p>
    <w:p w14:paraId="27589905" w14:textId="77777777" w:rsidR="004421CF" w:rsidRPr="001631A3" w:rsidRDefault="004421CF" w:rsidP="004421CF">
      <w:pPr>
        <w:rPr>
          <w:rFonts w:asciiTheme="majorHAnsi" w:hAnsiTheme="majorHAnsi" w:cstheme="majorHAnsi"/>
        </w:rPr>
      </w:pPr>
      <w:r w:rsidRPr="001631A3">
        <w:rPr>
          <w:rFonts w:asciiTheme="majorHAnsi" w:hAnsiTheme="majorHAnsi" w:cstheme="majorHAnsi"/>
        </w:rPr>
        <w:t>SINJELA, MPAZI, and ROBIN RAMCHARAN. “Protecting Traditional Knowledge and Traditional Medicines of Indigenous Peoples through Intellectual Property Rights: Issues, Challenges and Strategies.” International Journal on Minority and Group Rights, vol. 12, no. 1, 2005, pp. 1–24. LK</w:t>
      </w:r>
    </w:p>
    <w:p w14:paraId="0CF30E71" w14:textId="77777777" w:rsidR="004421CF" w:rsidRPr="001631A3" w:rsidRDefault="004421CF" w:rsidP="004421CF">
      <w:pPr>
        <w:rPr>
          <w:rFonts w:asciiTheme="majorHAnsi" w:hAnsiTheme="majorHAnsi" w:cstheme="majorHAnsi"/>
          <w:sz w:val="12"/>
        </w:rPr>
      </w:pPr>
      <w:r w:rsidRPr="001631A3">
        <w:rPr>
          <w:rFonts w:asciiTheme="majorHAnsi" w:hAnsiTheme="majorHAnsi" w:cstheme="majorHAnsi"/>
          <w:sz w:val="12"/>
        </w:rPr>
        <w:t xml:space="preserve">At one stage a desire began to emerge in indigenous circles for a forum in the United Nations that dealt not only with human rights issues but with the broad range of environmental, developmental and cultural issues affecting indigenous populations. This led to calls for the establishment, as a subsidiary body of the ECOSOC, of a permanent forum on indigenous issues. This forum was finally established in 2000 and met for the first time at UN headquarters in New York in the summer of 2002.9 The Permanent Forum has thus far held three sessions. As of the time of writing there is a debate going on whether the buo Commission's Working Group on Indigenous Populations should be continued in the light of the establishment of the Permanent Forum. Some governments have apparently favored the discontinuance of the Working Group while indigenous peoples favor its continuation. At the Summer Session of the ECOSOC in 2004 the Secretary General of the United Nations submitted a report summarizing the views of States and indigenous organizations on this issue, and, as of the time of writing, the issue still remains open. The study by Mr. Martinez Cobo, the Working Group on Indigenous issues, the working group on a draft declaration and the Permanent Forum have thus been the main building blocks within the United Nations in the past four decades to advance the human rights of indigenous peoples. In the course of their work, they have, inter alia, highlighted the need for the protection of the intellectual property rights of indigenous peoples. Following on from the work of Mr. Martinez Cobo, cultural heritage and intellectual property have been issues of interest to the Working Group. In 1992, the Working Group and the World Intellectual Property Organization (WIPO) held a Technical Conference on Indigenous peoples at which participants recommended that the United Nations develop more effective measures to protect the intellectual and cultural property rights of indigenous peoples.10 A 1993 report by Erica Daes, Chairperson of the Working Group, on the protection of cultural and intellectual property, noted that </w:t>
      </w:r>
      <w:r w:rsidRPr="001631A3">
        <w:rPr>
          <w:rStyle w:val="Emphasis"/>
          <w:rFonts w:asciiTheme="majorHAnsi" w:hAnsiTheme="majorHAnsi" w:cstheme="majorHAnsi"/>
          <w:highlight w:val="yellow"/>
        </w:rPr>
        <w:t>the term "'indigenous' embraces</w:t>
      </w:r>
      <w:r w:rsidRPr="001631A3">
        <w:rPr>
          <w:rStyle w:val="Emphasis"/>
          <w:rFonts w:asciiTheme="majorHAnsi" w:hAnsiTheme="majorHAnsi" w:cstheme="majorHAnsi"/>
        </w:rPr>
        <w:t xml:space="preserve"> the notion of </w:t>
      </w:r>
      <w:r w:rsidRPr="001631A3">
        <w:rPr>
          <w:rStyle w:val="Emphasis"/>
          <w:rFonts w:asciiTheme="majorHAnsi" w:hAnsiTheme="majorHAnsi" w:cstheme="majorHAnsi"/>
          <w:highlight w:val="yellow"/>
        </w:rPr>
        <w:t xml:space="preserve">a distinct </w:t>
      </w:r>
      <w:r w:rsidRPr="001631A3">
        <w:rPr>
          <w:rStyle w:val="Emphasis"/>
          <w:rFonts w:asciiTheme="majorHAnsi" w:hAnsiTheme="majorHAnsi" w:cstheme="majorHAnsi"/>
        </w:rPr>
        <w:t xml:space="preserve">and separate </w:t>
      </w:r>
      <w:r w:rsidRPr="001631A3">
        <w:rPr>
          <w:rStyle w:val="Emphasis"/>
          <w:rFonts w:asciiTheme="majorHAnsi" w:hAnsiTheme="majorHAnsi" w:cstheme="majorHAnsi"/>
          <w:highlight w:val="yellow"/>
        </w:rPr>
        <w:t>culture</w:t>
      </w:r>
      <w:r w:rsidRPr="001631A3">
        <w:rPr>
          <w:rFonts w:asciiTheme="majorHAnsi" w:hAnsiTheme="majorHAnsi" w:cstheme="majorHAnsi"/>
          <w:sz w:val="12"/>
        </w:rPr>
        <w:t xml:space="preserve"> and way of life, </w:t>
      </w:r>
      <w:r w:rsidRPr="001631A3">
        <w:rPr>
          <w:rStyle w:val="Emphasis"/>
          <w:rFonts w:asciiTheme="majorHAnsi" w:hAnsiTheme="majorHAnsi" w:cstheme="majorHAnsi"/>
          <w:highlight w:val="yellow"/>
        </w:rPr>
        <w:t>based on long-held traditions and knowledge</w:t>
      </w:r>
      <w:r w:rsidRPr="001631A3">
        <w:rPr>
          <w:rFonts w:asciiTheme="majorHAnsi" w:hAnsiTheme="majorHAnsi" w:cstheme="majorHAnsi"/>
          <w:sz w:val="12"/>
        </w:rPr>
        <w:t xml:space="preserve"> which are </w:t>
      </w:r>
      <w:r w:rsidRPr="001631A3">
        <w:rPr>
          <w:rStyle w:val="Emphasis"/>
          <w:rFonts w:asciiTheme="majorHAnsi" w:hAnsiTheme="majorHAnsi" w:cstheme="majorHAnsi"/>
          <w:highlight w:val="yellow"/>
        </w:rPr>
        <w:t>connected</w:t>
      </w:r>
      <w:r w:rsidRPr="001631A3">
        <w:rPr>
          <w:rFonts w:asciiTheme="majorHAnsi" w:hAnsiTheme="majorHAnsi" w:cstheme="majorHAnsi"/>
          <w:sz w:val="12"/>
        </w:rPr>
        <w:t xml:space="preserve">, fundamentally,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a specific </w:t>
      </w:r>
      <w:r w:rsidRPr="001631A3">
        <w:rPr>
          <w:rStyle w:val="Emphasis"/>
          <w:rFonts w:asciiTheme="majorHAnsi" w:hAnsiTheme="majorHAnsi" w:cstheme="majorHAnsi"/>
          <w:highlight w:val="yellow"/>
        </w:rPr>
        <w:t>territory</w:t>
      </w:r>
      <w:r w:rsidRPr="001631A3">
        <w:rPr>
          <w:rFonts w:asciiTheme="majorHAnsi" w:hAnsiTheme="majorHAnsi" w:cstheme="majorHAnsi"/>
          <w:sz w:val="12"/>
        </w:rPr>
        <w:t xml:space="preserve">. </w:t>
      </w:r>
      <w:r w:rsidRPr="001631A3">
        <w:rPr>
          <w:rStyle w:val="Emphasis"/>
          <w:rFonts w:asciiTheme="majorHAnsi" w:hAnsiTheme="majorHAnsi" w:cstheme="majorHAnsi"/>
          <w:highlight w:val="yellow"/>
        </w:rPr>
        <w:t>Indigenous peoples cannot survive</w:t>
      </w:r>
      <w:r w:rsidRPr="001631A3">
        <w:rPr>
          <w:rStyle w:val="Emphasis"/>
          <w:rFonts w:asciiTheme="majorHAnsi" w:hAnsiTheme="majorHAnsi" w:cstheme="majorHAnsi"/>
        </w:rPr>
        <w:t>, or exercise their fundamental human rights as distinct</w:t>
      </w:r>
      <w:r w:rsidRPr="001631A3">
        <w:rPr>
          <w:rFonts w:asciiTheme="majorHAnsi" w:hAnsiTheme="majorHAnsi" w:cstheme="majorHAnsi"/>
          <w:sz w:val="12"/>
        </w:rPr>
        <w:t xml:space="preserve"> nations, </w:t>
      </w:r>
      <w:r w:rsidRPr="001631A3">
        <w:rPr>
          <w:rStyle w:val="Emphasis"/>
          <w:rFonts w:asciiTheme="majorHAnsi" w:hAnsiTheme="majorHAnsi" w:cstheme="majorHAnsi"/>
        </w:rPr>
        <w:t>societies</w:t>
      </w:r>
      <w:r w:rsidRPr="001631A3">
        <w:rPr>
          <w:rFonts w:asciiTheme="majorHAnsi" w:hAnsiTheme="majorHAnsi" w:cstheme="majorHAnsi"/>
          <w:sz w:val="12"/>
        </w:rPr>
        <w:t xml:space="preserve"> and peoples, </w:t>
      </w:r>
      <w:r w:rsidRPr="001631A3">
        <w:rPr>
          <w:rStyle w:val="Emphasis"/>
          <w:rFonts w:asciiTheme="majorHAnsi" w:hAnsiTheme="majorHAnsi" w:cstheme="majorHAnsi"/>
          <w:highlight w:val="yellow"/>
        </w:rPr>
        <w:t>without the ability to conserve, revive, develop and teach the wisdom they have inherited</w:t>
      </w:r>
      <w:r w:rsidRPr="001631A3">
        <w:rPr>
          <w:rStyle w:val="Emphasis"/>
          <w:rFonts w:asciiTheme="majorHAnsi" w:hAnsiTheme="majorHAnsi" w:cstheme="majorHAnsi"/>
        </w:rPr>
        <w:t xml:space="preserve"> from their ancestors</w:t>
      </w:r>
      <w:r w:rsidRPr="001631A3">
        <w:rPr>
          <w:rFonts w:asciiTheme="majorHAnsi" w:hAnsiTheme="majorHAnsi" w:cstheme="majorHAnsi"/>
          <w:sz w:val="12"/>
        </w:rPr>
        <w:t xml:space="preserve">."" The Chairperson was "compelled to the conclusion" that </w:t>
      </w:r>
      <w:r w:rsidRPr="001631A3">
        <w:rPr>
          <w:rStyle w:val="Emphasis"/>
          <w:rFonts w:asciiTheme="majorHAnsi" w:hAnsiTheme="majorHAnsi" w:cstheme="majorHAnsi"/>
          <w:highlight w:val="yellow"/>
        </w:rPr>
        <w:t>the distinction between cultural and intellectual property</w:t>
      </w:r>
      <w:r w:rsidRPr="001631A3">
        <w:rPr>
          <w:rStyle w:val="Emphasis"/>
          <w:rFonts w:asciiTheme="majorHAnsi" w:hAnsiTheme="majorHAnsi" w:cstheme="majorHAnsi"/>
        </w:rPr>
        <w:t xml:space="preserve">, from the indigenous viewpoint, </w:t>
      </w:r>
      <w:r w:rsidRPr="001631A3">
        <w:rPr>
          <w:rStyle w:val="Emphasis"/>
          <w:rFonts w:asciiTheme="majorHAnsi" w:hAnsiTheme="majorHAnsi" w:cstheme="majorHAnsi"/>
          <w:highlight w:val="yellow"/>
        </w:rPr>
        <w:t>was</w:t>
      </w:r>
      <w:r w:rsidRPr="001631A3">
        <w:rPr>
          <w:rFonts w:asciiTheme="majorHAnsi" w:hAnsiTheme="majorHAnsi" w:cstheme="majorHAnsi"/>
          <w:sz w:val="12"/>
        </w:rPr>
        <w:t xml:space="preserve"> an </w:t>
      </w:r>
      <w:r w:rsidRPr="001631A3">
        <w:rPr>
          <w:rStyle w:val="Emphasis"/>
          <w:rFonts w:asciiTheme="majorHAnsi" w:hAnsiTheme="majorHAnsi" w:cstheme="majorHAnsi"/>
          <w:highlight w:val="yellow"/>
        </w:rPr>
        <w:t>artificial</w:t>
      </w:r>
      <w:r w:rsidRPr="001631A3">
        <w:rPr>
          <w:rFonts w:asciiTheme="majorHAnsi" w:hAnsiTheme="majorHAnsi" w:cstheme="majorHAnsi"/>
          <w:sz w:val="12"/>
        </w:rPr>
        <w:t xml:space="preserve"> one. Indeed, "Industrialized societies tend to distinguish between art and science, or between creative inspiration and logical analysis. </w:t>
      </w:r>
      <w:r w:rsidRPr="001631A3">
        <w:rPr>
          <w:rStyle w:val="Emphasis"/>
          <w:rFonts w:asciiTheme="majorHAnsi" w:hAnsiTheme="majorHAnsi" w:cstheme="majorHAnsi"/>
          <w:highlight w:val="yellow"/>
        </w:rPr>
        <w:t>Indigenous peoples regard all products of the human</w:t>
      </w:r>
      <w:r w:rsidRPr="001631A3">
        <w:rPr>
          <w:rStyle w:val="Emphasis"/>
          <w:rFonts w:asciiTheme="majorHAnsi" w:hAnsiTheme="majorHAnsi" w:cstheme="majorHAnsi"/>
        </w:rPr>
        <w:t xml:space="preserve"> mind and heart as</w:t>
      </w:r>
      <w:r w:rsidRPr="001631A3">
        <w:rPr>
          <w:rFonts w:asciiTheme="majorHAnsi" w:hAnsiTheme="majorHAnsi" w:cstheme="majorHAnsi"/>
          <w:sz w:val="12"/>
        </w:rPr>
        <w:t xml:space="preserve"> interrelated, and as </w:t>
      </w:r>
      <w:r w:rsidRPr="001631A3">
        <w:rPr>
          <w:rStyle w:val="Emphasis"/>
          <w:rFonts w:asciiTheme="majorHAnsi" w:hAnsiTheme="majorHAnsi" w:cstheme="majorHAnsi"/>
          <w:highlight w:val="yellow"/>
        </w:rPr>
        <w:t>flowing from</w:t>
      </w:r>
      <w:r w:rsidRPr="001631A3">
        <w:rPr>
          <w:rFonts w:asciiTheme="majorHAnsi" w:hAnsiTheme="majorHAnsi" w:cstheme="majorHAnsi"/>
          <w:sz w:val="12"/>
        </w:rPr>
        <w:t xml:space="preserve"> the same source: </w:t>
      </w:r>
      <w:r w:rsidRPr="001631A3">
        <w:rPr>
          <w:rStyle w:val="Emphasis"/>
          <w:rFonts w:asciiTheme="majorHAnsi" w:hAnsiTheme="majorHAnsi" w:cstheme="majorHAnsi"/>
          <w:highlight w:val="yellow"/>
        </w:rPr>
        <w:t>the relationship between the people</w:t>
      </w:r>
      <w:r w:rsidRPr="001631A3">
        <w:rPr>
          <w:rStyle w:val="Emphasis"/>
          <w:rFonts w:asciiTheme="majorHAnsi" w:hAnsiTheme="majorHAnsi" w:cstheme="majorHAnsi"/>
        </w:rPr>
        <w:t xml:space="preserve"> and their </w:t>
      </w:r>
      <w:r w:rsidRPr="001631A3">
        <w:rPr>
          <w:rStyle w:val="Emphasis"/>
          <w:rFonts w:asciiTheme="majorHAnsi" w:hAnsiTheme="majorHAnsi" w:cstheme="majorHAnsi"/>
          <w:highlight w:val="yellow"/>
        </w:rPr>
        <w:t>land</w:t>
      </w:r>
      <w:r w:rsidRPr="001631A3">
        <w:rPr>
          <w:rFonts w:asciiTheme="majorHAnsi" w:hAnsiTheme="majorHAnsi" w:cstheme="majorHAnsi"/>
          <w:sz w:val="12"/>
        </w:rPr>
        <w:t xml:space="preserve">, their kinship with </w:t>
      </w:r>
      <w:r w:rsidRPr="001631A3">
        <w:rPr>
          <w:rStyle w:val="Emphasis"/>
          <w:rFonts w:asciiTheme="majorHAnsi" w:hAnsiTheme="majorHAnsi" w:cstheme="majorHAnsi"/>
        </w:rPr>
        <w:t xml:space="preserve">other </w:t>
      </w:r>
      <w:r w:rsidRPr="001631A3">
        <w:rPr>
          <w:rStyle w:val="Emphasis"/>
          <w:rFonts w:asciiTheme="majorHAnsi" w:hAnsiTheme="majorHAnsi" w:cstheme="majorHAnsi"/>
          <w:highlight w:val="yellow"/>
        </w:rPr>
        <w:t>living creatures</w:t>
      </w:r>
      <w:r w:rsidRPr="001631A3">
        <w:rPr>
          <w:rFonts w:asciiTheme="majorHAnsi" w:hAnsiTheme="majorHAnsi" w:cstheme="majorHAnsi"/>
          <w:sz w:val="12"/>
        </w:rPr>
        <w:t xml:space="preserve"> that share the land, </w:t>
      </w:r>
      <w:r w:rsidRPr="001631A3">
        <w:rPr>
          <w:rStyle w:val="Emphasis"/>
          <w:rFonts w:asciiTheme="majorHAnsi" w:hAnsiTheme="majorHAnsi" w:cstheme="majorHAnsi"/>
          <w:highlight w:val="yellow"/>
        </w:rPr>
        <w:t>and</w:t>
      </w:r>
      <w:r w:rsidRPr="001631A3">
        <w:rPr>
          <w:rFonts w:asciiTheme="majorHAnsi" w:hAnsiTheme="majorHAnsi" w:cstheme="majorHAnsi"/>
          <w:sz w:val="12"/>
        </w:rPr>
        <w:t xml:space="preserve"> with </w:t>
      </w:r>
      <w:r w:rsidRPr="001631A3">
        <w:rPr>
          <w:rStyle w:val="Emphasis"/>
          <w:rFonts w:asciiTheme="majorHAnsi" w:hAnsiTheme="majorHAnsi" w:cstheme="majorHAnsi"/>
          <w:highlight w:val="yellow"/>
        </w:rPr>
        <w:t>the spirit world</w:t>
      </w:r>
      <w:r w:rsidRPr="001631A3">
        <w:rPr>
          <w:rFonts w:asciiTheme="majorHAnsi" w:hAnsiTheme="majorHAnsi" w:cstheme="majorHAnsi"/>
          <w:sz w:val="12"/>
        </w:rPr>
        <w:t>. Since the ultimate source of knowledge and creativity is the land itself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all of the art and science of a specific people</w:t>
      </w:r>
      <w:r w:rsidRPr="001631A3">
        <w:rPr>
          <w:rFonts w:asciiTheme="majorHAnsi" w:hAnsiTheme="majorHAnsi" w:cstheme="majorHAnsi"/>
          <w:sz w:val="12"/>
        </w:rPr>
        <w:t xml:space="preserve"> are manifestations of the same underlying relationship, and </w:t>
      </w:r>
      <w:r w:rsidRPr="001631A3">
        <w:rPr>
          <w:rStyle w:val="Emphasis"/>
          <w:rFonts w:asciiTheme="majorHAnsi" w:hAnsiTheme="majorHAnsi" w:cstheme="majorHAnsi"/>
          <w:highlight w:val="yellow"/>
        </w:rPr>
        <w:t>can be considered</w:t>
      </w:r>
      <w:r w:rsidRPr="001631A3">
        <w:rPr>
          <w:rStyle w:val="Emphasis"/>
          <w:rFonts w:asciiTheme="majorHAnsi" w:hAnsiTheme="majorHAnsi" w:cstheme="majorHAnsi"/>
        </w:rPr>
        <w:t xml:space="preserve"> as </w:t>
      </w:r>
      <w:r w:rsidRPr="001631A3">
        <w:rPr>
          <w:rStyle w:val="Emphasis"/>
          <w:rFonts w:asciiTheme="majorHAnsi" w:hAnsiTheme="majorHAnsi" w:cstheme="majorHAnsi"/>
          <w:highlight w:val="yellow"/>
        </w:rPr>
        <w:t>manifestations of the people</w:t>
      </w:r>
      <w:r w:rsidRPr="001631A3">
        <w:rPr>
          <w:rStyle w:val="Emphasis"/>
          <w:rFonts w:asciiTheme="majorHAnsi" w:hAnsiTheme="majorHAnsi" w:cstheme="majorHAnsi"/>
        </w:rPr>
        <w:t xml:space="preserve"> as a whole</w:t>
      </w:r>
      <w:r w:rsidRPr="001631A3">
        <w:rPr>
          <w:rFonts w:asciiTheme="majorHAnsi" w:hAnsiTheme="majorHAnsi" w:cstheme="majorHAnsi"/>
          <w:sz w:val="12"/>
        </w:rPr>
        <w:t xml:space="preserve">."12 It is not a coincidence that Article 8(j) of the 1992 Convention on Biological Diversity (CBD) adopted at the Rio Earth Summit, creates legal obligations for States party to respect, preserve and maintain knowledge, innovations and practices of indigenous people related to the conservation and sustainable use of bio diversity. The protection of </w:t>
      </w:r>
      <w:r w:rsidRPr="001631A3">
        <w:rPr>
          <w:rStyle w:val="Emphasis"/>
          <w:rFonts w:asciiTheme="majorHAnsi" w:hAnsiTheme="majorHAnsi" w:cstheme="majorHAnsi"/>
        </w:rPr>
        <w:t xml:space="preserve">cultural and intellectual property "is </w:t>
      </w:r>
      <w:r w:rsidRPr="001631A3">
        <w:rPr>
          <w:rStyle w:val="Emphasis"/>
          <w:rFonts w:asciiTheme="majorHAnsi" w:hAnsiTheme="majorHAnsi" w:cstheme="majorHAnsi"/>
          <w:highlight w:val="yellow"/>
        </w:rPr>
        <w:t>connected fundamentally</w:t>
      </w:r>
      <w:r w:rsidRPr="001631A3">
        <w:rPr>
          <w:rFonts w:asciiTheme="majorHAnsi" w:hAnsiTheme="majorHAnsi" w:cstheme="majorHAnsi"/>
          <w:sz w:val="12"/>
          <w:highlight w:val="yellow"/>
        </w:rPr>
        <w:t xml:space="preserve"> </w:t>
      </w:r>
      <w:r w:rsidRPr="001631A3">
        <w:rPr>
          <w:rStyle w:val="Emphasis"/>
          <w:rFonts w:asciiTheme="majorHAnsi" w:hAnsiTheme="majorHAnsi" w:cstheme="majorHAnsi"/>
          <w:highlight w:val="yellow"/>
        </w:rPr>
        <w:t>with the</w:t>
      </w:r>
      <w:r w:rsidRPr="001631A3">
        <w:rPr>
          <w:rFonts w:asciiTheme="majorHAnsi" w:hAnsiTheme="majorHAnsi" w:cstheme="majorHAnsi"/>
          <w:sz w:val="12"/>
        </w:rPr>
        <w:t xml:space="preserve"> realization of the </w:t>
      </w:r>
      <w:r w:rsidRPr="001631A3">
        <w:rPr>
          <w:rStyle w:val="Emphasis"/>
          <w:rFonts w:asciiTheme="majorHAnsi" w:hAnsiTheme="majorHAnsi" w:cstheme="majorHAnsi"/>
          <w:highlight w:val="yellow"/>
        </w:rPr>
        <w:t>territorial</w:t>
      </w:r>
      <w:r w:rsidRPr="001631A3">
        <w:rPr>
          <w:rFonts w:asciiTheme="majorHAnsi" w:hAnsiTheme="majorHAnsi" w:cstheme="majorHAnsi"/>
          <w:sz w:val="12"/>
        </w:rPr>
        <w:t xml:space="preserve"> rights and </w:t>
      </w:r>
      <w:r w:rsidRPr="001631A3">
        <w:rPr>
          <w:rStyle w:val="Emphasis"/>
          <w:rFonts w:asciiTheme="majorHAnsi" w:hAnsiTheme="majorHAnsi" w:cstheme="majorHAnsi"/>
          <w:highlight w:val="yellow"/>
        </w:rPr>
        <w:t>self determination of indigenous peoples</w:t>
      </w:r>
      <w:r w:rsidRPr="001631A3">
        <w:rPr>
          <w:rFonts w:asciiTheme="majorHAnsi" w:hAnsiTheme="majorHAnsi" w:cstheme="majorHAnsi"/>
          <w:sz w:val="12"/>
        </w:rPr>
        <w:t xml:space="preserve">".13 The Chairpersons' report noted that </w:t>
      </w:r>
      <w:r w:rsidRPr="001631A3">
        <w:rPr>
          <w:rStyle w:val="Emphasis"/>
          <w:rFonts w:asciiTheme="majorHAnsi" w:hAnsiTheme="majorHAnsi" w:cstheme="majorHAnsi"/>
        </w:rPr>
        <w:t>the Working Group</w:t>
      </w:r>
      <w:r w:rsidRPr="001631A3">
        <w:rPr>
          <w:rFonts w:asciiTheme="majorHAnsi" w:hAnsiTheme="majorHAnsi" w:cstheme="majorHAnsi"/>
          <w:sz w:val="12"/>
        </w:rPr>
        <w:t xml:space="preserve"> had </w:t>
      </w:r>
      <w:r w:rsidRPr="001631A3">
        <w:rPr>
          <w:rStyle w:val="Emphasis"/>
          <w:rFonts w:asciiTheme="majorHAnsi" w:hAnsiTheme="majorHAnsi" w:cstheme="majorHAnsi"/>
        </w:rPr>
        <w:t>received news from "indigenous representatives from every continent about</w:t>
      </w:r>
      <w:r w:rsidRPr="001631A3">
        <w:rPr>
          <w:rFonts w:asciiTheme="majorHAnsi" w:hAnsiTheme="majorHAnsi" w:cstheme="majorHAnsi"/>
          <w:sz w:val="12"/>
        </w:rPr>
        <w:t xml:space="preserve"> </w:t>
      </w:r>
      <w:r w:rsidRPr="001631A3">
        <w:rPr>
          <w:rStyle w:val="Emphasis"/>
          <w:rFonts w:asciiTheme="majorHAnsi" w:hAnsiTheme="majorHAnsi" w:cstheme="majorHAnsi"/>
        </w:rPr>
        <w:t>the</w:t>
      </w:r>
      <w:r w:rsidRPr="001631A3">
        <w:rPr>
          <w:rFonts w:asciiTheme="majorHAnsi" w:hAnsiTheme="majorHAnsi" w:cstheme="majorHAnsi"/>
          <w:sz w:val="12"/>
        </w:rPr>
        <w:t xml:space="preserve"> priority and </w:t>
      </w:r>
      <w:r w:rsidRPr="001631A3">
        <w:rPr>
          <w:rStyle w:val="Emphasis"/>
          <w:rFonts w:asciiTheme="majorHAnsi" w:hAnsiTheme="majorHAnsi" w:cstheme="majorHAnsi"/>
        </w:rPr>
        <w:t>urgency they attach to the protection of their</w:t>
      </w:r>
      <w:r w:rsidRPr="001631A3">
        <w:rPr>
          <w:rFonts w:asciiTheme="majorHAnsi" w:hAnsiTheme="majorHAnsi" w:cstheme="majorHAnsi"/>
          <w:sz w:val="12"/>
        </w:rPr>
        <w:t xml:space="preserve"> spiritual and cultural life, arts and scientific and medical </w:t>
      </w:r>
      <w:r w:rsidRPr="001631A3">
        <w:rPr>
          <w:rStyle w:val="Emphasis"/>
          <w:rFonts w:asciiTheme="majorHAnsi" w:hAnsiTheme="majorHAnsi" w:cstheme="majorHAnsi"/>
        </w:rPr>
        <w:t>knowledge</w:t>
      </w:r>
      <w:r w:rsidRPr="001631A3">
        <w:rPr>
          <w:rFonts w:asciiTheme="majorHAnsi" w:hAnsiTheme="majorHAnsi" w:cstheme="majorHAnsi"/>
          <w:sz w:val="12"/>
        </w:rPr>
        <w:t xml:space="preserve">".14Consequently, the Draft Declaration prepared by the Sub-Commission, while recognizing in its preamble the "inherent rights and characteristics of indigenous peoples, especially their rights to their lands, territories and resources," provided for the right to fully participate, inter alia, in the cultural life of the State (Article 4), the right to revitalize and practice their cultural traditions (Article 11), the right to revitalize, use, develop and transmit to future generations their language, oral traditions, writing systems and literatures (Article 13) and, more importantly for present purposes, "the right to their traditional medicines and health practices, including the right to the protection of vital medicinal plants, animals and minerals" (Article 22). In this vein, the draft Article 27 provides that "[indigenous peoples have the right to special measures to protect, as intellectual property, their sciences, technologies and cultural manifestations, including genetic resources, seeds, medicines, knowledge of the properties of fauna and flora, oral traditions, literatures, designs and visual performing arts". Moreover, Article 28 provides that States should seek the free and informed consent of indigenous peoples "prior to commencement of any projects on their lands and territories, particularly in connection with natural resource development or exploitation of mineral or other sub-surface resources".15 In December 1995, to give impetus to the Decade for Indigenous People, the UN General Assembly adopted a Program of activities aimed at strengthening international cooperation for the solution of problems faced by indigenous people in such areas as human rights, the environment, development, health, culture and education. Among the specific actions to be taken were: (i) "the promotion and protection of the rights of indigenous people and their empowerment to make choices which enable them to retain their cultural identity while participating in political, economic and social life, with full respect for their cultural values, languages, traditions and forms of social organization" and (ii) a request for specialized agencies of the UN system and other </w:t>
      </w:r>
      <w:r w:rsidRPr="001631A3">
        <w:rPr>
          <w:rFonts w:asciiTheme="majorHAnsi" w:hAnsiTheme="majorHAnsi" w:cstheme="majorHAnsi"/>
          <w:sz w:val="12"/>
        </w:rPr>
        <w:lastRenderedPageBreak/>
        <w:t xml:space="preserve">international and national agencies, as well as communities and private enterprises, "to devote special attention to development activities of benefit to indigenous peoples".16 WIPO has responded accordingly and the report by the Coordinator of the UN Decade for Indigenous Peoples has noted that WIPO's response "has been dramatic" as there is an entire division as part of the regular budget which is now responsible for traditional knowledge and related issues.17 The Permanent Forum has maintained a keen interest in traditional knowledge, soliciting information from all relevant parts of the UN system, notably WIPO.18 The last three sessions of WIPO have focused on its activities in the areas of intellectual property and genetic resources, traditional knowledge and traditional cultural expressions, and are described in greater detail below. Before proceeding to a consideration of the protection of the intellectual property rights of indigenous peoples, we shall in the next section, examine a major heritage of indigenous peoples - </w:t>
      </w:r>
      <w:r w:rsidRPr="001631A3">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 TM, an important part of TK, refers to medicines used by local, tribal and indigenous communities. Such medicine </w:t>
      </w:r>
      <w:r w:rsidRPr="001631A3">
        <w:rPr>
          <w:rStyle w:val="Emphasis"/>
          <w:rFonts w:asciiTheme="majorHAnsi" w:hAnsiTheme="majorHAnsi" w:cstheme="majorHAnsi"/>
        </w:rPr>
        <w:t>is often herbal and</w:t>
      </w:r>
      <w:r w:rsidRPr="001631A3">
        <w:rPr>
          <w:rFonts w:asciiTheme="majorHAnsi" w:hAnsiTheme="majorHAnsi" w:cstheme="majorHAnsi"/>
          <w:sz w:val="12"/>
        </w:rPr>
        <w:t xml:space="preserve"> sometimes combined with </w:t>
      </w:r>
      <w:r w:rsidRPr="001631A3">
        <w:rPr>
          <w:rStyle w:val="Emphasis"/>
          <w:rFonts w:asciiTheme="majorHAnsi" w:hAnsiTheme="majorHAnsi" w:cstheme="majorHAnsi"/>
        </w:rPr>
        <w:t>spiritual</w:t>
      </w:r>
      <w:r w:rsidRPr="001631A3">
        <w:rPr>
          <w:rFonts w:asciiTheme="majorHAnsi" w:hAnsiTheme="majorHAnsi" w:cstheme="majorHAnsi"/>
          <w:sz w:val="12"/>
        </w:rPr>
        <w:t xml:space="preserve"> elements, such as those practiced by the shaman in tribal communities.19 TM has been refined over centuries of practice by communities who have inherited knowledge from their ancestors. For example, Felix, a member of the Arawak indigenous community of Guyana who works in the Shanklands resort on the banks of Essequibo River, conveyed his impressive knowledge of his community's medicinal uses of various plants and trees in the tropical rainforest. Using the native names of trees, he related the use of the 'yarula' tree for preventing and curing malaria, the use of the 'kakaballi' tree for treating diarrhea and the use of the 'capadulla' tree as a local viagra.20 While relying on textbooks for the Latin names, Felix's knowledge came from his father, the shaman in his community and from inherited knowledge among his people. Thus, often </w:t>
      </w:r>
      <w:r w:rsidRPr="001631A3">
        <w:rPr>
          <w:rStyle w:val="Emphasis"/>
          <w:rFonts w:asciiTheme="majorHAnsi" w:hAnsiTheme="majorHAnsi" w:cstheme="majorHAnsi"/>
        </w:rPr>
        <w:t xml:space="preserve">such </w:t>
      </w:r>
      <w:r w:rsidRPr="001631A3">
        <w:rPr>
          <w:rStyle w:val="Emphasis"/>
          <w:rFonts w:asciiTheme="majorHAnsi" w:hAnsiTheme="majorHAnsi" w:cstheme="majorHAnsi"/>
          <w:highlight w:val="yellow"/>
        </w:rPr>
        <w:t>knowledge is held communally</w:t>
      </w:r>
      <w:r w:rsidRPr="001631A3">
        <w:rPr>
          <w:rStyle w:val="Emphasis"/>
          <w:rFonts w:asciiTheme="majorHAnsi" w:hAnsiTheme="majorHAnsi" w:cstheme="majorHAnsi"/>
        </w:rPr>
        <w:t xml:space="preserve"> and</w:t>
      </w:r>
      <w:r w:rsidRPr="001631A3">
        <w:rPr>
          <w:rFonts w:asciiTheme="majorHAnsi" w:hAnsiTheme="majorHAnsi" w:cstheme="majorHAnsi"/>
          <w:sz w:val="12"/>
        </w:rPr>
        <w:t xml:space="preserve"> does not 'belong' to any single person or entity. Equally often, such knowledge </w:t>
      </w:r>
      <w:r w:rsidRPr="001631A3">
        <w:rPr>
          <w:rStyle w:val="Emphasis"/>
          <w:rFonts w:asciiTheme="majorHAnsi" w:hAnsiTheme="majorHAnsi" w:cstheme="majorHAnsi"/>
        </w:rPr>
        <w:t>cross-cuts</w:t>
      </w:r>
      <w:r w:rsidRPr="001631A3">
        <w:rPr>
          <w:rFonts w:asciiTheme="majorHAnsi" w:hAnsiTheme="majorHAnsi" w:cstheme="majorHAnsi"/>
          <w:sz w:val="12"/>
        </w:rPr>
        <w:t xml:space="preserve"> communities as well as </w:t>
      </w:r>
      <w:r w:rsidRPr="001631A3">
        <w:rPr>
          <w:rStyle w:val="Emphasis"/>
          <w:rFonts w:asciiTheme="majorHAnsi" w:hAnsiTheme="majorHAnsi" w:cstheme="majorHAnsi"/>
        </w:rPr>
        <w:t>territorial boundaries</w:t>
      </w:r>
      <w:r w:rsidRPr="001631A3">
        <w:rPr>
          <w:rFonts w:asciiTheme="majorHAnsi" w:hAnsiTheme="majorHAnsi" w:cstheme="majorHAnsi"/>
          <w:sz w:val="12"/>
        </w:rPr>
        <w:t xml:space="preserve">. These aspects have implications for intellectual property protection, which we will consider below. The type of TM differs from community to community depending on the type of healing system that is historically prevalent. </w:t>
      </w:r>
      <w:r w:rsidRPr="001631A3">
        <w:rPr>
          <w:rStyle w:val="Emphasis"/>
          <w:rFonts w:asciiTheme="majorHAnsi" w:hAnsiTheme="majorHAnsi" w:cstheme="majorHAnsi"/>
        </w:rPr>
        <w:t>Until recently non-western healing systems</w:t>
      </w:r>
      <w:r w:rsidRPr="001631A3">
        <w:rPr>
          <w:rFonts w:asciiTheme="majorHAnsi" w:hAnsiTheme="majorHAnsi" w:cstheme="majorHAnsi"/>
          <w:sz w:val="12"/>
        </w:rPr>
        <w:t xml:space="preserve"> and medicines </w:t>
      </w:r>
      <w:r w:rsidRPr="001631A3">
        <w:rPr>
          <w:rStyle w:val="Emphasis"/>
          <w:rFonts w:asciiTheme="majorHAnsi" w:hAnsiTheme="majorHAnsi" w:cstheme="majorHAnsi"/>
        </w:rPr>
        <w:t>were disregarded by western health systems</w:t>
      </w:r>
      <w:r w:rsidRPr="001631A3">
        <w:rPr>
          <w:rFonts w:asciiTheme="majorHAnsi" w:hAnsiTheme="majorHAnsi" w:cstheme="majorHAnsi"/>
          <w:sz w:val="12"/>
        </w:rPr>
        <w:t xml:space="preserve">, which insist on the development of medicines and healing techniques based on scientific proof and testing. Centuries-old healing systems of the world, such as Chinese traditional medicine and Indian Ayurveda, were given scant attention as the 'scientific' approach was allegedly missing. In Chinese medicine, for example, "disease is viewed as a disharmony of the various elements of the body and the personality of the patient. Chinese therapeutic thought concerns the entire organism's balance, rather than being devoted to clearly localizing and defining the nature of the illness" as in western medicine.21 The argument that non-western medicine is not based on scientific evidence may well ignore the centuries of trial and error, which has actually gone into making a particular medicine or remedy appropriate to a given community. </w:t>
      </w:r>
      <w:r w:rsidRPr="001631A3">
        <w:rPr>
          <w:rStyle w:val="Emphasis"/>
          <w:rFonts w:asciiTheme="majorHAnsi" w:hAnsiTheme="majorHAnsi" w:cstheme="majorHAnsi"/>
          <w:highlight w:val="yellow"/>
        </w:rPr>
        <w:t>Western science has</w:t>
      </w:r>
      <w:r w:rsidRPr="001631A3">
        <w:rPr>
          <w:rStyle w:val="Emphasis"/>
          <w:rFonts w:asciiTheme="majorHAnsi" w:hAnsiTheme="majorHAnsi" w:cstheme="majorHAnsi"/>
        </w:rPr>
        <w:t xml:space="preserve"> grudgingly accepted alternative healing systems. However, they have </w:t>
      </w:r>
      <w:r w:rsidRPr="001631A3">
        <w:rPr>
          <w:rStyle w:val="Emphasis"/>
          <w:rFonts w:asciiTheme="majorHAnsi" w:hAnsiTheme="majorHAnsi" w:cstheme="majorHAnsi"/>
          <w:highlight w:val="yellow"/>
        </w:rPr>
        <w:t>readily sought after TK</w:t>
      </w:r>
      <w:r w:rsidRPr="001631A3">
        <w:rPr>
          <w:rFonts w:asciiTheme="majorHAnsi" w:hAnsiTheme="majorHAnsi" w:cstheme="majorHAnsi"/>
          <w:sz w:val="12"/>
        </w:rPr>
        <w:t xml:space="preserve">/IK, </w:t>
      </w:r>
      <w:r w:rsidRPr="001631A3">
        <w:rPr>
          <w:rStyle w:val="Emphasis"/>
          <w:rFonts w:asciiTheme="majorHAnsi" w:hAnsiTheme="majorHAnsi" w:cstheme="majorHAnsi"/>
        </w:rPr>
        <w:t>which could lead to</w:t>
      </w:r>
      <w:r w:rsidRPr="001631A3">
        <w:rPr>
          <w:rFonts w:asciiTheme="majorHAnsi" w:hAnsiTheme="majorHAnsi" w:cstheme="majorHAnsi"/>
          <w:sz w:val="12"/>
        </w:rPr>
        <w:t xml:space="preserve"> the production of </w:t>
      </w:r>
      <w:r w:rsidRPr="001631A3">
        <w:rPr>
          <w:rStyle w:val="Emphasis"/>
          <w:rFonts w:asciiTheme="majorHAnsi" w:hAnsiTheme="majorHAnsi" w:cstheme="majorHAnsi"/>
        </w:rPr>
        <w:t>new drugs</w:t>
      </w:r>
      <w:r w:rsidRPr="001631A3">
        <w:rPr>
          <w:rFonts w:asciiTheme="majorHAnsi" w:hAnsiTheme="majorHAnsi" w:cstheme="majorHAnsi"/>
          <w:sz w:val="12"/>
        </w:rPr>
        <w:t xml:space="preserve">, "especially since the cost of putting new drugs on the market is becoming very high".22 Erica Daes noted in her 1993 report, cited above, that studies found that "using traditional knowledge increased the efficiency of screening plants for medical properties by more than 400 percent".23 Already </w:t>
      </w:r>
      <w:r w:rsidRPr="001631A3">
        <w:rPr>
          <w:rStyle w:val="Emphasis"/>
          <w:rFonts w:asciiTheme="majorHAnsi" w:hAnsiTheme="majorHAnsi" w:cstheme="majorHAnsi"/>
          <w:highlight w:val="yellow"/>
        </w:rPr>
        <w:t>by 1993</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estimates of</w:t>
      </w:r>
      <w:r w:rsidRPr="001631A3">
        <w:rPr>
          <w:rFonts w:asciiTheme="majorHAnsi" w:hAnsiTheme="majorHAnsi" w:cstheme="majorHAnsi"/>
          <w:sz w:val="12"/>
        </w:rPr>
        <w:t xml:space="preserve"> the total </w:t>
      </w:r>
      <w:r w:rsidRPr="001631A3">
        <w:rPr>
          <w:rStyle w:val="Emphasis"/>
          <w:rFonts w:asciiTheme="majorHAnsi" w:hAnsiTheme="majorHAnsi" w:cstheme="majorHAnsi"/>
          <w:highlight w:val="yellow"/>
        </w:rPr>
        <w:t>world sales of</w:t>
      </w:r>
      <w:r w:rsidRPr="001631A3">
        <w:rPr>
          <w:rStyle w:val="Emphasis"/>
          <w:rFonts w:asciiTheme="majorHAnsi" w:hAnsiTheme="majorHAnsi" w:cstheme="majorHAnsi"/>
        </w:rPr>
        <w:t xml:space="preserve"> products derived from </w:t>
      </w:r>
      <w:r w:rsidRPr="001631A3">
        <w:rPr>
          <w:rStyle w:val="Emphasis"/>
          <w:rFonts w:asciiTheme="majorHAnsi" w:hAnsiTheme="majorHAnsi" w:cstheme="majorHAnsi"/>
          <w:highlight w:val="yellow"/>
        </w:rPr>
        <w:t>traditional medicines ran as high as USD 43 billion</w:t>
      </w:r>
      <w:r w:rsidRPr="001631A3">
        <w:rPr>
          <w:rFonts w:asciiTheme="majorHAnsi" w:hAnsiTheme="majorHAnsi" w:cstheme="majorHAnsi"/>
          <w:sz w:val="12"/>
        </w:rPr>
        <w:t xml:space="preserve">.24 However, </w:t>
      </w:r>
      <w:r w:rsidRPr="001631A3">
        <w:rPr>
          <w:rStyle w:val="Emphasis"/>
          <w:rFonts w:asciiTheme="majorHAnsi" w:hAnsiTheme="majorHAnsi" w:cstheme="majorHAnsi"/>
        </w:rPr>
        <w:t xml:space="preserve">only a tiny fraction of the profits are returned to </w:t>
      </w:r>
      <w:r w:rsidRPr="001631A3">
        <w:rPr>
          <w:rFonts w:asciiTheme="majorHAnsi" w:hAnsiTheme="majorHAnsi" w:cstheme="majorHAnsi"/>
          <w:sz w:val="12"/>
        </w:rPr>
        <w:t>the</w:t>
      </w:r>
      <w:r w:rsidRPr="001631A3">
        <w:rPr>
          <w:rStyle w:val="Emphasis"/>
          <w:rFonts w:asciiTheme="majorHAnsi" w:hAnsiTheme="majorHAnsi" w:cstheme="majorHAnsi"/>
        </w:rPr>
        <w:t xml:space="preserve"> indigenous peoples</w:t>
      </w:r>
      <w:r w:rsidRPr="001631A3">
        <w:rPr>
          <w:rFonts w:asciiTheme="majorHAnsi" w:hAnsiTheme="majorHAnsi" w:cstheme="majorHAnsi"/>
          <w:sz w:val="12"/>
        </w:rPr>
        <w:t xml:space="preserve"> and local communities. For example, it was estimated </w:t>
      </w:r>
      <w:r w:rsidRPr="001631A3">
        <w:rPr>
          <w:rStyle w:val="Emphasis"/>
          <w:rFonts w:asciiTheme="majorHAnsi" w:hAnsiTheme="majorHAnsi" w:cstheme="majorHAnsi"/>
          <w:highlight w:val="yellow"/>
        </w:rPr>
        <w:t>in the early</w:t>
      </w:r>
      <w:r w:rsidRPr="001631A3">
        <w:rPr>
          <w:rStyle w:val="Emphasis"/>
          <w:rFonts w:asciiTheme="majorHAnsi" w:hAnsiTheme="majorHAnsi" w:cstheme="majorHAnsi"/>
        </w:rPr>
        <w:t xml:space="preserve"> 19</w:t>
      </w:r>
      <w:r w:rsidRPr="001631A3">
        <w:rPr>
          <w:rStyle w:val="Emphasis"/>
          <w:rFonts w:asciiTheme="majorHAnsi" w:hAnsiTheme="majorHAnsi" w:cstheme="majorHAnsi"/>
          <w:highlight w:val="yellow"/>
        </w:rPr>
        <w:t>90s</w:t>
      </w:r>
      <w:r w:rsidRPr="001631A3">
        <w:rPr>
          <w:rFonts w:asciiTheme="majorHAnsi" w:hAnsiTheme="majorHAnsi" w:cstheme="majorHAnsi"/>
          <w:sz w:val="12"/>
        </w:rPr>
        <w:t xml:space="preserve">, "that </w:t>
      </w:r>
      <w:r w:rsidRPr="001631A3">
        <w:rPr>
          <w:rStyle w:val="Emphasis"/>
          <w:rFonts w:asciiTheme="majorHAnsi" w:hAnsiTheme="majorHAnsi" w:cstheme="majorHAnsi"/>
          <w:highlight w:val="yellow"/>
        </w:rPr>
        <w:t>less than 0.001 per cent of profits from</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drugs</w:t>
      </w:r>
      <w:r w:rsidRPr="001631A3">
        <w:rPr>
          <w:rStyle w:val="Emphasis"/>
          <w:rFonts w:asciiTheme="majorHAnsi" w:hAnsiTheme="majorHAnsi" w:cstheme="majorHAnsi"/>
        </w:rPr>
        <w:t xml:space="preserve"> developed </w:t>
      </w:r>
      <w:r w:rsidRPr="001631A3">
        <w:rPr>
          <w:rStyle w:val="Emphasis"/>
          <w:rFonts w:asciiTheme="majorHAnsi" w:hAnsiTheme="majorHAnsi" w:cstheme="majorHAnsi"/>
          <w:highlight w:val="yellow"/>
        </w:rPr>
        <w:t>from</w:t>
      </w:r>
      <w:r w:rsidRPr="001631A3">
        <w:rPr>
          <w:rFonts w:asciiTheme="majorHAnsi" w:hAnsiTheme="majorHAnsi" w:cstheme="majorHAnsi"/>
          <w:sz w:val="12"/>
        </w:rPr>
        <w:t xml:space="preserve"> natural products and </w:t>
      </w:r>
      <w:r w:rsidRPr="001631A3">
        <w:rPr>
          <w:rStyle w:val="Emphasis"/>
          <w:rFonts w:asciiTheme="majorHAnsi" w:hAnsiTheme="majorHAnsi" w:cstheme="majorHAnsi"/>
          <w:highlight w:val="yellow"/>
        </w:rPr>
        <w:t>traditional knowledge accrue to the</w:t>
      </w:r>
      <w:r w:rsidRPr="001631A3">
        <w:rPr>
          <w:rFonts w:asciiTheme="majorHAnsi" w:hAnsiTheme="majorHAnsi" w:cstheme="majorHAnsi"/>
          <w:sz w:val="12"/>
        </w:rPr>
        <w:t xml:space="preserve"> traditional </w:t>
      </w:r>
      <w:r w:rsidRPr="001631A3">
        <w:rPr>
          <w:rStyle w:val="Emphasis"/>
          <w:rFonts w:asciiTheme="majorHAnsi" w:hAnsiTheme="majorHAnsi" w:cstheme="majorHAnsi"/>
          <w:highlight w:val="yellow"/>
        </w:rPr>
        <w:t>people who provided</w:t>
      </w:r>
      <w:r w:rsidRPr="001631A3">
        <w:rPr>
          <w:rFonts w:asciiTheme="majorHAnsi" w:hAnsiTheme="majorHAnsi" w:cstheme="majorHAnsi"/>
          <w:sz w:val="12"/>
        </w:rPr>
        <w:t xml:space="preserve"> technical </w:t>
      </w:r>
      <w:r w:rsidRPr="001631A3">
        <w:rPr>
          <w:rStyle w:val="Emphasis"/>
          <w:rFonts w:asciiTheme="majorHAnsi" w:hAnsiTheme="majorHAnsi" w:cstheme="majorHAnsi"/>
          <w:highlight w:val="yellow"/>
        </w:rPr>
        <w:t>leads</w:t>
      </w:r>
      <w:r w:rsidRPr="001631A3">
        <w:rPr>
          <w:rStyle w:val="Emphasis"/>
          <w:rFonts w:asciiTheme="majorHAnsi" w:hAnsiTheme="majorHAnsi" w:cstheme="majorHAnsi"/>
        </w:rPr>
        <w:t xml:space="preserve"> for research</w:t>
      </w:r>
      <w:r w:rsidRPr="001631A3">
        <w:rPr>
          <w:rFonts w:asciiTheme="majorHAnsi" w:hAnsiTheme="majorHAnsi" w:cstheme="majorHAnsi"/>
          <w:sz w:val="12"/>
        </w:rPr>
        <w:t xml:space="preserve">".25 Attempts by Western governments and drug producing companies to harness such TK and TM for their own benefit have led to phenomena such as 'bio piracy' (theft of genetic resources by 'bioprospectors'). Concern has arisen for the preservation of biological diversity and genetic resources. The United States National Cancer Institute had already, by 1960, began a global program to collect and study naturally occurring substances and had tested some 35,000 plant species and a larger number of micro-organisms by 1981. This process intensified with the advent of research to combat AIDS. Pharmaceutical companies, necessarily driven by profit, have become increasingly aware of the potential economic rewards of TK/TM. Among the major US pharmaceutical companies engaged in screening plant species were Merck and Co., Smithkline Beecham, Monsanto, Sterling and Bristol Meyers. But this creates a conflict with the holders of TK/TM. The problem was stated thus by former Filipino President, Fidel Ramos at a ceremony for the signing of a Traditional and Alternative Health Care Law (R.A. 8423) in Manila on 9 December 1998: "We have looked forward to other nations for new technologies and cures, even for ordinary ailments. Indeed, many other nations have been exploiting the potentials of our own resources, claiming them as their own discoveries without giving due credit to us, and in addition to making tremendous profits at our own expense".26 The problem was recognized by Mrs. Daes in her report in 1993, namely that 'collectors' or </w:t>
      </w:r>
      <w:r w:rsidRPr="001631A3">
        <w:rPr>
          <w:rStyle w:val="Emphasis"/>
          <w:rFonts w:asciiTheme="majorHAnsi" w:hAnsiTheme="majorHAnsi" w:cstheme="majorHAnsi"/>
        </w:rPr>
        <w:t>bio-prospectors</w:t>
      </w:r>
      <w:r w:rsidRPr="001631A3">
        <w:rPr>
          <w:rFonts w:asciiTheme="majorHAnsi" w:hAnsiTheme="majorHAnsi" w:cstheme="majorHAnsi"/>
          <w:sz w:val="12"/>
        </w:rPr>
        <w:t>, "</w:t>
      </w:r>
      <w:r w:rsidRPr="001631A3">
        <w:rPr>
          <w:rStyle w:val="Emphasis"/>
          <w:rFonts w:asciiTheme="majorHAnsi" w:hAnsiTheme="majorHAnsi" w:cstheme="majorHAnsi"/>
        </w:rPr>
        <w:t>do not</w:t>
      </w:r>
      <w:r w:rsidRPr="001631A3">
        <w:rPr>
          <w:rFonts w:asciiTheme="majorHAnsi" w:hAnsiTheme="majorHAnsi" w:cstheme="majorHAnsi"/>
          <w:sz w:val="12"/>
        </w:rPr>
        <w:t xml:space="preserve"> ordinarily </w:t>
      </w:r>
      <w:r w:rsidRPr="001631A3">
        <w:rPr>
          <w:rStyle w:val="Emphasis"/>
          <w:rFonts w:asciiTheme="majorHAnsi" w:hAnsiTheme="majorHAnsi" w:cstheme="majorHAnsi"/>
        </w:rPr>
        <w:t>have any</w:t>
      </w:r>
      <w:r w:rsidRPr="001631A3">
        <w:rPr>
          <w:rFonts w:asciiTheme="majorHAnsi" w:hAnsiTheme="majorHAnsi" w:cstheme="majorHAnsi"/>
          <w:sz w:val="12"/>
        </w:rPr>
        <w:t xml:space="preserve"> formal </w:t>
      </w:r>
      <w:r w:rsidRPr="001631A3">
        <w:rPr>
          <w:rStyle w:val="Emphasis"/>
          <w:rFonts w:asciiTheme="majorHAnsi" w:hAnsiTheme="majorHAnsi" w:cstheme="majorHAnsi"/>
        </w:rPr>
        <w:t xml:space="preserve">contractual arrangements ... with the indigenous peoples upon whose knowledge </w:t>
      </w:r>
      <w:r w:rsidRPr="001631A3">
        <w:rPr>
          <w:rFonts w:asciiTheme="majorHAnsi" w:hAnsiTheme="majorHAnsi" w:cstheme="majorHAnsi"/>
          <w:sz w:val="12"/>
        </w:rPr>
        <w:t>of ecology</w:t>
      </w:r>
      <w:r w:rsidRPr="001631A3">
        <w:rPr>
          <w:rStyle w:val="Emphasis"/>
          <w:rFonts w:asciiTheme="majorHAnsi" w:hAnsiTheme="majorHAnsi" w:cstheme="majorHAnsi"/>
        </w:rPr>
        <w:t xml:space="preserve"> they </w:t>
      </w:r>
      <w:r w:rsidRPr="001631A3">
        <w:rPr>
          <w:rFonts w:asciiTheme="majorHAnsi" w:hAnsiTheme="majorHAnsi" w:cstheme="majorHAnsi"/>
          <w:sz w:val="12"/>
        </w:rPr>
        <w:t>may</w:t>
      </w:r>
      <w:r w:rsidRPr="001631A3">
        <w:rPr>
          <w:rStyle w:val="Emphasis"/>
          <w:rFonts w:asciiTheme="majorHAnsi" w:hAnsiTheme="majorHAnsi" w:cstheme="majorHAnsi"/>
        </w:rPr>
        <w:t xml:space="preserve"> rely.</w:t>
      </w:r>
      <w:r w:rsidRPr="001631A3">
        <w:rPr>
          <w:rFonts w:asciiTheme="majorHAnsi" w:hAnsiTheme="majorHAnsi" w:cstheme="majorHAnsi"/>
          <w:sz w:val="12"/>
        </w:rPr>
        <w:t xml:space="preserve"> Indigenous people have also objected to alleged appropriation of their bodily substances which is taking place in the context of the Human Genome Diversity Project.28 </w:t>
      </w:r>
    </w:p>
    <w:p w14:paraId="0E6CE37B" w14:textId="77777777" w:rsidR="004421CF" w:rsidRPr="004421CF" w:rsidRDefault="004421CF" w:rsidP="004421CF"/>
    <w:p w14:paraId="1FA81BFE" w14:textId="77777777" w:rsidR="004421CF" w:rsidRPr="001631A3" w:rsidRDefault="004421CF" w:rsidP="004421CF">
      <w:pPr>
        <w:pStyle w:val="Heading4"/>
        <w:rPr>
          <w:rFonts w:asciiTheme="majorHAnsi" w:hAnsiTheme="majorHAnsi" w:cstheme="majorHAnsi"/>
        </w:rPr>
      </w:pPr>
      <w:r w:rsidRPr="001631A3">
        <w:rPr>
          <w:rFonts w:asciiTheme="majorHAnsi" w:hAnsiTheme="majorHAnsi" w:cstheme="majorHAnsi"/>
        </w:rPr>
        <w:lastRenderedPageBreak/>
        <w:t xml:space="preserve">CP Text: The member nations of the World Trade Organization ought to reduce intellectual property protections for medicines except for those medicines </w:t>
      </w:r>
      <w:r>
        <w:rPr>
          <w:rFonts w:asciiTheme="majorHAnsi" w:hAnsiTheme="majorHAnsi" w:cstheme="majorHAnsi"/>
        </w:rPr>
        <w:t>produced</w:t>
      </w:r>
      <w:r w:rsidRPr="001631A3">
        <w:rPr>
          <w:rFonts w:asciiTheme="majorHAnsi" w:hAnsiTheme="majorHAnsi" w:cstheme="majorHAnsi"/>
        </w:rPr>
        <w:t xml:space="preserve"> or primarily used by Indigenous peoples</w:t>
      </w:r>
      <w:r>
        <w:rPr>
          <w:rFonts w:asciiTheme="majorHAnsi" w:hAnsiTheme="majorHAnsi" w:cstheme="majorHAnsi"/>
        </w:rPr>
        <w:t xml:space="preserve"> that were originally discovered by them</w:t>
      </w:r>
      <w:r w:rsidRPr="001631A3">
        <w:rPr>
          <w:rFonts w:asciiTheme="majorHAnsi" w:hAnsiTheme="majorHAnsi" w:cstheme="majorHAnsi"/>
        </w:rPr>
        <w:t xml:space="preserve">. IP rights for those medicines should be expanded in a flexible and culturally appropriate context according to principles of IP law including but not limited to repression of unfair competition, recognition of rights, equity and benefit-sharing, prior informed consent, full and effective participation of knowledge holders, and an appropriate framework for access as per the Sinjela and Ramcharan card. IP rights should never prevent Indigenous people from taking advantage of their own knowledge. </w:t>
      </w:r>
    </w:p>
    <w:p w14:paraId="0F46B585" w14:textId="77777777" w:rsidR="004421CF" w:rsidRPr="001631A3" w:rsidRDefault="004421CF" w:rsidP="004421CF">
      <w:pPr>
        <w:rPr>
          <w:rFonts w:asciiTheme="majorHAnsi" w:hAnsiTheme="majorHAnsi" w:cstheme="majorHAnsi"/>
        </w:rPr>
      </w:pPr>
      <w:r w:rsidRPr="001631A3">
        <w:rPr>
          <w:rFonts w:asciiTheme="majorHAnsi" w:hAnsiTheme="majorHAnsi" w:cstheme="majorHAnsi"/>
        </w:rPr>
        <w:t xml:space="preserve">SINJELA, </w:t>
      </w:r>
      <w:r w:rsidRPr="001631A3">
        <w:rPr>
          <w:rStyle w:val="Style13ptBold"/>
          <w:rFonts w:asciiTheme="majorHAnsi" w:hAnsiTheme="majorHAnsi" w:cstheme="majorHAnsi"/>
        </w:rPr>
        <w:t>MPAZI, and</w:t>
      </w:r>
      <w:r w:rsidRPr="001631A3">
        <w:rPr>
          <w:rFonts w:asciiTheme="majorHAnsi" w:hAnsiTheme="majorHAnsi" w:cstheme="majorHAnsi"/>
        </w:rPr>
        <w:t xml:space="preserve"> ROBIN </w:t>
      </w:r>
      <w:r w:rsidRPr="001631A3">
        <w:rPr>
          <w:rStyle w:val="Style13ptBold"/>
          <w:rFonts w:asciiTheme="majorHAnsi" w:hAnsiTheme="majorHAnsi" w:cstheme="majorHAnsi"/>
        </w:rPr>
        <w:t>RAMCHARAN</w:t>
      </w:r>
      <w:r w:rsidRPr="001631A3">
        <w:rPr>
          <w:rFonts w:asciiTheme="majorHAnsi" w:hAnsiTheme="majorHAnsi" w:cstheme="majorHAnsi"/>
        </w:rPr>
        <w:t xml:space="preserve"> </w:t>
      </w:r>
      <w:r w:rsidRPr="001631A3">
        <w:rPr>
          <w:rStyle w:val="Style13ptBold"/>
          <w:rFonts w:asciiTheme="majorHAnsi" w:hAnsiTheme="majorHAnsi" w:cstheme="majorHAnsi"/>
        </w:rPr>
        <w:t>05</w:t>
      </w:r>
      <w:r w:rsidRPr="001631A3">
        <w:rPr>
          <w:rFonts w:asciiTheme="majorHAnsi" w:hAnsiTheme="majorHAnsi" w:cstheme="majorHAnsi"/>
        </w:rPr>
        <w:t xml:space="preserve"> “Protecting Traditional Knowledge and Traditional Medicines of Indigenous Peoples through Intellectual Property Rights: Issues, Challenges and Strategies.” International Journal on Minority and Group Rights, vol. 12, no. 1, 2005, pp. 1–24. // mb-va</w:t>
      </w:r>
    </w:p>
    <w:p w14:paraId="05B43E1D" w14:textId="4BE56CAA" w:rsidR="00CB5F6D" w:rsidRDefault="004421CF" w:rsidP="004421CF">
      <w:pPr>
        <w:spacing w:after="0" w:line="240" w:lineRule="auto"/>
        <w:rPr>
          <w:rFonts w:asciiTheme="majorHAnsi" w:eastAsia="Times New Roman" w:hAnsiTheme="majorHAnsi" w:cstheme="majorHAnsi"/>
          <w:sz w:val="12"/>
        </w:rPr>
      </w:pPr>
      <w:r w:rsidRPr="001631A3">
        <w:rPr>
          <w:rFonts w:asciiTheme="majorHAnsi" w:eastAsia="Times New Roman" w:hAnsiTheme="majorHAnsi" w:cstheme="majorHAnsi"/>
          <w:sz w:val="12"/>
        </w:rPr>
        <w:t xml:space="preserve">The question is whether the existing laws, national and international, govern ing intellectual property allow for the effective protection of traditional knowl edge and folklore in particular. If the laws are not appropriate then is there a need for a sui generis system. On the latter point, a sui generis system must be in function of the needs and demands of the TK holders. As Kongolo and Shyllon note, "the fact is that knowledge that is claimed to have been 'invented' and hence 'patented' and converted into intellectual property is often an existing innovation in traditional or indigenous knowledge systems". With respect to the use of traditional medicinal plants, they posit four main issues for consideration: (1) whether the contribution of traditional knowledge to a final product is the sort of contribution that would allow one or more traditional persons to be considered joint inventor; (2) whether publication of information concerning indigenous plant use would bar the availability of a patent, (3) how to address the problems of compensation in the exploitation of herbal knowledge, and (4) whether devel oping countries should recognize through national legislation the rights of tradi tional flows from industrialized countries.61 </w:t>
      </w:r>
      <w:r w:rsidRPr="001631A3">
        <w:rPr>
          <w:rStyle w:val="Emphasis"/>
          <w:rFonts w:asciiTheme="majorHAnsi" w:hAnsiTheme="majorHAnsi" w:cstheme="majorHAnsi"/>
          <w:highlight w:val="yellow"/>
        </w:rPr>
        <w:t>Any system of protection must recognize the</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customary</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laws</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under which</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knowledge evolved</w:t>
      </w:r>
      <w:r w:rsidRPr="001631A3">
        <w:rPr>
          <w:rFonts w:asciiTheme="majorHAnsi" w:eastAsia="Times New Roman" w:hAnsiTheme="majorHAnsi" w:cstheme="majorHAnsi"/>
          <w:sz w:val="12"/>
        </w:rPr>
        <w:t>. In this connection, WIPO has noted, in the context of the work of the IGC, that, "</w:t>
      </w:r>
      <w:r w:rsidRPr="001631A3">
        <w:rPr>
          <w:rStyle w:val="Emphasis"/>
          <w:rFonts w:asciiTheme="majorHAnsi" w:hAnsiTheme="majorHAnsi" w:cstheme="majorHAnsi"/>
        </w:rPr>
        <w:t xml:space="preserve">the use of </w:t>
      </w:r>
      <w:r w:rsidRPr="001631A3">
        <w:rPr>
          <w:rStyle w:val="Emphasis"/>
          <w:rFonts w:asciiTheme="majorHAnsi" w:hAnsiTheme="majorHAnsi" w:cstheme="majorHAnsi"/>
          <w:highlight w:val="yellow"/>
        </w:rPr>
        <w:t>private property rights</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for TK</w:t>
      </w:r>
      <w:r w:rsidRPr="001631A3">
        <w:rPr>
          <w:rFonts w:asciiTheme="majorHAnsi" w:eastAsia="Times New Roman" w:hAnsiTheme="majorHAnsi" w:cstheme="majorHAnsi"/>
          <w:sz w:val="12"/>
        </w:rPr>
        <w:t xml:space="preserve"> protection </w:t>
      </w:r>
      <w:r w:rsidRPr="001631A3">
        <w:rPr>
          <w:rStyle w:val="Emphasis"/>
          <w:rFonts w:asciiTheme="majorHAnsi" w:hAnsiTheme="majorHAnsi" w:cstheme="majorHAnsi"/>
          <w:highlight w:val="yellow"/>
        </w:rPr>
        <w:t>should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be</w:t>
      </w:r>
      <w:r w:rsidRPr="001631A3">
        <w:rPr>
          <w:rStyle w:val="Emphasis"/>
          <w:rFonts w:asciiTheme="majorHAnsi" w:hAnsiTheme="majorHAnsi" w:cstheme="majorHAnsi"/>
        </w:rPr>
        <w:t xml:space="preserve"> carefully </w:t>
      </w:r>
      <w:r w:rsidRPr="001631A3">
        <w:rPr>
          <w:rStyle w:val="Emphasis"/>
          <w:rFonts w:asciiTheme="majorHAnsi" w:hAnsiTheme="majorHAnsi" w:cstheme="majorHAnsi"/>
          <w:highlight w:val="yellow"/>
        </w:rPr>
        <w:t>balanced with</w:t>
      </w:r>
      <w:r w:rsidRPr="001631A3">
        <w:rPr>
          <w:rFonts w:asciiTheme="majorHAnsi" w:eastAsia="Times New Roman" w:hAnsiTheme="majorHAnsi" w:cstheme="majorHAnsi"/>
          <w:sz w:val="12"/>
        </w:rPr>
        <w:t xml:space="preserve"> other policy measures to reflect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char acteristics of the protected TK</w:t>
      </w:r>
      <w:r w:rsidRPr="001631A3">
        <w:rPr>
          <w:rStyle w:val="Emphasis"/>
          <w:rFonts w:asciiTheme="majorHAnsi" w:hAnsiTheme="majorHAnsi" w:cstheme="majorHAnsi"/>
        </w:rPr>
        <w:t xml:space="preserve">, the stakeholder interests involved, the </w:t>
      </w:r>
      <w:r w:rsidRPr="001631A3">
        <w:rPr>
          <w:rStyle w:val="Emphasis"/>
          <w:rFonts w:asciiTheme="majorHAnsi" w:hAnsiTheme="majorHAnsi" w:cstheme="majorHAnsi"/>
          <w:highlight w:val="yellow"/>
        </w:rPr>
        <w:t>customary uses, and custodianship patterns</w:t>
      </w:r>
      <w:r w:rsidRPr="001631A3">
        <w:rPr>
          <w:rFonts w:asciiTheme="majorHAnsi" w:eastAsia="Times New Roman" w:hAnsiTheme="majorHAnsi" w:cstheme="majorHAnsi"/>
          <w:sz w:val="12"/>
        </w:rPr>
        <w:t xml:space="preserve">. Most countries which have implemented TK protection have therefore supplemented a limited use of private property rights with a combination of other measures."62 Examples of sui generis initiatives include the combination of the grant of exclusive rights with access regulation in Brazil; combination of defensive protection of native insignia with repression of unfair competition in native Indian products in the United States; and combina tion of exclusive property rights, access regulation and unfair competition law to create tailored TK protection measures in Costa Rica and Portugal. "By learning from such national experiences, </w:t>
      </w:r>
      <w:r w:rsidRPr="001631A3">
        <w:rPr>
          <w:rStyle w:val="Emphasis"/>
          <w:rFonts w:asciiTheme="majorHAnsi" w:hAnsiTheme="majorHAnsi" w:cstheme="majorHAnsi"/>
        </w:rPr>
        <w:t>the</w:t>
      </w:r>
      <w:r w:rsidRPr="001631A3">
        <w:rPr>
          <w:rFonts w:asciiTheme="majorHAnsi" w:eastAsia="Times New Roman" w:hAnsiTheme="majorHAnsi" w:cstheme="majorHAnsi"/>
          <w:sz w:val="12"/>
        </w:rPr>
        <w:t xml:space="preserve"> combined or </w:t>
      </w:r>
      <w:r w:rsidRPr="001631A3">
        <w:rPr>
          <w:rStyle w:val="Emphasis"/>
          <w:rFonts w:asciiTheme="majorHAnsi" w:hAnsiTheme="majorHAnsi" w:cstheme="majorHAnsi"/>
          <w:highlight w:val="yellow"/>
        </w:rPr>
        <w:t>comprehensive approach would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join</w:t>
      </w:r>
      <w:r w:rsidRPr="001631A3">
        <w:rPr>
          <w:rFonts w:asciiTheme="majorHAnsi" w:eastAsia="Times New Roman" w:hAnsiTheme="majorHAnsi" w:cstheme="majorHAnsi"/>
          <w:sz w:val="12"/>
        </w:rPr>
        <w:t xml:space="preserve"> different </w:t>
      </w:r>
      <w:r w:rsidRPr="001631A3">
        <w:rPr>
          <w:rStyle w:val="Emphasis"/>
          <w:rFonts w:asciiTheme="majorHAnsi" w:hAnsiTheme="majorHAnsi" w:cstheme="majorHAnsi"/>
          <w:highlight w:val="yellow"/>
        </w:rPr>
        <w:t>legal doctrines</w:t>
      </w:r>
      <w:r w:rsidRPr="001631A3">
        <w:rPr>
          <w:rFonts w:asciiTheme="majorHAnsi" w:eastAsia="Times New Roman" w:hAnsiTheme="majorHAnsi" w:cstheme="majorHAnsi"/>
          <w:sz w:val="12"/>
          <w:highlight w:val="yellow"/>
        </w:rPr>
        <w:t xml:space="preserve"> </w:t>
      </w:r>
      <w:r w:rsidRPr="001631A3">
        <w:rPr>
          <w:rFonts w:asciiTheme="majorHAnsi" w:eastAsia="Times New Roman" w:hAnsiTheme="majorHAnsi" w:cstheme="majorHAnsi"/>
          <w:sz w:val="12"/>
        </w:rPr>
        <w:t xml:space="preserve">and policy tools </w:t>
      </w:r>
      <w:r w:rsidRPr="001631A3">
        <w:rPr>
          <w:rStyle w:val="Emphasis"/>
          <w:rFonts w:asciiTheme="majorHAnsi" w:hAnsiTheme="majorHAnsi" w:cstheme="majorHAnsi"/>
          <w:highlight w:val="yellow"/>
        </w:rPr>
        <w:t>which have</w:t>
      </w:r>
      <w:r w:rsidRPr="001631A3">
        <w:rPr>
          <w:rStyle w:val="Emphasis"/>
          <w:rFonts w:asciiTheme="majorHAnsi" w:hAnsiTheme="majorHAnsi" w:cstheme="majorHAnsi"/>
        </w:rPr>
        <w:t xml:space="preserve"> been </w:t>
      </w:r>
      <w:r w:rsidRPr="001631A3">
        <w:rPr>
          <w:rFonts w:asciiTheme="majorHAnsi" w:hAnsiTheme="majorHAnsi" w:cstheme="majorHAnsi"/>
          <w:sz w:val="12"/>
        </w:rPr>
        <w:t>identified by Member States</w:t>
      </w:r>
      <w:r w:rsidRPr="001631A3">
        <w:rPr>
          <w:rFonts w:asciiTheme="majorHAnsi" w:eastAsia="Times New Roman" w:hAnsiTheme="majorHAnsi" w:cstheme="majorHAnsi"/>
          <w:sz w:val="12"/>
        </w:rPr>
        <w:t xml:space="preserve"> and have been </w:t>
      </w:r>
      <w:r w:rsidRPr="001631A3">
        <w:rPr>
          <w:rStyle w:val="Emphasis"/>
          <w:rFonts w:asciiTheme="majorHAnsi" w:hAnsiTheme="majorHAnsi" w:cstheme="majorHAnsi"/>
          <w:highlight w:val="yellow"/>
        </w:rPr>
        <w:t>proven effective</w:t>
      </w:r>
      <w:r w:rsidRPr="001631A3">
        <w:rPr>
          <w:rFonts w:asciiTheme="majorHAnsi" w:eastAsia="Times New Roman" w:hAnsiTheme="majorHAnsi" w:cstheme="majorHAnsi"/>
          <w:sz w:val="12"/>
        </w:rPr>
        <w:t xml:space="preserve"> in their jurisdictions in order to achieve an appropriate form of protection."63 Thus a 'bundle of rights and methods' may be best suited for the protection of TK. This combined approach "would result in the availability of TK protec tion through a bundle of rights at the national level, which would include the use of existing IP rights, sui generis measures, and non-IP tools, such as access reg ulation and contractual agreements". 61 T. Kongolo and F. Shyllon, 'Panorama of the Most Controversial IP Issues in Developing Countries', 6 European Intellectual Property Review, p. 260. 62 WIPO, Traditional Knowledge: Policy and Legal Options, WIPO/GRTKF/IC/6/4, 12 December 2003, para. 11. The international dimension of protection is addressed in-depth in doc ument WIPO/GRTKF/IC/6/6. Defensive protection of TK is covered only briefly, since documents WIPO/GRTKF/IC/5/6 and WIPO/GRTK.F/IC/6/8 cover this more extensively. 63 6. Key Legal Issues for the Protection of TK/TM What, then, are the core principles and legal doctrines that must underwrite the protection of TK. For this purpose we rely on WIPO studies undertaken for the IGC.64 The principles and doctrines enumerated below have emerged from exten sive discussions within the IGC on national experiences of TK protection. 6.1. Core Principles First, a comprehensive and combined approach is a starting point. It is recog nized </w:t>
      </w:r>
      <w:r w:rsidRPr="001631A3">
        <w:rPr>
          <w:rStyle w:val="Emphasis"/>
          <w:rFonts w:asciiTheme="majorHAnsi" w:hAnsiTheme="majorHAnsi" w:cstheme="majorHAnsi"/>
        </w:rPr>
        <w:t xml:space="preserve">that a comprehensive and TK specific approach must be taken </w:t>
      </w:r>
      <w:r w:rsidRPr="001631A3">
        <w:rPr>
          <w:rStyle w:val="Emphasis"/>
          <w:rFonts w:asciiTheme="majorHAnsi" w:hAnsiTheme="majorHAnsi" w:cstheme="majorHAnsi"/>
          <w:highlight w:val="yellow"/>
        </w:rPr>
        <w:t>using exist ing IP mechanisms</w:t>
      </w:r>
      <w:r w:rsidRPr="001631A3">
        <w:rPr>
          <w:rStyle w:val="Emphasis"/>
          <w:rFonts w:asciiTheme="majorHAnsi" w:hAnsiTheme="majorHAnsi" w:cstheme="majorHAnsi"/>
        </w:rPr>
        <w:t>, the repression of unfair competition, the grant of exclusive sui generis rights and/or the application of prior informed consent requirements linked to access regimes</w:t>
      </w:r>
      <w:r w:rsidRPr="001631A3">
        <w:rPr>
          <w:rFonts w:asciiTheme="majorHAnsi" w:eastAsia="Times New Roman" w:hAnsiTheme="majorHAnsi" w:cstheme="majorHAnsi"/>
          <w:sz w:val="12"/>
        </w:rPr>
        <w:t xml:space="preserve">. It has been noted that a "bundle of rights" and meth ods might be applied for protection. Such </w:t>
      </w:r>
      <w:r w:rsidRPr="001631A3">
        <w:rPr>
          <w:rStyle w:val="Emphasis"/>
          <w:rFonts w:asciiTheme="majorHAnsi" w:hAnsiTheme="majorHAnsi" w:cstheme="majorHAnsi"/>
          <w:highlight w:val="yellow"/>
        </w:rPr>
        <w:t>a combined approach is not foreign to</w:t>
      </w:r>
      <w:r w:rsidRPr="001631A3">
        <w:rPr>
          <w:rFonts w:asciiTheme="majorHAnsi" w:eastAsia="Times New Roman" w:hAnsiTheme="majorHAnsi" w:cstheme="majorHAnsi"/>
          <w:sz w:val="12"/>
        </w:rPr>
        <w:t xml:space="preserve"> conventional </w:t>
      </w:r>
      <w:r w:rsidRPr="001631A3">
        <w:rPr>
          <w:rStyle w:val="Emphasis"/>
          <w:rFonts w:asciiTheme="majorHAnsi" w:hAnsiTheme="majorHAnsi" w:cstheme="majorHAnsi"/>
          <w:highlight w:val="yellow"/>
        </w:rPr>
        <w:t>IP law</w:t>
      </w:r>
      <w:r w:rsidRPr="001631A3">
        <w:rPr>
          <w:rFonts w:asciiTheme="majorHAnsi" w:eastAsia="Times New Roman" w:hAnsiTheme="majorHAnsi" w:cstheme="majorHAnsi"/>
          <w:sz w:val="12"/>
        </w:rPr>
        <w:t xml:space="preserve">. For example, ornamental or </w:t>
      </w:r>
      <w:r w:rsidRPr="001631A3">
        <w:rPr>
          <w:rStyle w:val="Emphasis"/>
          <w:rFonts w:asciiTheme="majorHAnsi" w:hAnsiTheme="majorHAnsi" w:cstheme="majorHAnsi"/>
        </w:rPr>
        <w:t>visually distinctive aspects of products can be protected by</w:t>
      </w:r>
      <w:r w:rsidRPr="001631A3">
        <w:rPr>
          <w:rFonts w:asciiTheme="majorHAnsi" w:eastAsia="Times New Roman" w:hAnsiTheme="majorHAnsi" w:cstheme="majorHAnsi"/>
          <w:sz w:val="12"/>
        </w:rPr>
        <w:t xml:space="preserve"> a combination of </w:t>
      </w:r>
      <w:r w:rsidRPr="001631A3">
        <w:rPr>
          <w:rStyle w:val="Emphasis"/>
          <w:rFonts w:asciiTheme="majorHAnsi" w:hAnsiTheme="majorHAnsi" w:cstheme="majorHAnsi"/>
        </w:rPr>
        <w:t>copyright, individual or unfair competition law</w:t>
      </w:r>
      <w:r w:rsidRPr="001631A3">
        <w:rPr>
          <w:rFonts w:asciiTheme="majorHAnsi" w:eastAsia="Times New Roman" w:hAnsiTheme="majorHAnsi" w:cstheme="majorHAnsi"/>
          <w:sz w:val="12"/>
        </w:rPr>
        <w:t xml:space="preserve">. Second,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repression of unfair competition, including appropriation</w:t>
      </w:r>
      <w:r w:rsidRPr="001631A3">
        <w:rPr>
          <w:rFonts w:asciiTheme="majorHAnsi" w:eastAsia="Times New Roman" w:hAnsiTheme="majorHAnsi" w:cstheme="majorHAnsi"/>
          <w:sz w:val="12"/>
        </w:rPr>
        <w:t xml:space="preserve"> and mis take of distinctive traditional characteristics. This </w:t>
      </w:r>
      <w:r w:rsidRPr="001631A3">
        <w:rPr>
          <w:rStyle w:val="Emphasis"/>
          <w:rFonts w:asciiTheme="majorHAnsi" w:hAnsiTheme="majorHAnsi" w:cstheme="majorHAnsi"/>
          <w:highlight w:val="yellow"/>
        </w:rPr>
        <w:t>may entail the suppression of any false, misleading or culturally offensive references to TK</w:t>
      </w:r>
      <w:r w:rsidRPr="001631A3">
        <w:rPr>
          <w:rFonts w:asciiTheme="majorHAnsi" w:eastAsia="Times New Roman" w:hAnsiTheme="majorHAnsi" w:cstheme="majorHAnsi"/>
          <w:sz w:val="12"/>
        </w:rPr>
        <w:t xml:space="preserve"> in the commercial arena, and any false or misleading indications or linkage with or endorsement of TK holders. Third, </w:t>
      </w:r>
      <w:r w:rsidRPr="001631A3">
        <w:rPr>
          <w:rStyle w:val="Emphasis"/>
          <w:rFonts w:asciiTheme="majorHAnsi" w:hAnsiTheme="majorHAnsi" w:cstheme="majorHAnsi"/>
        </w:rPr>
        <w:t xml:space="preserve">the principle of </w:t>
      </w:r>
      <w:r w:rsidRPr="001631A3">
        <w:rPr>
          <w:rStyle w:val="Emphasis"/>
          <w:rFonts w:asciiTheme="majorHAnsi" w:hAnsiTheme="majorHAnsi" w:cstheme="majorHAnsi"/>
          <w:highlight w:val="yellow"/>
        </w:rPr>
        <w:t>recognition of rights</w:t>
      </w:r>
      <w:r w:rsidRPr="001631A3">
        <w:rPr>
          <w:rStyle w:val="Emphasis"/>
          <w:rFonts w:asciiTheme="majorHAnsi" w:hAnsiTheme="majorHAnsi" w:cstheme="majorHAnsi"/>
        </w:rPr>
        <w:t xml:space="preserve"> of TK holders, </w:t>
      </w:r>
      <w:r w:rsidRPr="001631A3">
        <w:rPr>
          <w:rStyle w:val="Emphasis"/>
          <w:rFonts w:asciiTheme="majorHAnsi" w:hAnsiTheme="majorHAnsi" w:cstheme="majorHAnsi"/>
          <w:highlight w:val="yellow"/>
        </w:rPr>
        <w:t>pertains to con ventional IP rights arising from innovation</w:t>
      </w:r>
      <w:r w:rsidRPr="001631A3">
        <w:rPr>
          <w:rStyle w:val="Emphasis"/>
          <w:rFonts w:asciiTheme="majorHAnsi" w:hAnsiTheme="majorHAnsi" w:cstheme="majorHAnsi"/>
        </w:rPr>
        <w:t xml:space="preserve"> and intellectual creativity</w:t>
      </w:r>
      <w:r w:rsidRPr="001631A3">
        <w:rPr>
          <w:rFonts w:asciiTheme="majorHAnsi" w:eastAsia="Times New Roman" w:hAnsiTheme="majorHAnsi" w:cstheme="majorHAnsi"/>
          <w:sz w:val="12"/>
        </w:rPr>
        <w:t xml:space="preserve"> contained in TK elements, as well as to sui generis exclusive rights that may be available for TK. </w:t>
      </w:r>
      <w:r w:rsidRPr="001631A3">
        <w:rPr>
          <w:rStyle w:val="Emphasis"/>
          <w:rFonts w:asciiTheme="majorHAnsi" w:hAnsiTheme="majorHAnsi" w:cstheme="majorHAnsi"/>
          <w:highlight w:val="yellow"/>
        </w:rPr>
        <w:t>Aggrieved TK holders should</w:t>
      </w:r>
      <w:r w:rsidRPr="001631A3">
        <w:rPr>
          <w:rStyle w:val="Emphasis"/>
          <w:rFonts w:asciiTheme="majorHAnsi" w:hAnsiTheme="majorHAnsi" w:cstheme="majorHAnsi"/>
        </w:rPr>
        <w:t xml:space="preserve"> be able to </w:t>
      </w:r>
      <w:r w:rsidRPr="001631A3">
        <w:rPr>
          <w:rStyle w:val="Emphasis"/>
          <w:rFonts w:asciiTheme="majorHAnsi" w:hAnsiTheme="majorHAnsi" w:cstheme="majorHAnsi"/>
          <w:highlight w:val="yellow"/>
        </w:rPr>
        <w:t>seek</w:t>
      </w:r>
      <w:r w:rsidRPr="001631A3">
        <w:rPr>
          <w:rFonts w:asciiTheme="majorHAnsi" w:eastAsia="Times New Roman" w:hAnsiTheme="majorHAnsi" w:cstheme="majorHAnsi"/>
          <w:sz w:val="12"/>
        </w:rPr>
        <w:t xml:space="preserve"> remedies for misuse of TK and possibly to gain </w:t>
      </w:r>
      <w:r w:rsidRPr="001631A3">
        <w:rPr>
          <w:rStyle w:val="Emphasis"/>
          <w:rFonts w:asciiTheme="majorHAnsi" w:hAnsiTheme="majorHAnsi" w:cstheme="majorHAnsi"/>
          <w:highlight w:val="yellow"/>
        </w:rPr>
        <w:t>remuneration and benefit-sharing</w:t>
      </w:r>
      <w:r w:rsidRPr="001631A3">
        <w:rPr>
          <w:rFonts w:asciiTheme="majorHAnsi" w:eastAsia="Times New Roman" w:hAnsiTheme="majorHAnsi" w:cstheme="majorHAnsi"/>
          <w:sz w:val="12"/>
        </w:rPr>
        <w:t>. Fourth</w:t>
      </w:r>
      <w:r w:rsidRPr="001631A3">
        <w:rPr>
          <w:rFonts w:asciiTheme="majorHAnsi" w:hAnsiTheme="majorHAnsi" w:cstheme="majorHAnsi"/>
          <w:sz w:val="12"/>
        </w:rPr>
        <w:t>, the principle of prior informed consent (PIC) entails confirming that</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TK</w:t>
      </w:r>
      <w:r w:rsidRPr="001631A3">
        <w:rPr>
          <w:rFonts w:asciiTheme="majorHAnsi" w:eastAsia="Times New Roman" w:hAnsiTheme="majorHAnsi" w:cstheme="majorHAnsi"/>
          <w:sz w:val="12"/>
        </w:rPr>
        <w:t xml:space="preserve">, held by a traditional community </w:t>
      </w:r>
      <w:r w:rsidRPr="001631A3">
        <w:rPr>
          <w:rStyle w:val="Emphasis"/>
          <w:rFonts w:asciiTheme="majorHAnsi" w:hAnsiTheme="majorHAnsi" w:cstheme="majorHAnsi"/>
          <w:highlight w:val="yellow"/>
        </w:rPr>
        <w:t xml:space="preserve">should not be accessed, recorded, used or </w:t>
      </w:r>
      <w:r w:rsidRPr="001631A3">
        <w:rPr>
          <w:rStyle w:val="Emphasis"/>
          <w:rFonts w:asciiTheme="majorHAnsi" w:hAnsiTheme="majorHAnsi" w:cstheme="majorHAnsi"/>
          <w:highlight w:val="yellow"/>
        </w:rPr>
        <w:lastRenderedPageBreak/>
        <w:t>commercialized without the prior informed consent of TK holders</w:t>
      </w:r>
      <w:r w:rsidRPr="001631A3">
        <w:rPr>
          <w:rFonts w:asciiTheme="majorHAnsi" w:eastAsia="Times New Roman" w:hAnsiTheme="majorHAnsi" w:cstheme="majorHAnsi"/>
          <w:sz w:val="12"/>
        </w:rPr>
        <w:t xml:space="preserve">. Fifth, the principle of </w:t>
      </w:r>
      <w:r w:rsidRPr="001631A3">
        <w:rPr>
          <w:rStyle w:val="Emphasis"/>
          <w:rFonts w:asciiTheme="majorHAnsi" w:hAnsiTheme="majorHAnsi" w:cstheme="majorHAnsi"/>
          <w:highlight w:val="yellow"/>
        </w:rPr>
        <w:t>equity and benefit-sharing, entails protecting TK in a manner conducive to</w:t>
      </w:r>
      <w:r w:rsidRPr="001631A3">
        <w:rPr>
          <w:rFonts w:asciiTheme="majorHAnsi" w:eastAsia="Times New Roman" w:hAnsiTheme="majorHAnsi" w:cstheme="majorHAnsi"/>
          <w:sz w:val="12"/>
        </w:rPr>
        <w:t xml:space="preserve"> social and economic </w:t>
      </w:r>
      <w:r w:rsidRPr="001631A3">
        <w:rPr>
          <w:rStyle w:val="Emphasis"/>
          <w:rFonts w:asciiTheme="majorHAnsi" w:hAnsiTheme="majorHAnsi" w:cstheme="majorHAnsi"/>
          <w:highlight w:val="yellow"/>
        </w:rPr>
        <w:t>welfare</w:t>
      </w:r>
      <w:r w:rsidRPr="001631A3">
        <w:rPr>
          <w:rStyle w:val="Emphasis"/>
          <w:rFonts w:asciiTheme="majorHAnsi" w:hAnsiTheme="majorHAnsi" w:cstheme="majorHAnsi"/>
        </w:rPr>
        <w:t>, balancing rights and obliga tions, and the equitable sharing of benefits</w:t>
      </w:r>
      <w:r w:rsidRPr="001631A3">
        <w:rPr>
          <w:rFonts w:asciiTheme="majorHAnsi" w:eastAsia="Times New Roman" w:hAnsiTheme="majorHAnsi" w:cstheme="majorHAnsi"/>
          <w:sz w:val="12"/>
        </w:rPr>
        <w:t xml:space="preserve">. "A broad principle of equity is cen tral to IP law, and is also implied in non-IP international legal instruments".65 Sixth, the principle of regulatory diversity, including sectoral distinctions, entails that a comprehensive use of TK protection "may need to reflect distinct policy objectives in specific sectors, and may need to be integrated with several regulatory systems at the national level".66 Distinct measures have been taken in some countries to regulate traditional medicine, traditional agricultural practices, TK associated with genetic resources and tradition-based industries.67 64 Ibid., para. 22. 65 Ibid. 66 Ibid., para. 23. 67 Seventh, a principle of adapting the form of protection to the nature of TK. </w:t>
      </w:r>
      <w:r w:rsidRPr="001631A3">
        <w:rPr>
          <w:rStyle w:val="Emphasis"/>
          <w:rFonts w:asciiTheme="majorHAnsi" w:hAnsiTheme="majorHAnsi" w:cstheme="majorHAnsi"/>
          <w:highlight w:val="yellow"/>
        </w:rPr>
        <w:t>Whatever law is adopted</w:t>
      </w:r>
      <w:r w:rsidRPr="001631A3">
        <w:rPr>
          <w:rFonts w:asciiTheme="majorHAnsi" w:eastAsia="Times New Roman" w:hAnsiTheme="majorHAnsi" w:cstheme="majorHAnsi"/>
          <w:sz w:val="12"/>
        </w:rPr>
        <w:t xml:space="preserve">, that law </w:t>
      </w:r>
      <w:r w:rsidRPr="001631A3">
        <w:rPr>
          <w:rStyle w:val="Emphasis"/>
          <w:rFonts w:asciiTheme="majorHAnsi" w:hAnsiTheme="majorHAnsi" w:cstheme="majorHAnsi"/>
          <w:highlight w:val="yellow"/>
        </w:rPr>
        <w:t>may be shaped</w:t>
      </w:r>
      <w:r w:rsidRPr="001631A3">
        <w:rPr>
          <w:rFonts w:asciiTheme="majorHAnsi" w:eastAsia="Times New Roman" w:hAnsiTheme="majorHAnsi" w:cstheme="majorHAnsi"/>
          <w:sz w:val="12"/>
        </w:rPr>
        <w:t xml:space="preserve"> or guided </w:t>
      </w:r>
      <w:r w:rsidRPr="001631A3">
        <w:rPr>
          <w:rStyle w:val="Emphasis"/>
          <w:rFonts w:asciiTheme="majorHAnsi" w:hAnsiTheme="majorHAnsi" w:cstheme="majorHAnsi"/>
          <w:highlight w:val="yellow"/>
        </w:rPr>
        <w:t>by the</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highlight w:val="yellow"/>
        </w:rPr>
        <w:t>particular</w:t>
      </w:r>
      <w:r w:rsidRPr="001631A3">
        <w:rPr>
          <w:rFonts w:asciiTheme="majorHAnsi" w:eastAsia="Times New Roman" w:hAnsiTheme="majorHAnsi" w:cstheme="majorHAnsi"/>
          <w:sz w:val="12"/>
        </w:rPr>
        <w:t xml:space="preserve"> characteristics of the TK. </w:t>
      </w:r>
      <w:r w:rsidRPr="001631A3">
        <w:rPr>
          <w:rStyle w:val="Emphasis"/>
          <w:rFonts w:asciiTheme="majorHAnsi" w:hAnsiTheme="majorHAnsi" w:cstheme="majorHAnsi"/>
          <w:highlight w:val="yellow"/>
        </w:rPr>
        <w:t>TK</w:t>
      </w:r>
      <w:r w:rsidRPr="001631A3">
        <w:rPr>
          <w:rStyle w:val="Emphasis"/>
          <w:rFonts w:asciiTheme="majorHAnsi" w:hAnsiTheme="majorHAnsi" w:cstheme="majorHAnsi"/>
        </w:rPr>
        <w:t xml:space="preserve"> may be </w:t>
      </w:r>
      <w:r w:rsidRPr="001631A3">
        <w:rPr>
          <w:rStyle w:val="Emphasis"/>
          <w:rFonts w:asciiTheme="majorHAnsi" w:hAnsiTheme="majorHAnsi" w:cstheme="majorHAnsi"/>
          <w:highlight w:val="yellow"/>
        </w:rPr>
        <w:t>disclosed or undisclosed, attributable or unattributable, collectively or individually held</w:t>
      </w:r>
      <w:r w:rsidRPr="001631A3">
        <w:rPr>
          <w:rStyle w:val="Emphasis"/>
          <w:rFonts w:asciiTheme="majorHAnsi" w:hAnsiTheme="majorHAnsi" w:cstheme="majorHAnsi"/>
        </w:rPr>
        <w:t xml:space="preserve">, codified or uncodified, and may be </w:t>
      </w:r>
      <w:r w:rsidRPr="001631A3">
        <w:rPr>
          <w:rStyle w:val="Emphasis"/>
          <w:rFonts w:asciiTheme="majorHAnsi" w:hAnsiTheme="majorHAnsi" w:cstheme="majorHAnsi"/>
          <w:highlight w:val="yellow"/>
        </w:rPr>
        <w:t>defined and bounded by diverse</w:t>
      </w:r>
      <w:r w:rsidRPr="001631A3">
        <w:rPr>
          <w:rFonts w:asciiTheme="majorHAnsi" w:eastAsia="Times New Roman" w:hAnsiTheme="majorHAnsi" w:cstheme="majorHAnsi"/>
          <w:sz w:val="12"/>
        </w:rPr>
        <w:t xml:space="preserve"> forms of </w:t>
      </w:r>
      <w:r w:rsidRPr="001631A3">
        <w:rPr>
          <w:rStyle w:val="Emphasis"/>
          <w:rFonts w:asciiTheme="majorHAnsi" w:hAnsiTheme="majorHAnsi" w:cstheme="majorHAnsi"/>
          <w:highlight w:val="yellow"/>
        </w:rPr>
        <w:t>custom</w:t>
      </w:r>
      <w:r w:rsidRPr="001631A3">
        <w:rPr>
          <w:rStyle w:val="Emphasis"/>
          <w:rFonts w:asciiTheme="majorHAnsi" w:hAnsiTheme="majorHAnsi" w:cstheme="majorHAnsi"/>
        </w:rPr>
        <w:t>ary law</w:t>
      </w:r>
      <w:r w:rsidRPr="001631A3">
        <w:rPr>
          <w:rStyle w:val="Emphasis"/>
          <w:rFonts w:asciiTheme="majorHAnsi" w:hAnsiTheme="majorHAnsi" w:cstheme="majorHAnsi"/>
          <w:highlight w:val="yellow"/>
        </w:rPr>
        <w:t>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and protocols</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68 Eighth, a principle of </w:t>
      </w:r>
      <w:r w:rsidRPr="001631A3">
        <w:rPr>
          <w:rStyle w:val="Emphasis"/>
          <w:rFonts w:asciiTheme="majorHAnsi" w:hAnsiTheme="majorHAnsi" w:cstheme="majorHAnsi"/>
        </w:rPr>
        <w:t>effective and appropriate remedies entails "making avail able effective and expeditious remedies</w:t>
      </w:r>
      <w:r w:rsidRPr="001631A3">
        <w:rPr>
          <w:rFonts w:asciiTheme="majorHAnsi" w:eastAsia="Times New Roman" w:hAnsiTheme="majorHAnsi" w:cstheme="majorHAnsi"/>
          <w:sz w:val="12"/>
        </w:rPr>
        <w:t xml:space="preserve"> such as injunctions and penalties, </w:t>
      </w:r>
      <w:r w:rsidRPr="001631A3">
        <w:rPr>
          <w:rStyle w:val="Emphasis"/>
          <w:rFonts w:asciiTheme="majorHAnsi" w:hAnsiTheme="majorHAnsi" w:cstheme="majorHAnsi"/>
        </w:rPr>
        <w:t>or mechanisms for</w:t>
      </w:r>
      <w:r w:rsidRPr="001631A3">
        <w:rPr>
          <w:rFonts w:asciiTheme="majorHAnsi" w:eastAsia="Times New Roman" w:hAnsiTheme="majorHAnsi" w:cstheme="majorHAnsi"/>
          <w:sz w:val="12"/>
        </w:rPr>
        <w:t xml:space="preserve"> payment of </w:t>
      </w:r>
      <w:r w:rsidRPr="001631A3">
        <w:rPr>
          <w:rStyle w:val="Emphasis"/>
          <w:rFonts w:asciiTheme="majorHAnsi" w:hAnsiTheme="majorHAnsi" w:cstheme="majorHAnsi"/>
        </w:rPr>
        <w:t>use fees or</w:t>
      </w:r>
      <w:r w:rsidRPr="001631A3">
        <w:rPr>
          <w:rFonts w:asciiTheme="majorHAnsi" w:eastAsia="Times New Roman" w:hAnsiTheme="majorHAnsi" w:cstheme="majorHAnsi"/>
          <w:sz w:val="12"/>
        </w:rPr>
        <w:t xml:space="preserve"> other </w:t>
      </w:r>
      <w:r w:rsidRPr="001631A3">
        <w:rPr>
          <w:rStyle w:val="Emphasis"/>
          <w:rFonts w:asciiTheme="majorHAnsi" w:hAnsiTheme="majorHAnsi" w:cstheme="majorHAnsi"/>
        </w:rPr>
        <w:t>compensation</w:t>
      </w:r>
      <w:r w:rsidRPr="001631A3">
        <w:rPr>
          <w:rFonts w:asciiTheme="majorHAnsi" w:eastAsia="Times New Roman" w:hAnsiTheme="majorHAnsi" w:cstheme="majorHAnsi"/>
          <w:sz w:val="12"/>
        </w:rPr>
        <w:t xml:space="preserve"> where there is out right prohibition on third party use".69 Ninth, a principle of </w:t>
      </w:r>
      <w:r w:rsidRPr="001631A3">
        <w:rPr>
          <w:rStyle w:val="Emphasis"/>
          <w:rFonts w:asciiTheme="majorHAnsi" w:hAnsiTheme="majorHAnsi" w:cstheme="majorHAnsi"/>
          <w:highlight w:val="yellow"/>
        </w:rPr>
        <w:t>safeguarding customary uses entails</w:t>
      </w:r>
      <w:r w:rsidRPr="001631A3">
        <w:rPr>
          <w:rStyle w:val="Emphasis"/>
          <w:rFonts w:asciiTheme="majorHAnsi" w:hAnsiTheme="majorHAnsi" w:cstheme="majorHAnsi"/>
        </w:rPr>
        <w:t xml:space="preserve"> the encouragement of the </w:t>
      </w:r>
      <w:r w:rsidRPr="001631A3">
        <w:rPr>
          <w:rStyle w:val="Emphasis"/>
          <w:rFonts w:asciiTheme="majorHAnsi" w:hAnsiTheme="majorHAnsi" w:cstheme="majorHAnsi"/>
          <w:highlight w:val="yellow"/>
        </w:rPr>
        <w:t>use of TK and associated genetic resources, which "should not be restrained by</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rPr>
        <w:t xml:space="preserve">formal </w:t>
      </w:r>
      <w:r w:rsidRPr="001631A3">
        <w:rPr>
          <w:rStyle w:val="Emphasis"/>
          <w:rFonts w:asciiTheme="majorHAnsi" w:hAnsiTheme="majorHAnsi" w:cstheme="majorHAnsi"/>
          <w:highlight w:val="yellow"/>
        </w:rPr>
        <w:t>legal protection</w:t>
      </w:r>
      <w:r w:rsidRPr="001631A3">
        <w:rPr>
          <w:rFonts w:asciiTheme="majorHAnsi" w:eastAsia="Times New Roman" w:hAnsiTheme="majorHAnsi" w:cstheme="majorHAnsi"/>
          <w:sz w:val="12"/>
        </w:rPr>
        <w:t xml:space="preserve"> of TK, nor by other IP rights".70 Tenth, </w:t>
      </w:r>
      <w:r w:rsidRPr="001631A3">
        <w:rPr>
          <w:rFonts w:asciiTheme="majorHAnsi" w:hAnsiTheme="majorHAnsi" w:cstheme="majorHAnsi"/>
          <w:sz w:val="12"/>
        </w:rPr>
        <w:t>the principle of consistency with access and benefit-sharing frameworks for associated genetic resources entails adopting measures which regulate access to genetic resources and benefit-sharing. Legal protection</w:t>
      </w:r>
      <w:r w:rsidRPr="001631A3">
        <w:rPr>
          <w:rFonts w:asciiTheme="majorHAnsi" w:eastAsia="Times New Roman" w:hAnsiTheme="majorHAnsi" w:cstheme="majorHAnsi"/>
          <w:sz w:val="12"/>
        </w:rPr>
        <w:t xml:space="preserve"> of TK associated with genetic resources should be coordinated with policy frameworks for associated genetic resources, including conservation, sustainable use and benefit-sharing.71 </w:t>
      </w:r>
      <w:r w:rsidRPr="001631A3">
        <w:rPr>
          <w:rStyle w:val="Emphasis"/>
          <w:rFonts w:asciiTheme="majorHAnsi" w:hAnsiTheme="majorHAnsi" w:cstheme="majorHAnsi"/>
        </w:rPr>
        <w:t xml:space="preserve">Related </w:t>
      </w:r>
      <w:r w:rsidRPr="001631A3">
        <w:rPr>
          <w:rStyle w:val="Emphasis"/>
          <w:rFonts w:asciiTheme="majorHAnsi" w:hAnsiTheme="majorHAnsi" w:cstheme="majorHAnsi"/>
          <w:highlight w:val="yellow"/>
        </w:rPr>
        <w:t>principles governing procedural and consultative process might be con sidered including</w:t>
      </w:r>
      <w:r w:rsidRPr="001631A3">
        <w:rPr>
          <w:rFonts w:asciiTheme="majorHAnsi" w:eastAsia="Times New Roman" w:hAnsiTheme="majorHAnsi" w:cstheme="majorHAnsi"/>
          <w:sz w:val="12"/>
        </w:rPr>
        <w:t xml:space="preserve"> the principle of </w:t>
      </w:r>
      <w:r w:rsidRPr="001631A3">
        <w:rPr>
          <w:rStyle w:val="Emphasis"/>
          <w:rFonts w:asciiTheme="majorHAnsi" w:hAnsiTheme="majorHAnsi" w:cstheme="majorHAnsi"/>
          <w:highlight w:val="yellow"/>
        </w:rPr>
        <w:t>full and effective participation of TK holders and</w:t>
      </w:r>
      <w:r w:rsidRPr="001631A3">
        <w:rPr>
          <w:rFonts w:asciiTheme="majorHAnsi" w:eastAsia="Times New Roman" w:hAnsiTheme="majorHAnsi" w:cstheme="majorHAnsi"/>
          <w:sz w:val="12"/>
        </w:rPr>
        <w:t xml:space="preserve"> the principle of coordination with </w:t>
      </w:r>
      <w:r w:rsidRPr="001631A3">
        <w:rPr>
          <w:rStyle w:val="Emphasis"/>
          <w:rFonts w:asciiTheme="majorHAnsi" w:hAnsiTheme="majorHAnsi" w:cstheme="majorHAnsi"/>
          <w:highlight w:val="yellow"/>
        </w:rPr>
        <w:t>other relevant fora</w:t>
      </w:r>
      <w:r w:rsidRPr="001631A3">
        <w:rPr>
          <w:rStyle w:val="Emphasis"/>
          <w:rFonts w:asciiTheme="majorHAnsi" w:hAnsiTheme="majorHAnsi" w:cstheme="majorHAnsi"/>
        </w:rPr>
        <w:t xml:space="preserve"> and processes</w:t>
      </w:r>
      <w:r w:rsidRPr="001631A3">
        <w:rPr>
          <w:rFonts w:asciiTheme="majorHAnsi" w:eastAsia="Times New Roman" w:hAnsiTheme="majorHAnsi" w:cstheme="majorHAnsi"/>
          <w:sz w:val="12"/>
        </w:rPr>
        <w:t xml:space="preserve">.72 These principles clearly are geared towards affording maximum flexibility to TK holders, legislators and policy makers. The development of a bundle or menu of legal and policy options, "flexibility can be achieved by drawing selectively on general legal doctrines in order to tailor the form of protection to specific needs, TK subject matter and the legal systems of a given jurisdiction".73 6.2. Legal Doctrines and Policy Tools Various doctrines have been used as policy tools for TK protection in national law. Their selective use "could build a sufficiently versatile doctrinal basis for TK protection". The major doctrines are as follows. The first is </w:t>
      </w:r>
      <w:r w:rsidRPr="001631A3">
        <w:rPr>
          <w:rFonts w:asciiTheme="majorHAnsi" w:hAnsiTheme="majorHAnsi" w:cstheme="majorHAnsi"/>
          <w:sz w:val="12"/>
        </w:rPr>
        <w:t>the grant of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exclusive property rights</w:t>
      </w:r>
      <w:r w:rsidRPr="001631A3">
        <w:rPr>
          <w:rStyle w:val="Emphasis"/>
          <w:rFonts w:asciiTheme="majorHAnsi" w:hAnsiTheme="majorHAnsi" w:cstheme="majorHAnsi"/>
        </w:rPr>
        <w:t xml:space="preserve"> for TK</w:t>
      </w:r>
      <w:r w:rsidRPr="001631A3">
        <w:rPr>
          <w:rFonts w:asciiTheme="majorHAnsi" w:eastAsia="Times New Roman" w:hAnsiTheme="majorHAnsi" w:cstheme="majorHAnsi"/>
          <w:sz w:val="12"/>
        </w:rPr>
        <w:t xml:space="preserve">. Such rights </w:t>
      </w:r>
      <w:r w:rsidRPr="001631A3">
        <w:rPr>
          <w:rStyle w:val="Emphasis"/>
          <w:rFonts w:asciiTheme="majorHAnsi" w:hAnsiTheme="majorHAnsi" w:cstheme="majorHAnsi"/>
          <w:highlight w:val="yellow"/>
        </w:rPr>
        <w:t>may be communally or collectively held. This is for TK that is distinct</w:t>
      </w:r>
      <w:r w:rsidRPr="001631A3">
        <w:rPr>
          <w:rStyle w:val="Emphasis"/>
          <w:rFonts w:asciiTheme="majorHAnsi" w:hAnsiTheme="majorHAnsi" w:cstheme="majorHAnsi"/>
        </w:rPr>
        <w:t xml:space="preserve"> and has a clear owner</w:t>
      </w:r>
      <w:r w:rsidRPr="001631A3">
        <w:rPr>
          <w:rFonts w:asciiTheme="majorHAnsi" w:eastAsia="Times New Roman" w:hAnsiTheme="majorHAnsi" w:cstheme="majorHAnsi"/>
          <w:sz w:val="12"/>
        </w:rPr>
        <w:t xml:space="preserve">. Existing IP rights have been used to protect TK or TK related subject matter. For example, </w:t>
      </w:r>
      <w:r w:rsidRPr="001631A3">
        <w:rPr>
          <w:rStyle w:val="Emphasis"/>
          <w:rFonts w:asciiTheme="majorHAnsi" w:hAnsiTheme="majorHAnsi" w:cstheme="majorHAnsi"/>
          <w:highlight w:val="yellow"/>
        </w:rPr>
        <w:t>practitioners of traditional medicine have protected their innovations by</w:t>
      </w:r>
      <w:r w:rsidRPr="001631A3">
        <w:rPr>
          <w:rStyle w:val="Emphasis"/>
          <w:rFonts w:asciiTheme="majorHAnsi" w:hAnsiTheme="majorHAnsi" w:cstheme="majorHAnsi"/>
        </w:rPr>
        <w:t xml:space="preserve"> using </w:t>
      </w:r>
      <w:r w:rsidRPr="001631A3">
        <w:rPr>
          <w:rStyle w:val="Emphasis"/>
          <w:rFonts w:asciiTheme="majorHAnsi" w:hAnsiTheme="majorHAnsi" w:cstheme="majorHAnsi"/>
          <w:highlight w:val="yellow"/>
        </w:rPr>
        <w:t>patent</w:t>
      </w:r>
      <w:r w:rsidRPr="001631A3">
        <w:rPr>
          <w:rStyle w:val="Emphasis"/>
          <w:rFonts w:asciiTheme="majorHAnsi" w:hAnsiTheme="majorHAnsi" w:cstheme="majorHAnsi"/>
        </w:rPr>
        <w:t xml:space="preserve"> rights</w:t>
      </w:r>
      <w:r w:rsidRPr="001631A3">
        <w:rPr>
          <w:rFonts w:asciiTheme="majorHAnsi" w:eastAsia="Times New Roman" w:hAnsiTheme="majorHAnsi" w:cstheme="majorHAnsi"/>
          <w:sz w:val="12"/>
        </w:rPr>
        <w:t xml:space="preserve"> under patent systems. </w:t>
      </w:r>
      <w:r w:rsidRPr="001631A3">
        <w:rPr>
          <w:rFonts w:asciiTheme="majorHAnsi" w:hAnsiTheme="majorHAnsi" w:cstheme="majorHAnsi"/>
          <w:sz w:val="12"/>
        </w:rPr>
        <w:t>An example is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China</w:t>
      </w:r>
      <w:r w:rsidRPr="001631A3">
        <w:rPr>
          <w:rStyle w:val="Emphasis"/>
          <w:rFonts w:asciiTheme="majorHAnsi" w:hAnsiTheme="majorHAnsi" w:cstheme="majorHAnsi"/>
        </w:rPr>
        <w:t xml:space="preserve">, </w:t>
      </w:r>
      <w:r w:rsidRPr="001631A3">
        <w:rPr>
          <w:rFonts w:asciiTheme="majorHAnsi" w:hAnsiTheme="majorHAnsi" w:cstheme="majorHAnsi"/>
          <w:sz w:val="12"/>
        </w:rPr>
        <w:t>which</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granted 4479</w:t>
      </w:r>
      <w:r w:rsidRPr="001631A3">
        <w:rPr>
          <w:rStyle w:val="Emphasis"/>
          <w:rFonts w:asciiTheme="majorHAnsi" w:hAnsiTheme="majorHAnsi" w:cstheme="majorHAnsi"/>
        </w:rPr>
        <w:t xml:space="preserve"> patents </w:t>
      </w:r>
      <w:r w:rsidRPr="001631A3">
        <w:rPr>
          <w:rStyle w:val="Emphasis"/>
          <w:rFonts w:asciiTheme="majorHAnsi" w:hAnsiTheme="majorHAnsi" w:cstheme="majorHAnsi"/>
          <w:highlight w:val="yellow"/>
        </w:rPr>
        <w:t>for Traditional Chinese Medicine</w:t>
      </w:r>
      <w:r w:rsidRPr="001631A3">
        <w:rPr>
          <w:rFonts w:asciiTheme="majorHAnsi" w:eastAsia="Times New Roman" w:hAnsiTheme="majorHAnsi" w:cstheme="majorHAnsi"/>
          <w:sz w:val="12"/>
        </w:rPr>
        <w:t xml:space="preserve"> (TCM) </w:t>
      </w:r>
      <w:r w:rsidRPr="001631A3">
        <w:rPr>
          <w:rStyle w:val="Emphasis"/>
          <w:rFonts w:asciiTheme="majorHAnsi" w:hAnsiTheme="majorHAnsi" w:cstheme="majorHAnsi"/>
          <w:highlight w:val="yellow"/>
        </w:rPr>
        <w:t>in 2002</w:t>
      </w:r>
      <w:r w:rsidRPr="001631A3">
        <w:rPr>
          <w:rFonts w:asciiTheme="majorHAnsi" w:eastAsia="Times New Roman" w:hAnsiTheme="majorHAnsi" w:cstheme="majorHAnsi"/>
          <w:sz w:val="12"/>
        </w:rPr>
        <w:t xml:space="preserve">.74 Where existing exclusive IP rights are deemed to be insufficient to take into 68 Ibid., para. </w:t>
      </w:r>
      <w:r w:rsidRPr="001631A3">
        <w:rPr>
          <w:rFonts w:asciiTheme="majorHAnsi" w:eastAsia="Times New Roman" w:hAnsiTheme="majorHAnsi" w:cstheme="majorHAnsi"/>
          <w:sz w:val="12"/>
          <w:lang w:val="es-ES"/>
        </w:rPr>
        <w:t xml:space="preserve">24. 65 Ibid., para. 25. 70 Ibid., para. 26. 71 Ibid., para. 27. 72 76id., paras. 28-30. 73 76/d., para. </w:t>
      </w:r>
      <w:r w:rsidRPr="001631A3">
        <w:rPr>
          <w:rFonts w:asciiTheme="majorHAnsi" w:eastAsia="Times New Roman" w:hAnsiTheme="majorHAnsi" w:cstheme="majorHAnsi"/>
          <w:sz w:val="12"/>
        </w:rPr>
        <w:t xml:space="preserve">31. 74 The Economist, supra note 43. 21 account the specificities of TK, sui generis rights have been called for. Difficul ties have arisen in this regard: meeting requirements of novelty or originality, and inventive step or non-obviousness; requirements in many IP laws for protected subject-matter to be fixed in material form; and the frequently informal nature of TK and the customary laws and protocols that define ownership; concern that </w:t>
      </w:r>
      <w:r w:rsidRPr="001631A3">
        <w:rPr>
          <w:rStyle w:val="Emphasis"/>
          <w:rFonts w:asciiTheme="majorHAnsi" w:hAnsiTheme="majorHAnsi" w:cstheme="majorHAnsi"/>
        </w:rPr>
        <w:t xml:space="preserve">protection </w:t>
      </w:r>
      <w:r w:rsidRPr="001631A3">
        <w:rPr>
          <w:rStyle w:val="Emphasis"/>
          <w:rFonts w:asciiTheme="majorHAnsi" w:hAnsiTheme="majorHAnsi" w:cstheme="majorHAnsi"/>
          <w:highlight w:val="yellow"/>
        </w:rPr>
        <w:t>systems should correspond to a positive duty to</w:t>
      </w:r>
      <w:r w:rsidRPr="001631A3">
        <w:rPr>
          <w:rStyle w:val="Emphasis"/>
          <w:rFonts w:asciiTheme="majorHAnsi" w:hAnsiTheme="majorHAnsi" w:cstheme="majorHAnsi"/>
        </w:rPr>
        <w:t xml:space="preserve"> preserve and </w:t>
      </w:r>
      <w:r w:rsidRPr="001631A3">
        <w:rPr>
          <w:rStyle w:val="Emphasis"/>
          <w:rFonts w:asciiTheme="majorHAnsi" w:hAnsiTheme="majorHAnsi" w:cstheme="majorHAnsi"/>
          <w:highlight w:val="yellow"/>
        </w:rPr>
        <w:t>maintain TK</w:t>
      </w:r>
      <w:r w:rsidRPr="001631A3">
        <w:rPr>
          <w:rFonts w:asciiTheme="majorHAnsi" w:eastAsia="Times New Roman" w:hAnsiTheme="majorHAnsi" w:cstheme="majorHAnsi"/>
          <w:sz w:val="12"/>
        </w:rPr>
        <w:t xml:space="preserve">, </w:t>
      </w:r>
    </w:p>
    <w:p w14:paraId="3B868CC0" w14:textId="33D2772B" w:rsidR="00CB5F6D" w:rsidRDefault="00CB5F6D" w:rsidP="004421CF">
      <w:pPr>
        <w:spacing w:after="0" w:line="240" w:lineRule="auto"/>
        <w:rPr>
          <w:rFonts w:asciiTheme="majorHAnsi" w:eastAsia="Times New Roman" w:hAnsiTheme="majorHAnsi" w:cstheme="majorHAnsi"/>
          <w:sz w:val="12"/>
        </w:rPr>
      </w:pPr>
    </w:p>
    <w:p w14:paraId="2C328929" w14:textId="16487890" w:rsidR="00CB5F6D" w:rsidRDefault="00CB5F6D" w:rsidP="004421CF">
      <w:pPr>
        <w:spacing w:after="0" w:line="240" w:lineRule="auto"/>
        <w:rPr>
          <w:rFonts w:asciiTheme="majorHAnsi" w:eastAsia="Times New Roman" w:hAnsiTheme="majorHAnsi" w:cstheme="majorHAnsi"/>
          <w:sz w:val="12"/>
        </w:rPr>
      </w:pPr>
      <w:r>
        <w:rPr>
          <w:rFonts w:asciiTheme="majorHAnsi" w:eastAsia="Times New Roman" w:hAnsiTheme="majorHAnsi" w:cstheme="majorHAnsi"/>
          <w:sz w:val="12"/>
        </w:rPr>
        <w:t>XXXXXXXXX</w:t>
      </w:r>
    </w:p>
    <w:p w14:paraId="26AE656B" w14:textId="26EDA3DE" w:rsidR="004421CF" w:rsidRPr="001631A3" w:rsidRDefault="004421CF" w:rsidP="004421CF">
      <w:pPr>
        <w:spacing w:after="0" w:line="240" w:lineRule="auto"/>
        <w:rPr>
          <w:rFonts w:asciiTheme="majorHAnsi" w:eastAsia="Times New Roman" w:hAnsiTheme="majorHAnsi" w:cstheme="majorHAnsi"/>
          <w:sz w:val="12"/>
        </w:rPr>
      </w:pPr>
      <w:r w:rsidRPr="001631A3">
        <w:rPr>
          <w:rFonts w:asciiTheme="majorHAnsi" w:eastAsia="Times New Roman" w:hAnsiTheme="majorHAnsi" w:cstheme="majorHAnsi"/>
          <w:sz w:val="12"/>
        </w:rPr>
        <w:t xml:space="preserve">and not merely provide means to prevent unauthorized use; perceived tension between individualistic notions of IP rights and the sense of collective owner ship of TK; and limitations on the term of protection in IP systems (20 years in the case of patents).75 The second, is the application of the principle of </w:t>
      </w:r>
      <w:r w:rsidRPr="001631A3">
        <w:rPr>
          <w:rStyle w:val="Emphasis"/>
          <w:rFonts w:asciiTheme="majorHAnsi" w:hAnsiTheme="majorHAnsi" w:cstheme="majorHAnsi"/>
          <w:highlight w:val="yellow"/>
        </w:rPr>
        <w:t>prior informed consent</w:t>
      </w:r>
      <w:r w:rsidRPr="001631A3">
        <w:rPr>
          <w:rFonts w:asciiTheme="majorHAnsi" w:eastAsia="Times New Roman" w:hAnsiTheme="majorHAnsi" w:cstheme="majorHAnsi"/>
          <w:sz w:val="12"/>
        </w:rPr>
        <w:t xml:space="preserve"> (PIC). This </w:t>
      </w:r>
      <w:r w:rsidRPr="001631A3">
        <w:rPr>
          <w:rStyle w:val="Emphasis"/>
          <w:rFonts w:asciiTheme="majorHAnsi" w:hAnsiTheme="majorHAnsi" w:cstheme="majorHAnsi"/>
          <w:highlight w:val="yellow"/>
        </w:rPr>
        <w:t>enables a regulatory framework</w:t>
      </w:r>
      <w:r w:rsidRPr="001631A3">
        <w:rPr>
          <w:rFonts w:asciiTheme="majorHAnsi" w:eastAsia="Times New Roman" w:hAnsiTheme="majorHAnsi" w:cstheme="majorHAnsi"/>
          <w:sz w:val="12"/>
        </w:rPr>
        <w:t xml:space="preserve"> so as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control the use of TK by third par ties and </w:t>
      </w:r>
      <w:r w:rsidRPr="001631A3">
        <w:rPr>
          <w:rStyle w:val="Emphasis"/>
          <w:rFonts w:asciiTheme="majorHAnsi" w:hAnsiTheme="majorHAnsi" w:cstheme="majorHAnsi"/>
          <w:highlight w:val="yellow"/>
        </w:rPr>
        <w:t>ensure a flow of benefits to</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highlight w:val="yellow"/>
        </w:rPr>
        <w:t>knowledge holders</w:t>
      </w:r>
      <w:r w:rsidRPr="001631A3">
        <w:rPr>
          <w:rStyle w:val="Emphasis"/>
          <w:rFonts w:asciiTheme="majorHAnsi" w:hAnsiTheme="majorHAnsi" w:cstheme="majorHAnsi"/>
        </w:rPr>
        <w:t>, in ways consistent with the collective nature of TK</w:t>
      </w:r>
      <w:r w:rsidRPr="001631A3">
        <w:rPr>
          <w:rFonts w:asciiTheme="majorHAnsi" w:eastAsia="Times New Roman" w:hAnsiTheme="majorHAnsi" w:cstheme="majorHAnsi"/>
          <w:sz w:val="12"/>
        </w:rPr>
        <w:t xml:space="preserve">. The third, is </w:t>
      </w:r>
      <w:r w:rsidRPr="001631A3">
        <w:rPr>
          <w:rStyle w:val="Emphasis"/>
          <w:rFonts w:asciiTheme="majorHAnsi" w:hAnsiTheme="majorHAnsi" w:cstheme="majorHAnsi"/>
          <w:highlight w:val="yellow"/>
        </w:rPr>
        <w:t>the compensatory liability approach</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 which </w:t>
      </w:r>
      <w:r w:rsidRPr="001631A3">
        <w:rPr>
          <w:rStyle w:val="Emphasis"/>
          <w:rFonts w:asciiTheme="majorHAnsi" w:hAnsiTheme="majorHAnsi" w:cstheme="majorHAnsi"/>
          <w:highlight w:val="yellow"/>
        </w:rPr>
        <w:t>would entitle TK holders to</w:t>
      </w:r>
      <w:r w:rsidRPr="001631A3">
        <w:rPr>
          <w:rFonts w:asciiTheme="majorHAnsi" w:eastAsia="Times New Roman" w:hAnsiTheme="majorHAnsi" w:cstheme="majorHAnsi"/>
          <w:sz w:val="12"/>
        </w:rPr>
        <w:t xml:space="preserve"> compensatory contributions from TK users who borrowed traditional know-how for industrial applications of their own during a specified period of time. This would ensure that TK holders gain a share of the </w:t>
      </w:r>
      <w:r w:rsidRPr="001631A3">
        <w:rPr>
          <w:rStyle w:val="Emphasis"/>
          <w:rFonts w:asciiTheme="majorHAnsi" w:hAnsiTheme="majorHAnsi" w:cstheme="majorHAnsi"/>
          <w:highlight w:val="yellow"/>
        </w:rPr>
        <w:t>economic and moral rewards</w:t>
      </w:r>
      <w:r w:rsidRPr="001631A3">
        <w:rPr>
          <w:rStyle w:val="Emphasis"/>
          <w:rFonts w:asciiTheme="majorHAnsi" w:hAnsiTheme="majorHAnsi" w:cstheme="majorHAnsi"/>
        </w:rPr>
        <w:t xml:space="preserve"> resulting from exploitation of such knowledge</w:t>
      </w:r>
      <w:r w:rsidRPr="001631A3">
        <w:rPr>
          <w:rFonts w:asciiTheme="majorHAnsi" w:eastAsia="Times New Roman" w:hAnsiTheme="majorHAnsi" w:cstheme="majorHAnsi"/>
          <w:sz w:val="12"/>
        </w:rPr>
        <w:t xml:space="preserve"> and at the same time con tribute to ensuring access to such knowledge. The fourth, is repression of unfair competition. The law of unfair competition includes a wide range of remedies, including repression of misleading and decep tive trade practices, unjust enrichment, passing off, and taking of unfair com mercial advantage. The fifth, is recognition of customary laws and protocols, "which functions as a cross-cutting interface with local legal systems in all the above-mentioned tools".76 An African Model Law77 and the sui generis laws of Peru78 and the Philippines79 incorporate customary laws by reference to such laws. 7. Strategies and interim measures These then are the main legal principles and doctrines, which must be consid ered. At the national level, several steps are vital in the search for a functioning and effective TK protection system. 75 Ibid., para. 21. 76 Ibid., para. 45. 77 African Model Law for Protection of the Rights of Local Communities, Farmers and Breeders and the regulation of access to Biological Resources, 2000. 78 See 'Efforts at Protecting Traditional Knowledge: The Experience of Peru', document prepared for WIPO Roundtable on Intellectual Property and Traditional Knowledge, Geneva, 1-2 November 1999. See also WIPO, Intellectual Property Needs and Expectations of Traditional Knowledge Holders. WIPO Report on Fact-finding Missions on Intellectual Property and Traditional Knowledge (1998-1999) Report of Fact Finding missions of the WIPO, Publication No. 768. ™ Philippines Executive Order, No. 247, 1995, Section 2(a). Policy objectives have to be clearly defined for any sui generis system. In the case of TK and TM, for example, </w:t>
      </w:r>
      <w:r w:rsidRPr="001631A3">
        <w:rPr>
          <w:rStyle w:val="Emphasis"/>
          <w:rFonts w:asciiTheme="majorHAnsi" w:hAnsiTheme="majorHAnsi" w:cstheme="majorHAnsi"/>
          <w:highlight w:val="yellow"/>
        </w:rPr>
        <w:t>the following objectives could be considered</w:t>
      </w:r>
      <w:r w:rsidRPr="001631A3">
        <w:rPr>
          <w:rStyle w:val="Emphasis"/>
          <w:rFonts w:asciiTheme="majorHAnsi" w:hAnsiTheme="majorHAnsi" w:cstheme="majorHAnsi"/>
        </w:rPr>
        <w:t xml:space="preserve">: - to create </w:t>
      </w:r>
      <w:r w:rsidRPr="001631A3">
        <w:rPr>
          <w:rStyle w:val="Emphasis"/>
          <w:rFonts w:asciiTheme="majorHAnsi" w:hAnsiTheme="majorHAnsi" w:cstheme="majorHAnsi"/>
          <w:highlight w:val="yellow"/>
        </w:rPr>
        <w:t>an appropriate system for access</w:t>
      </w:r>
      <w:r w:rsidRPr="001631A3">
        <w:rPr>
          <w:rStyle w:val="Emphasis"/>
          <w:rFonts w:asciiTheme="majorHAnsi" w:hAnsiTheme="majorHAnsi" w:cstheme="majorHAnsi"/>
        </w:rPr>
        <w:t xml:space="preserve"> to TK - to ensure fair and </w:t>
      </w:r>
      <w:r w:rsidRPr="001631A3">
        <w:rPr>
          <w:rStyle w:val="Emphasis"/>
          <w:rFonts w:asciiTheme="majorHAnsi" w:hAnsiTheme="majorHAnsi" w:cstheme="majorHAnsi"/>
          <w:highlight w:val="yellow"/>
        </w:rPr>
        <w:t>equitable benefit-sharing</w:t>
      </w:r>
      <w:r w:rsidRPr="001631A3">
        <w:rPr>
          <w:rStyle w:val="Emphasis"/>
          <w:rFonts w:asciiTheme="majorHAnsi" w:hAnsiTheme="majorHAnsi" w:cstheme="majorHAnsi"/>
        </w:rPr>
        <w:t xml:space="preserve"> for TK - to promote </w:t>
      </w:r>
      <w:r w:rsidRPr="001631A3">
        <w:rPr>
          <w:rStyle w:val="Emphasis"/>
          <w:rFonts w:asciiTheme="majorHAnsi" w:hAnsiTheme="majorHAnsi" w:cstheme="majorHAnsi"/>
          <w:highlight w:val="yellow"/>
        </w:rPr>
        <w:t>respect, preservation, wider application and development of TK</w:t>
      </w:r>
      <w:r w:rsidRPr="001631A3">
        <w:rPr>
          <w:rStyle w:val="Emphasis"/>
          <w:rFonts w:asciiTheme="majorHAnsi" w:hAnsiTheme="majorHAnsi" w:cstheme="majorHAnsi"/>
        </w:rPr>
        <w:t xml:space="preserve"> - to provide </w:t>
      </w:r>
      <w:r w:rsidRPr="001631A3">
        <w:rPr>
          <w:rStyle w:val="Emphasis"/>
          <w:rFonts w:asciiTheme="majorHAnsi" w:hAnsiTheme="majorHAnsi" w:cstheme="majorHAnsi"/>
          <w:highlight w:val="yellow"/>
        </w:rPr>
        <w:t>mechanisms for the enforcement of rights of TK holders</w:t>
      </w:r>
      <w:r w:rsidRPr="001631A3">
        <w:rPr>
          <w:rStyle w:val="Emphasis"/>
          <w:rFonts w:asciiTheme="majorHAnsi" w:hAnsiTheme="majorHAnsi" w:cstheme="majorHAnsi"/>
        </w:rPr>
        <w:t xml:space="preserve">; and - to improve </w:t>
      </w:r>
      <w:r w:rsidRPr="001631A3">
        <w:rPr>
          <w:rStyle w:val="Emphasis"/>
          <w:rFonts w:asciiTheme="majorHAnsi" w:hAnsiTheme="majorHAnsi" w:cstheme="majorHAnsi"/>
          <w:highlight w:val="yellow"/>
        </w:rPr>
        <w:t>the quality of TK-based products</w:t>
      </w:r>
      <w:r w:rsidRPr="001631A3">
        <w:rPr>
          <w:rStyle w:val="Emphasis"/>
          <w:rFonts w:asciiTheme="majorHAnsi" w:hAnsiTheme="majorHAnsi" w:cstheme="majorHAnsi"/>
        </w:rPr>
        <w:t xml:space="preserve"> and remove low quality tra ditional medicine</w:t>
      </w:r>
      <w:r w:rsidRPr="001631A3">
        <w:rPr>
          <w:rFonts w:asciiTheme="majorHAnsi" w:eastAsia="Times New Roman" w:hAnsiTheme="majorHAnsi" w:cstheme="majorHAnsi"/>
          <w:sz w:val="12"/>
        </w:rPr>
        <w:t xml:space="preserve">. (ii) The scope of the subject matter has to be defined and eligible for TK pro tection. The use of appropriate terms and criteria for eligibility has to be clearly spelled out. (iii) Formal requirements for acquisition of rights need to be established. For example, </w:t>
      </w:r>
      <w:r w:rsidRPr="001631A3">
        <w:rPr>
          <w:rStyle w:val="Emphasis"/>
          <w:rFonts w:asciiTheme="majorHAnsi" w:hAnsiTheme="majorHAnsi" w:cstheme="majorHAnsi"/>
        </w:rPr>
        <w:t xml:space="preserve">TK </w:t>
      </w:r>
      <w:r w:rsidRPr="001631A3">
        <w:rPr>
          <w:rStyle w:val="Emphasis"/>
          <w:rFonts w:asciiTheme="majorHAnsi" w:hAnsiTheme="majorHAnsi" w:cstheme="majorHAnsi"/>
          <w:highlight w:val="yellow"/>
        </w:rPr>
        <w:t>protection may be automatic</w:t>
      </w:r>
      <w:r w:rsidRPr="001631A3">
        <w:rPr>
          <w:rFonts w:asciiTheme="majorHAnsi" w:eastAsia="Times New Roman" w:hAnsiTheme="majorHAnsi" w:cstheme="majorHAnsi"/>
          <w:sz w:val="12"/>
        </w:rPr>
        <w:t xml:space="preserve"> (as in copyright protection which is automatic upon creation of the work) </w:t>
      </w:r>
      <w:r w:rsidRPr="001631A3">
        <w:rPr>
          <w:rStyle w:val="Emphasis"/>
          <w:rFonts w:asciiTheme="majorHAnsi" w:hAnsiTheme="majorHAnsi" w:cstheme="majorHAnsi"/>
        </w:rPr>
        <w:t>or</w:t>
      </w:r>
      <w:r w:rsidRPr="001631A3">
        <w:rPr>
          <w:rFonts w:asciiTheme="majorHAnsi" w:eastAsia="Times New Roman" w:hAnsiTheme="majorHAnsi" w:cstheme="majorHAnsi"/>
          <w:sz w:val="12"/>
        </w:rPr>
        <w:t xml:space="preserve"> a </w:t>
      </w:r>
      <w:r w:rsidRPr="001631A3">
        <w:rPr>
          <w:rStyle w:val="Emphasis"/>
          <w:rFonts w:asciiTheme="majorHAnsi" w:hAnsiTheme="majorHAnsi" w:cstheme="majorHAnsi"/>
        </w:rPr>
        <w:t>formal</w:t>
      </w:r>
      <w:r w:rsidRPr="001631A3">
        <w:rPr>
          <w:rFonts w:asciiTheme="majorHAnsi" w:eastAsia="Times New Roman" w:hAnsiTheme="majorHAnsi" w:cstheme="majorHAnsi"/>
          <w:sz w:val="12"/>
        </w:rPr>
        <w:t xml:space="preserve"> step may be required, such as registering the TK before protection becomes effective (as in the case of a trademark). (iv) Substantive criteria for eligibility must be established. For example, in Panama's sui generis law, only elements of TK that remain 'traditional', that is intrin sically linked to the community that has originated them, would be pro tected under the sui generis system.80 (v) The nature of rights in TK conferred depends on the legal doctrine or com bination of </w:t>
      </w:r>
      <w:r w:rsidRPr="001631A3">
        <w:rPr>
          <w:rFonts w:asciiTheme="majorHAnsi" w:eastAsia="Times New Roman" w:hAnsiTheme="majorHAnsi" w:cstheme="majorHAnsi"/>
          <w:sz w:val="12"/>
        </w:rPr>
        <w:lastRenderedPageBreak/>
        <w:t xml:space="preserve">doctrines used for protection (vi) The scope of rights will determine the degree of control, which the right holder will be able to exercise. Potential rights may include prevention of unauthorized access to protected TK, unauthorized commercial use of such TK, third party claims over protected TK and so on. (vii) Determination of the custodians or beneficiaries. Does an individual or the community own the TK? Is TK understood in the national context to refer to a collective product? This may then dictate the granting of collective rights and not to individuals. On the other hand, distinctive right holders may not be necessary, as </w:t>
      </w:r>
      <w:r w:rsidRPr="001631A3">
        <w:rPr>
          <w:rStyle w:val="Emphasis"/>
          <w:rFonts w:asciiTheme="majorHAnsi" w:hAnsiTheme="majorHAnsi" w:cstheme="majorHAnsi"/>
        </w:rPr>
        <w:t>collective marks and certification marks may be protected on behalf of a group of beneficiaries</w:t>
      </w:r>
      <w:r w:rsidRPr="001631A3">
        <w:rPr>
          <w:rFonts w:asciiTheme="majorHAnsi" w:eastAsia="Times New Roman" w:hAnsiTheme="majorHAnsi" w:cstheme="majorHAnsi"/>
          <w:sz w:val="12"/>
        </w:rPr>
        <w:t xml:space="preserve">. (viii) Expiration and loss of rights. The duration of rights, normally a key issue, may be problematic, as </w:t>
      </w:r>
      <w:r w:rsidRPr="001631A3">
        <w:rPr>
          <w:rStyle w:val="Emphasis"/>
          <w:rFonts w:asciiTheme="majorHAnsi" w:hAnsiTheme="majorHAnsi" w:cstheme="majorHAnsi"/>
          <w:highlight w:val="yellow"/>
        </w:rPr>
        <w:t>sui generis systems</w:t>
      </w:r>
      <w:r w:rsidRPr="001631A3">
        <w:rPr>
          <w:rStyle w:val="Emphasis"/>
          <w:rFonts w:asciiTheme="majorHAnsi" w:hAnsiTheme="majorHAnsi" w:cstheme="majorHAnsi"/>
        </w:rPr>
        <w:t xml:space="preserve"> sometimes </w:t>
      </w:r>
      <w:r w:rsidRPr="001631A3">
        <w:rPr>
          <w:rStyle w:val="Emphasis"/>
          <w:rFonts w:asciiTheme="majorHAnsi" w:hAnsiTheme="majorHAnsi" w:cstheme="majorHAnsi"/>
          <w:highlight w:val="yellow"/>
        </w:rPr>
        <w:t>do not contain</w:t>
      </w:r>
      <w:r w:rsidRPr="001631A3">
        <w:rPr>
          <w:rFonts w:asciiTheme="majorHAnsi" w:eastAsia="Times New Roman" w:hAnsiTheme="majorHAnsi" w:cstheme="majorHAnsi"/>
          <w:sz w:val="12"/>
        </w:rPr>
        <w:t xml:space="preserve"> expiration and </w:t>
      </w:r>
      <w:r w:rsidRPr="001631A3">
        <w:rPr>
          <w:rStyle w:val="Emphasis"/>
          <w:rFonts w:asciiTheme="majorHAnsi" w:hAnsiTheme="majorHAnsi" w:cstheme="majorHAnsi"/>
          <w:highlight w:val="yellow"/>
        </w:rPr>
        <w:t>loss of rights provisions</w:t>
      </w:r>
      <w:r w:rsidRPr="001631A3">
        <w:rPr>
          <w:rFonts w:asciiTheme="majorHAnsi" w:eastAsia="Times New Roman" w:hAnsiTheme="majorHAnsi" w:cstheme="majorHAnsi"/>
          <w:sz w:val="12"/>
        </w:rPr>
        <w:t xml:space="preserve">. Article 23 of the African Model Law states that community intellectual rights "shall at all times remain inalienable".8' (ix) Sanctions and enforcement. Appropriate mechanisms will need to be devised. Ley de Propiedad Intellectual Indigena, Ley No. 20 (26 June 2000). African Model Law, supra note 77. </w:t>
      </w:r>
      <w:r w:rsidRPr="001631A3">
        <w:rPr>
          <w:rStyle w:val="Emphasis"/>
          <w:rFonts w:asciiTheme="majorHAnsi" w:hAnsiTheme="majorHAnsi" w:cstheme="majorHAnsi"/>
          <w:highlight w:val="yellow"/>
        </w:rPr>
        <w:t>Defensive protection</w:t>
      </w:r>
      <w:r w:rsidRPr="001631A3">
        <w:rPr>
          <w:rFonts w:asciiTheme="majorHAnsi" w:eastAsia="Times New Roman" w:hAnsiTheme="majorHAnsi" w:cstheme="majorHAnsi"/>
          <w:sz w:val="12"/>
        </w:rPr>
        <w:t xml:space="preserve">. This </w:t>
      </w:r>
      <w:r w:rsidRPr="001631A3">
        <w:rPr>
          <w:rStyle w:val="Emphasis"/>
          <w:rFonts w:asciiTheme="majorHAnsi" w:hAnsiTheme="majorHAnsi" w:cstheme="majorHAnsi"/>
        </w:rPr>
        <w:t>involves</w:t>
      </w:r>
      <w:r w:rsidRPr="001631A3">
        <w:rPr>
          <w:rFonts w:asciiTheme="majorHAnsi" w:eastAsia="Times New Roman" w:hAnsiTheme="majorHAnsi" w:cstheme="majorHAnsi"/>
          <w:sz w:val="12"/>
        </w:rPr>
        <w:t xml:space="preserve">, for example, </w:t>
      </w:r>
      <w:r w:rsidRPr="001631A3">
        <w:rPr>
          <w:rStyle w:val="Emphasis"/>
          <w:rFonts w:asciiTheme="majorHAnsi" w:hAnsiTheme="majorHAnsi" w:cstheme="majorHAnsi"/>
          <w:highlight w:val="yellow"/>
        </w:rPr>
        <w:t>the publication of TK</w:t>
      </w:r>
      <w:r w:rsidRPr="001631A3">
        <w:rPr>
          <w:rFonts w:asciiTheme="majorHAnsi" w:eastAsia="Times New Roman" w:hAnsiTheme="majorHAnsi" w:cstheme="majorHAnsi"/>
          <w:sz w:val="12"/>
        </w:rPr>
        <w:t xml:space="preserve"> on a digital database, so as </w:t>
      </w:r>
      <w:r w:rsidRPr="001631A3">
        <w:rPr>
          <w:rStyle w:val="Emphasis"/>
          <w:rFonts w:asciiTheme="majorHAnsi" w:hAnsiTheme="majorHAnsi" w:cstheme="majorHAnsi"/>
          <w:highlight w:val="yellow"/>
        </w:rPr>
        <w:t>to</w:t>
      </w:r>
      <w:r w:rsidRPr="001631A3">
        <w:rPr>
          <w:rFonts w:asciiTheme="majorHAnsi" w:eastAsia="Times New Roman" w:hAnsiTheme="majorHAnsi" w:cstheme="majorHAnsi"/>
          <w:sz w:val="12"/>
        </w:rPr>
        <w:t xml:space="preserve"> record that a particular community has been using that knowledge. This may </w:t>
      </w:r>
      <w:r w:rsidRPr="001631A3">
        <w:rPr>
          <w:rStyle w:val="Emphasis"/>
          <w:rFonts w:asciiTheme="majorHAnsi" w:hAnsiTheme="majorHAnsi" w:cstheme="majorHAnsi"/>
          <w:highlight w:val="yellow"/>
        </w:rPr>
        <w:t>avoid</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misguided</w:t>
      </w:r>
      <w:r w:rsidRPr="001631A3">
        <w:rPr>
          <w:rStyle w:val="Emphasis"/>
          <w:rFonts w:asciiTheme="majorHAnsi" w:hAnsiTheme="majorHAnsi" w:cstheme="majorHAnsi"/>
        </w:rPr>
        <w:t xml:space="preserve"> grant of </w:t>
      </w:r>
      <w:r w:rsidRPr="001631A3">
        <w:rPr>
          <w:rStyle w:val="Emphasis"/>
          <w:rFonts w:asciiTheme="majorHAnsi" w:hAnsiTheme="majorHAnsi" w:cstheme="majorHAnsi"/>
          <w:highlight w:val="yellow"/>
        </w:rPr>
        <w:t>patents</w:t>
      </w:r>
      <w:r w:rsidRPr="001631A3">
        <w:rPr>
          <w:rFonts w:asciiTheme="majorHAnsi" w:eastAsia="Times New Roman" w:hAnsiTheme="majorHAnsi" w:cstheme="majorHAnsi"/>
          <w:sz w:val="12"/>
        </w:rPr>
        <w:t xml:space="preserve"> men tioned above. (xi) Linkages with benefit sharing schemes. As some TK is closely related to biological and genetic resources, such as when these resources are linked with traditional ways of life, </w:t>
      </w:r>
      <w:r w:rsidRPr="001631A3">
        <w:rPr>
          <w:rStyle w:val="Emphasis"/>
          <w:rFonts w:asciiTheme="majorHAnsi" w:hAnsiTheme="majorHAnsi" w:cstheme="majorHAnsi"/>
        </w:rPr>
        <w:t>regulation of access to biological resources may serve as a basis for protection of TK</w:t>
      </w:r>
      <w:r w:rsidRPr="001631A3">
        <w:rPr>
          <w:rFonts w:asciiTheme="majorHAnsi" w:eastAsia="Times New Roman" w:hAnsiTheme="majorHAnsi" w:cstheme="majorHAnsi"/>
          <w:sz w:val="12"/>
        </w:rPr>
        <w:t>. In this regard, related conven tions such as the CBD will have to be closely studied</w:t>
      </w:r>
    </w:p>
    <w:p w14:paraId="281BA720" w14:textId="109335F5" w:rsidR="00487096" w:rsidRDefault="00487096" w:rsidP="00B27147">
      <w:pPr>
        <w:pStyle w:val="Heading2"/>
      </w:pPr>
      <w:r>
        <w:lastRenderedPageBreak/>
        <w:t>DA</w:t>
      </w:r>
    </w:p>
    <w:p w14:paraId="0F50762D" w14:textId="77777777" w:rsidR="00487096" w:rsidRPr="00405D88" w:rsidRDefault="00487096" w:rsidP="00487096">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1CD25DC3" w14:textId="77777777" w:rsidR="00487096" w:rsidRPr="00405D88" w:rsidRDefault="00487096" w:rsidP="00487096">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46FAE722" w14:textId="77777777" w:rsidR="00CB5F6D" w:rsidRDefault="00487096" w:rsidP="00487096">
      <w:pPr>
        <w:ind w:left="720"/>
        <w:rPr>
          <w:rStyle w:val="Emphasis"/>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w:t>
      </w:r>
      <w:r w:rsidRPr="00405D88">
        <w:rPr>
          <w:sz w:val="12"/>
        </w:rPr>
        <w:lastRenderedPageBreak/>
        <w:t xml:space="preserve">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p>
    <w:p w14:paraId="690FC97E" w14:textId="77777777" w:rsidR="00CB5F6D" w:rsidRDefault="00CB5F6D" w:rsidP="00487096">
      <w:pPr>
        <w:ind w:left="720"/>
        <w:rPr>
          <w:rStyle w:val="Emphasis"/>
        </w:rPr>
      </w:pPr>
    </w:p>
    <w:p w14:paraId="47D81177" w14:textId="77777777" w:rsidR="00CB5F6D" w:rsidRDefault="00CB5F6D" w:rsidP="00487096">
      <w:pPr>
        <w:ind w:left="720"/>
        <w:rPr>
          <w:rStyle w:val="Emphasis"/>
        </w:rPr>
      </w:pPr>
    </w:p>
    <w:p w14:paraId="1F393206" w14:textId="3FCD8EA0" w:rsidR="00CB5F6D" w:rsidRDefault="00CB5F6D" w:rsidP="00487096">
      <w:pPr>
        <w:ind w:left="720"/>
        <w:rPr>
          <w:rStyle w:val="Emphasis"/>
        </w:rPr>
      </w:pPr>
      <w:r>
        <w:rPr>
          <w:rStyle w:val="Emphasis"/>
        </w:rPr>
        <w:t>XXXXX</w:t>
      </w:r>
    </w:p>
    <w:p w14:paraId="4D63CB45" w14:textId="4722DB05" w:rsidR="00487096" w:rsidRPr="00405D88" w:rsidRDefault="00487096" w:rsidP="00487096">
      <w:pPr>
        <w:ind w:left="720"/>
        <w:rPr>
          <w:b/>
          <w:iCs/>
          <w:u w:val="single"/>
        </w:rPr>
      </w:pP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w:t>
      </w:r>
      <w:r w:rsidRPr="00405D88">
        <w:rPr>
          <w:sz w:val="12"/>
        </w:rPr>
        <w:lastRenderedPageBreak/>
        <w:t xml:space="preserve">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lastRenderedPageBreak/>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0879F035" w14:textId="77777777" w:rsidR="00487096" w:rsidRPr="009026E1" w:rsidRDefault="00487096" w:rsidP="00487096">
      <w:pPr>
        <w:pStyle w:val="Heading4"/>
      </w:pPr>
      <w:r>
        <w:t>This sets a precedent that spills over to all future diseases – Hopkins 21:</w:t>
      </w:r>
    </w:p>
    <w:p w14:paraId="4900E870" w14:textId="77777777" w:rsidR="00487096" w:rsidRPr="00405D88" w:rsidRDefault="00487096" w:rsidP="00487096">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42E1D998" w14:textId="77777777" w:rsidR="00487096" w:rsidRPr="00856058" w:rsidRDefault="00487096" w:rsidP="00487096">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6D656BF1" w14:textId="77777777" w:rsidR="00487096" w:rsidRDefault="00487096" w:rsidP="00487096">
      <w:pPr>
        <w:pStyle w:val="Heading4"/>
      </w:pPr>
      <w:r>
        <w:lastRenderedPageBreak/>
        <w:t>The DA outweighs on time-frame and magnitude: Need to sustain effective research</w:t>
      </w:r>
      <w:r>
        <w:rPr>
          <w:u w:val="single"/>
        </w:rPr>
        <w:t xml:space="preserve"> now</w:t>
      </w:r>
      <w:r>
        <w:t xml:space="preserve"> to avoid future pandemics</w:t>
      </w:r>
    </w:p>
    <w:p w14:paraId="66EAE094" w14:textId="77777777" w:rsidR="00487096" w:rsidRPr="00AC1140" w:rsidRDefault="00487096" w:rsidP="00487096">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BB67A7C" w14:textId="77777777" w:rsidR="00487096" w:rsidRPr="00BA7256" w:rsidRDefault="00487096" w:rsidP="00487096">
      <w:pPr>
        <w:ind w:left="720"/>
        <w:rPr>
          <w:u w:val="single"/>
        </w:rPr>
      </w:pPr>
      <w:hyperlink r:id="rId14" w:tgtFrame="_blank" w:history="1">
        <w:r w:rsidRPr="00482720">
          <w:rPr>
            <w:rStyle w:val="Hyperlink"/>
            <w:sz w:val="16"/>
          </w:rPr>
          <w:t>Coronavirus</w:t>
        </w:r>
      </w:hyperlink>
      <w:r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Pr="00894FED">
        <w:rPr>
          <w:u w:val="single"/>
        </w:rPr>
        <w:t xml:space="preserve">As public health emergencies recede, societies often quickly forget their experiences — and </w:t>
      </w:r>
      <w:r w:rsidRPr="00894FED">
        <w:rPr>
          <w:b/>
          <w:bCs/>
          <w:u w:val="single"/>
        </w:rPr>
        <w:t>fail to prepare for future challenges</w:t>
      </w:r>
      <w:r w:rsidRPr="00482720">
        <w:rPr>
          <w:sz w:val="16"/>
        </w:rPr>
        <w:t xml:space="preserve">. For pandemics, such a course would be disastrous. </w:t>
      </w:r>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Pr="00894FED">
        <w:rPr>
          <w:u w:val="single"/>
        </w:rPr>
        <w:t>have an opportunity not just to refill our stockpiles but also to transform our capabilities.</w:t>
      </w:r>
      <w:r w:rsidRPr="00482720">
        <w:rPr>
          <w:sz w:val="16"/>
        </w:rPr>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r>
        <w:rPr>
          <w:b/>
          <w:bCs/>
          <w:u w:val="single"/>
        </w:rPr>
        <w:t xml:space="preserve"> </w:t>
      </w:r>
      <w:r w:rsidRPr="00482720">
        <w:rPr>
          <w:sz w:val="16"/>
        </w:rPr>
        <w:t xml:space="preserve">Covid-19 has been a catastrophe: The toll in the United States alone is </w:t>
      </w:r>
      <w:hyperlink r:id="rId15" w:tgtFrame="_blank" w:history="1">
        <w:r w:rsidRPr="00482720">
          <w:rPr>
            <w:rStyle w:val="Hyperlink"/>
            <w:sz w:val="16"/>
          </w:rPr>
          <w:t>more than 614,000 lives</w:t>
        </w:r>
      </w:hyperlink>
      <w:r w:rsidRPr="00482720">
        <w:rPr>
          <w:sz w:val="16"/>
        </w:rPr>
        <w:t xml:space="preserve"> and has been estimated to exceed </w:t>
      </w:r>
      <w:hyperlink r:id="rId16" w:history="1">
        <w:r w:rsidRPr="00482720">
          <w:rPr>
            <w:rStyle w:val="Hyperlink"/>
            <w:sz w:val="16"/>
          </w:rPr>
          <w:t>$16 trillion</w:t>
        </w:r>
      </w:hyperlink>
      <w:r w:rsidRPr="00482720">
        <w:rPr>
          <w:sz w:val="16"/>
        </w:rPr>
        <w:t xml:space="preserve">, with disproportionate impact on vulnerable and marginalized communities. But a future pandemic could be even worse — unless we take steps now. </w:t>
      </w:r>
      <w:r w:rsidRPr="00894FED">
        <w:rPr>
          <w:u w:val="single"/>
        </w:rPr>
        <w:t>It’s important to remember that the virus behind covid-19 is far less deadly than the 1918 influenza.</w:t>
      </w:r>
      <w:r w:rsidRPr="00482720">
        <w:rPr>
          <w:sz w:val="16"/>
        </w:rPr>
        <w:t xml:space="preserve"> The virus also belongs to a well-understood family, coronaviruses. </w:t>
      </w:r>
      <w:r w:rsidRPr="00894FED">
        <w:rPr>
          <w:u w:val="single"/>
        </w:rPr>
        <w:t>It was possible to design vaccines within days of knowing the virus’s genetic code because 20 years of</w:t>
      </w:r>
      <w:r>
        <w:rPr>
          <w:u w:val="single"/>
        </w:rPr>
        <w:t xml:space="preserve"> </w:t>
      </w:r>
      <w:hyperlink r:id="rId17" w:tgtFrame="_blank" w:history="1">
        <w:r w:rsidRPr="00894FED">
          <w:rPr>
            <w:rStyle w:val="Hyperlink"/>
            <w:u w:val="single"/>
          </w:rPr>
          <w:t>basic scientific research</w:t>
        </w:r>
      </w:hyperlink>
      <w:r>
        <w:rPr>
          <w:u w:val="single"/>
        </w:rPr>
        <w:t xml:space="preserve"> </w:t>
      </w:r>
      <w:r w:rsidRPr="00894FED">
        <w:rPr>
          <w:u w:val="single"/>
        </w:rPr>
        <w:t xml:space="preserve">had revealed which protein to target and how to stabilize it. </w:t>
      </w:r>
      <w:r w:rsidRPr="00482720">
        <w:rPr>
          <w:sz w:val="16"/>
        </w:rPr>
        <w:t xml:space="preserve">And while the current virus spins off variants, its mutation rate is slower than that of most viruses. </w:t>
      </w:r>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482720">
        <w:rPr>
          <w:sz w:val="16"/>
        </w:rPr>
        <w:t xml:space="preserve">. We have a great deal of work still ahead. The development of </w:t>
      </w:r>
      <w:hyperlink r:id="rId18" w:tgtFrame="_blank" w:history="1">
        <w:r w:rsidRPr="00482720">
          <w:rPr>
            <w:rStyle w:val="Hyperlink"/>
            <w:sz w:val="16"/>
          </w:rPr>
          <w:t>mRNA vaccine technology</w:t>
        </w:r>
      </w:hyperlink>
      <w:r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Pr="00894FED">
        <w:rPr>
          <w:u w:val="single"/>
        </w:rPr>
        <w:t>We don’t yet know how mRNA vaccines will perform against other viruses down the road</w:t>
      </w:r>
      <w:r w:rsidRPr="00482720">
        <w:rPr>
          <w:sz w:val="16"/>
        </w:rPr>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r>
        <w:rPr>
          <w:b/>
          <w:bCs/>
          <w:u w:val="single"/>
        </w:rPr>
        <w:t xml:space="preserve"> </w:t>
      </w:r>
      <w:r w:rsidRPr="00482720">
        <w:rPr>
          <w:sz w:val="16"/>
        </w:rPr>
        <w:t xml:space="preserve">Fortunately, the scientific community has been developing a bold plan to keep future viruses from becoming pandemics. Here are a few of the goals </w:t>
      </w:r>
      <w:r w:rsidRPr="00AB3B2A">
        <w:rPr>
          <w:rStyle w:val="Emphasis"/>
        </w:rPr>
        <w:t>we should shoot for:</w:t>
      </w:r>
      <w:r>
        <w:rPr>
          <w:rStyle w:val="Emphasis"/>
        </w:rPr>
        <w:t xml:space="preserve"> </w:t>
      </w:r>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482720">
        <w:rPr>
          <w:sz w:val="16"/>
        </w:rPr>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Pr="00AB3B2A">
        <w:rPr>
          <w:rStyle w:val="StyleUnderline"/>
        </w:rPr>
        <w:t>We desperately need to strengthen our public health system</w:t>
      </w:r>
      <w:r w:rsidRPr="00482720">
        <w:rPr>
          <w:sz w:val="16"/>
        </w:rPr>
        <w:t xml:space="preserve"> — from expanding the workforce to modernizing labs and data systems — including to ensure that vulnerable populations are protected. And we need to coordinate actions with our international partners, because pandemics know no borders. </w:t>
      </w:r>
      <w:r w:rsidRPr="00AB3B2A">
        <w:rPr>
          <w:rStyle w:val="Emphasis"/>
        </w:rPr>
        <w:t xml:space="preserve">These goals </w:t>
      </w:r>
      <w:r w:rsidRPr="00260CD5">
        <w:rPr>
          <w:rStyle w:val="Emphasis"/>
        </w:rPr>
        <w:t>are ambitious, but they’re feasible</w:t>
      </w:r>
      <w:r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482720">
        <w:rPr>
          <w:sz w:val="16"/>
        </w:rPr>
        <w:t xml:space="preserve">. If, as might be expected from </w:t>
      </w:r>
      <w:hyperlink r:id="rId19" w:history="1">
        <w:r w:rsidRPr="00482720">
          <w:rPr>
            <w:rStyle w:val="Hyperlink"/>
            <w:sz w:val="16"/>
          </w:rPr>
          <w:t>history</w:t>
        </w:r>
      </w:hyperlink>
      <w:r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w:t>
      </w:r>
      <w:r w:rsidRPr="00482720">
        <w:rPr>
          <w:sz w:val="16"/>
        </w:rPr>
        <w:lastRenderedPageBreak/>
        <w:t xml:space="preserve">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7A89B0CC" w14:textId="77777777" w:rsidR="00487096" w:rsidRPr="00487096" w:rsidRDefault="00487096" w:rsidP="00487096"/>
    <w:p w14:paraId="5B78BCEF" w14:textId="77777777" w:rsidR="00DE2A06" w:rsidRPr="004421CF" w:rsidRDefault="00DE2A06" w:rsidP="00DE2A06">
      <w:pPr>
        <w:pStyle w:val="Heading2"/>
      </w:pPr>
      <w:r>
        <w:lastRenderedPageBreak/>
        <w:t>Case</w:t>
      </w:r>
    </w:p>
    <w:p w14:paraId="41F509C5" w14:textId="77777777" w:rsidR="00DE2A06" w:rsidRDefault="00DE2A06" w:rsidP="00DE2A06">
      <w:pPr>
        <w:pStyle w:val="Heading4"/>
        <w:numPr>
          <w:ilvl w:val="0"/>
          <w:numId w:val="19"/>
        </w:numPr>
      </w:pPr>
      <w:r>
        <w:t>They don’t solve – domestic pharmaceuticals will still engage in biopiracy.</w:t>
      </w:r>
    </w:p>
    <w:p w14:paraId="7084A873" w14:textId="77777777" w:rsidR="00DE2A06" w:rsidRDefault="00DE2A06" w:rsidP="00DE2A06">
      <w:pPr>
        <w:pStyle w:val="Heading4"/>
        <w:numPr>
          <w:ilvl w:val="0"/>
          <w:numId w:val="19"/>
        </w:numPr>
      </w:pPr>
      <w:r>
        <w:t>Turn – the aff emboldens colonizers to continue taking from Indigenous people in their own countries. Post aff, countries like the US will have exclusive patent rights to indigenous medicines from the land the US is on. They encourage biopiracy, just no longer internationally.</w:t>
      </w:r>
    </w:p>
    <w:p w14:paraId="2C3F3479" w14:textId="77777777" w:rsidR="00DE2A06" w:rsidRDefault="00DE2A06" w:rsidP="00DE2A06">
      <w:pPr>
        <w:pStyle w:val="Heading4"/>
        <w:numPr>
          <w:ilvl w:val="0"/>
          <w:numId w:val="19"/>
        </w:numPr>
      </w:pPr>
      <w:r>
        <w:t>Double bind: either the squo solves or the aff can’t because of circumvention. IP stars ‘18</w:t>
      </w:r>
    </w:p>
    <w:p w14:paraId="0FCCC0A1" w14:textId="77777777" w:rsidR="00DE2A06" w:rsidRPr="00B27147" w:rsidRDefault="00DE2A06" w:rsidP="00DE2A06">
      <w:r>
        <w:t>IP Stars</w:t>
      </w:r>
      <w:r w:rsidRPr="00B27147">
        <w:t>, 6-1-2018, "The fight against biopiracy and the Nagoya Protocol," No Publication, https://www.ipstars.com/NewsAndAnalysis/The-fight-against-biopiracy-and-the-Nagoya-Protocol/Index/3957</w:t>
      </w:r>
    </w:p>
    <w:p w14:paraId="3D069C95" w14:textId="77777777" w:rsidR="00DE2A06" w:rsidRDefault="00DE2A06" w:rsidP="00DE2A06">
      <w:pPr>
        <w:rPr>
          <w:sz w:val="12"/>
        </w:rPr>
      </w:pPr>
      <w:r w:rsidRPr="00B27147">
        <w:rPr>
          <w:rStyle w:val="StyleUnderline"/>
          <w:highlight w:val="yellow"/>
        </w:rPr>
        <w:t>In 1992, the Rio Convention on Biodiversity set the goal of fighting</w:t>
      </w:r>
      <w:r w:rsidRPr="00B27147">
        <w:rPr>
          <w:rStyle w:val="StyleUnderline"/>
        </w:rPr>
        <w:t xml:space="preserve"> practices known as </w:t>
      </w:r>
      <w:r w:rsidRPr="00B27147">
        <w:rPr>
          <w:rStyle w:val="StyleUnderline"/>
          <w:highlight w:val="yellow"/>
        </w:rPr>
        <w:t>biopiracy</w:t>
      </w:r>
      <w:r w:rsidRPr="00B27147">
        <w:rPr>
          <w:rStyle w:val="StyleUnderline"/>
        </w:rPr>
        <w:t xml:space="preserve"> and which are generally seen in developing countries</w:t>
      </w:r>
      <w:r w:rsidRPr="00B27147">
        <w:rPr>
          <w:sz w:val="12"/>
        </w:rPr>
        <w:t xml:space="preserve">. </w:t>
      </w:r>
      <w:r w:rsidRPr="00B27147">
        <w:rPr>
          <w:rStyle w:val="StyleUnderline"/>
        </w:rPr>
        <w:t>These involve identifying certain genetic resources of a country and indigenous traditional knowledge that may be linked to their use, developing them, protecting them through patents and extracting commercial gain without any benefit to the indigenous populations in question</w:t>
      </w:r>
      <w:r w:rsidRPr="00B27147">
        <w:rPr>
          <w:rStyle w:val="StyleUnderline"/>
          <w:highlight w:val="yellow"/>
        </w:rPr>
        <w:t>. The </w:t>
      </w:r>
      <w:hyperlink r:id="rId20" w:history="1">
        <w:r w:rsidRPr="00B27147">
          <w:rPr>
            <w:rStyle w:val="StyleUnderline"/>
            <w:highlight w:val="yellow"/>
          </w:rPr>
          <w:t>Nagoya Protocol</w:t>
        </w:r>
      </w:hyperlink>
      <w:r w:rsidRPr="00B27147">
        <w:rPr>
          <w:rStyle w:val="StyleUnderline"/>
        </w:rPr>
        <w:t>, an extension of the Rio Convention, </w:t>
      </w:r>
      <w:r w:rsidRPr="00B27147">
        <w:rPr>
          <w:rStyle w:val="StyleUnderline"/>
          <w:highlight w:val="yellow"/>
        </w:rPr>
        <w:t>enshrines a move</w:t>
      </w:r>
      <w:r w:rsidRPr="00B27147">
        <w:rPr>
          <w:rStyle w:val="StyleUnderline"/>
        </w:rPr>
        <w:t xml:space="preserve"> from mere declarations of intent </w:t>
      </w:r>
      <w:r w:rsidRPr="00B27147">
        <w:rPr>
          <w:rStyle w:val="StyleUnderline"/>
          <w:highlight w:val="yellow"/>
        </w:rPr>
        <w:t>to concrete measure</w:t>
      </w:r>
      <w:r w:rsidRPr="00B27147">
        <w:rPr>
          <w:rStyle w:val="StyleUnderline"/>
        </w:rPr>
        <w:t>s.  </w:t>
      </w:r>
      <w:r w:rsidRPr="00B27147">
        <w:rPr>
          <w:sz w:val="12"/>
        </w:rPr>
        <w:t xml:space="preserve"> ¶</w:t>
      </w:r>
      <w:r w:rsidRPr="00B27147">
        <w:rPr>
          <w:rStyle w:val="StyleUnderline"/>
        </w:rPr>
        <w:t>The Nagoya Protocol</w:t>
      </w:r>
      <w:r w:rsidRPr="00B27147">
        <w:rPr>
          <w:sz w:val="12"/>
        </w:rPr>
        <w:t xml:space="preserve"> has been ratified by more than 100 countries, including France and its main goal is to ensure that each member country incorporates into its national law provisions seeking to:  ¶</w:t>
      </w:r>
      <w:r w:rsidRPr="00B27147">
        <w:rPr>
          <w:rStyle w:val="StyleUnderline"/>
        </w:rPr>
        <w:t>make access to genetic resources in its territory</w:t>
      </w:r>
      <w:r w:rsidRPr="00B27147">
        <w:rPr>
          <w:sz w:val="12"/>
        </w:rPr>
        <w:t>, and such traditional knowledge as may be linked thereto, the subject of a system of prior registration or authorisation;  ¶</w:t>
      </w:r>
      <w:r w:rsidRPr="00B27147">
        <w:rPr>
          <w:rStyle w:val="StyleUnderline"/>
          <w:highlight w:val="yellow"/>
        </w:rPr>
        <w:t>ensure that the advantages arising from the use of</w:t>
      </w:r>
      <w:r w:rsidRPr="00B27147">
        <w:rPr>
          <w:rStyle w:val="StyleUnderline"/>
        </w:rPr>
        <w:t xml:space="preserve"> the said </w:t>
      </w:r>
      <w:r w:rsidRPr="00B27147">
        <w:rPr>
          <w:rStyle w:val="StyleUnderline"/>
          <w:highlight w:val="yellow"/>
        </w:rPr>
        <w:t>resources and knowledge are indeed shared with indigenous populations</w:t>
      </w:r>
      <w:r w:rsidRPr="00B27147">
        <w:rPr>
          <w:rStyle w:val="StyleUnderline"/>
        </w:rPr>
        <w:t>.</w:t>
      </w:r>
      <w:r w:rsidRPr="00B27147">
        <w:rPr>
          <w:sz w:val="12"/>
        </w:rPr>
        <w:t>  ¶As far as the European Union is concerned, </w:t>
      </w:r>
      <w:r w:rsidRPr="00B27147">
        <w:rPr>
          <w:rStyle w:val="StyleUnderline"/>
          <w:highlight w:val="yellow"/>
        </w:rPr>
        <w:t>the principles of the Nagoya Protocol have been incorporated</w:t>
      </w:r>
      <w:r w:rsidRPr="00B27147">
        <w:rPr>
          <w:sz w:val="12"/>
        </w:rPr>
        <w:t xml:space="preserve"> into </w:t>
      </w:r>
      <w:hyperlink r:id="rId21" w:history="1">
        <w:r w:rsidRPr="00B27147">
          <w:rPr>
            <w:rStyle w:val="Hyperlink"/>
            <w:sz w:val="12"/>
          </w:rPr>
          <w:t>Regulation 511/2</w:t>
        </w:r>
        <w:r w:rsidRPr="00B27147">
          <w:rPr>
            <w:rStyle w:val="Hyperlink"/>
            <w:sz w:val="12"/>
          </w:rPr>
          <w:t>0</w:t>
        </w:r>
        <w:r w:rsidRPr="00B27147">
          <w:rPr>
            <w:rStyle w:val="Hyperlink"/>
            <w:sz w:val="12"/>
          </w:rPr>
          <w:t>14</w:t>
        </w:r>
      </w:hyperlink>
      <w:r w:rsidRPr="00B27147">
        <w:rPr>
          <w:sz w:val="12"/>
        </w:rPr>
        <w:t> and Implementing Regulation 2015/1866. In France, the provisions of the Protocol and the above-mentioned EU Regulations have for the most part been incorporated into the Environmental Code. The latter notably ensures, for all research activity (involving genetic and/or biochemical compositions) concerning genetic resources available in French territory, mandatory compliance with the following formal requirements:  ¶filing a </w:t>
      </w:r>
      <w:hyperlink r:id="rId22" w:history="1">
        <w:r w:rsidRPr="00B27147">
          <w:rPr>
            <w:rStyle w:val="Hyperlink"/>
            <w:sz w:val="12"/>
          </w:rPr>
          <w:t>declaration</w:t>
        </w:r>
      </w:hyperlink>
      <w:r w:rsidRPr="00B27147">
        <w:rPr>
          <w:sz w:val="12"/>
        </w:rPr>
        <w:t> prior to accessing any genetic resources with a view to their study, the keeping thereof in a collection or uses thereof not being linked to immediate commercial development;  ¶obtaining an </w:t>
      </w:r>
      <w:hyperlink r:id="rId23" w:history="1">
        <w:r w:rsidRPr="00B27147">
          <w:rPr>
            <w:rStyle w:val="Hyperlink"/>
            <w:sz w:val="12"/>
          </w:rPr>
          <w:t>authorisation</w:t>
        </w:r>
      </w:hyperlink>
      <w:r w:rsidRPr="00B27147">
        <w:rPr>
          <w:sz w:val="12"/>
        </w:rPr>
        <w:t> and entering into a contract concerning the sharing of benefits prior to any access to genetic resources with a view to their study and commercial uses thereof, as well as prior to any use of traditional knowledge linked to genetic resources (a specific </w:t>
      </w:r>
      <w:hyperlink r:id="rId24" w:history="1">
        <w:r w:rsidRPr="00B27147">
          <w:rPr>
            <w:rStyle w:val="Hyperlink"/>
            <w:sz w:val="12"/>
          </w:rPr>
          <w:t>authorisation</w:t>
        </w:r>
      </w:hyperlink>
      <w:r w:rsidRPr="00B27147">
        <w:rPr>
          <w:sz w:val="12"/>
        </w:rPr>
        <w:t> and procedure have been laid down to this end).  ¶Furthermore, in cases where there is simultaneous use both of genetic resources and traditional knowledge linked thereto, supplementary reporting obligations are foreseen in the two following cases:  ¶for obtaining funding in order to carry out research;  ¶for the final development of a product which, if it gives rise to the filing of a patent application, will also result in the requirement to forward to the French Intellectual Property Office (INPI) supplementary information using the form appearing in Annex III of the </w:t>
      </w:r>
      <w:hyperlink r:id="rId25" w:history="1">
        <w:r w:rsidRPr="00B27147">
          <w:rPr>
            <w:rStyle w:val="Hyperlink"/>
            <w:sz w:val="12"/>
          </w:rPr>
          <w:t>Implementing Regulation 2015/1866.</w:t>
        </w:r>
      </w:hyperlink>
      <w:r w:rsidRPr="00B27147">
        <w:rPr>
          <w:sz w:val="12"/>
        </w:rPr>
        <w:t>  ¶It may be noted that the corresponding provisions of the Environmental Code are accompanied by criminal penalties.</w:t>
      </w:r>
    </w:p>
    <w:p w14:paraId="41B1CD88" w14:textId="77777777" w:rsidR="00DE2A06" w:rsidRPr="004421CF" w:rsidRDefault="00DE2A06" w:rsidP="00DE2A06"/>
    <w:p w14:paraId="651ECBFF" w14:textId="77777777" w:rsidR="004421CF" w:rsidRPr="004421CF" w:rsidRDefault="004421CF" w:rsidP="004421CF"/>
    <w:sectPr w:rsidR="004421CF" w:rsidRPr="004421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136F17"/>
    <w:multiLevelType w:val="hybridMultilevel"/>
    <w:tmpl w:val="837EF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32243D"/>
    <w:multiLevelType w:val="multilevel"/>
    <w:tmpl w:val="E2CC3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4A0069"/>
    <w:multiLevelType w:val="multilevel"/>
    <w:tmpl w:val="BAC6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90B55"/>
    <w:multiLevelType w:val="multilevel"/>
    <w:tmpl w:val="D77AE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131E64"/>
    <w:multiLevelType w:val="multilevel"/>
    <w:tmpl w:val="4098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DB7FED"/>
    <w:multiLevelType w:val="hybridMultilevel"/>
    <w:tmpl w:val="837EFE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267042F"/>
    <w:multiLevelType w:val="multilevel"/>
    <w:tmpl w:val="83527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6B5CE5"/>
    <w:multiLevelType w:val="multilevel"/>
    <w:tmpl w:val="EA58E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7"/>
  </w:num>
  <w:num w:numId="16">
    <w:abstractNumId w:val="15"/>
  </w:num>
  <w:num w:numId="17">
    <w:abstractNumId w:val="12"/>
  </w:num>
  <w:num w:numId="18">
    <w:abstractNumId w:val="1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21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E7"/>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1CF"/>
    <w:rsid w:val="00446567"/>
    <w:rsid w:val="00447B10"/>
    <w:rsid w:val="00452EE4"/>
    <w:rsid w:val="00452F0B"/>
    <w:rsid w:val="004536D6"/>
    <w:rsid w:val="00457224"/>
    <w:rsid w:val="0047482C"/>
    <w:rsid w:val="00475436"/>
    <w:rsid w:val="0048047E"/>
    <w:rsid w:val="00482AF9"/>
    <w:rsid w:val="00487096"/>
    <w:rsid w:val="00496BB2"/>
    <w:rsid w:val="004B37B4"/>
    <w:rsid w:val="004B72B4"/>
    <w:rsid w:val="004C0314"/>
    <w:rsid w:val="004C0D3D"/>
    <w:rsid w:val="004C213E"/>
    <w:rsid w:val="004C376C"/>
    <w:rsid w:val="004C657F"/>
    <w:rsid w:val="004D17D8"/>
    <w:rsid w:val="004D52D8"/>
    <w:rsid w:val="004E355B"/>
    <w:rsid w:val="005028E5"/>
    <w:rsid w:val="00503735"/>
    <w:rsid w:val="00511F7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147"/>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F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A0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96821"/>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94D4F5"/>
  <w14:defaultImageDpi w14:val="300"/>
  <w15:docId w15:val="{B1EAA6FE-36EC-E043-A6AA-B21BDCE26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21C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21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1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21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4421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21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1CF"/>
  </w:style>
  <w:style w:type="character" w:customStyle="1" w:styleId="Heading1Char">
    <w:name w:val="Heading 1 Char"/>
    <w:aliases w:val="Pocket Char"/>
    <w:basedOn w:val="DefaultParagraphFont"/>
    <w:link w:val="Heading1"/>
    <w:uiPriority w:val="9"/>
    <w:rsid w:val="004421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21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21C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4421C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21C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4421C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20"/>
    <w:qFormat/>
    <w:rsid w:val="004421C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21C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4421CF"/>
    <w:rPr>
      <w:color w:val="auto"/>
      <w:u w:val="none"/>
    </w:rPr>
  </w:style>
  <w:style w:type="paragraph" w:styleId="DocumentMap">
    <w:name w:val="Document Map"/>
    <w:basedOn w:val="Normal"/>
    <w:link w:val="DocumentMapChar"/>
    <w:uiPriority w:val="99"/>
    <w:semiHidden/>
    <w:unhideWhenUsed/>
    <w:rsid w:val="004421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1CF"/>
    <w:rPr>
      <w:rFonts w:ascii="Lucida Grande" w:hAnsi="Lucida Grande" w:cs="Lucida Grande"/>
    </w:rPr>
  </w:style>
  <w:style w:type="paragraph" w:styleId="NormalWeb">
    <w:name w:val="Normal (Web)"/>
    <w:basedOn w:val="Normal"/>
    <w:uiPriority w:val="99"/>
    <w:semiHidden/>
    <w:unhideWhenUsed/>
    <w:rsid w:val="00B27147"/>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27147"/>
    <w:rPr>
      <w:b/>
      <w:bCs/>
    </w:rPr>
  </w:style>
  <w:style w:type="character" w:customStyle="1" w:styleId="ltkoo">
    <w:name w:val="ltkoo"/>
    <w:basedOn w:val="DefaultParagraphFont"/>
    <w:rsid w:val="00487096"/>
  </w:style>
  <w:style w:type="character" w:customStyle="1" w:styleId="fe69if">
    <w:name w:val="fe69if"/>
    <w:basedOn w:val="DefaultParagraphFont"/>
    <w:rsid w:val="00487096"/>
  </w:style>
  <w:style w:type="character" w:customStyle="1" w:styleId="yrbpuc">
    <w:name w:val="yrbpuc"/>
    <w:basedOn w:val="DefaultParagraphFont"/>
    <w:rsid w:val="00487096"/>
  </w:style>
  <w:style w:type="character" w:customStyle="1" w:styleId="kqeaa">
    <w:name w:val="kqeaa"/>
    <w:basedOn w:val="DefaultParagraphFont"/>
    <w:rsid w:val="00487096"/>
  </w:style>
  <w:style w:type="paragraph" w:customStyle="1" w:styleId="textbold">
    <w:name w:val="text bold"/>
    <w:basedOn w:val="Normal"/>
    <w:link w:val="Emphasis"/>
    <w:uiPriority w:val="20"/>
    <w:qFormat/>
    <w:rsid w:val="004870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487096"/>
    <w:pPr>
      <w:ind w:left="288" w:right="288"/>
    </w:pPr>
    <w:rPr>
      <w:rFonts w:asciiTheme="minorHAnsi" w:hAnsiTheme="minorHAnsi" w:cstheme="minorBid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4870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876766">
      <w:bodyDiv w:val="1"/>
      <w:marLeft w:val="0"/>
      <w:marRight w:val="0"/>
      <w:marTop w:val="0"/>
      <w:marBottom w:val="0"/>
      <w:divBdr>
        <w:top w:val="none" w:sz="0" w:space="0" w:color="auto"/>
        <w:left w:val="none" w:sz="0" w:space="0" w:color="auto"/>
        <w:bottom w:val="none" w:sz="0" w:space="0" w:color="auto"/>
        <w:right w:val="none" w:sz="0" w:space="0" w:color="auto"/>
      </w:divBdr>
    </w:div>
    <w:div w:id="1144081762">
      <w:bodyDiv w:val="1"/>
      <w:marLeft w:val="0"/>
      <w:marRight w:val="0"/>
      <w:marTop w:val="0"/>
      <w:marBottom w:val="0"/>
      <w:divBdr>
        <w:top w:val="none" w:sz="0" w:space="0" w:color="auto"/>
        <w:left w:val="none" w:sz="0" w:space="0" w:color="auto"/>
        <w:bottom w:val="none" w:sz="0" w:space="0" w:color="auto"/>
        <w:right w:val="none" w:sz="0" w:space="0" w:color="auto"/>
      </w:divBdr>
    </w:div>
    <w:div w:id="1677271907">
      <w:bodyDiv w:val="1"/>
      <w:marLeft w:val="0"/>
      <w:marRight w:val="0"/>
      <w:marTop w:val="0"/>
      <w:marBottom w:val="0"/>
      <w:divBdr>
        <w:top w:val="none" w:sz="0" w:space="0" w:color="auto"/>
        <w:left w:val="none" w:sz="0" w:space="0" w:color="auto"/>
        <w:bottom w:val="none" w:sz="0" w:space="0" w:color="auto"/>
        <w:right w:val="none" w:sz="0" w:space="0" w:color="auto"/>
      </w:divBdr>
      <w:divsChild>
        <w:div w:id="482503248">
          <w:marLeft w:val="0"/>
          <w:marRight w:val="0"/>
          <w:marTop w:val="0"/>
          <w:marBottom w:val="0"/>
          <w:divBdr>
            <w:top w:val="none" w:sz="0" w:space="0" w:color="auto"/>
            <w:left w:val="none" w:sz="0" w:space="0" w:color="auto"/>
            <w:bottom w:val="none" w:sz="0" w:space="0" w:color="auto"/>
            <w:right w:val="none" w:sz="0" w:space="0" w:color="auto"/>
          </w:divBdr>
          <w:divsChild>
            <w:div w:id="1623463581">
              <w:marLeft w:val="0"/>
              <w:marRight w:val="0"/>
              <w:marTop w:val="0"/>
              <w:marBottom w:val="0"/>
              <w:divBdr>
                <w:top w:val="none" w:sz="0" w:space="0" w:color="auto"/>
                <w:left w:val="none" w:sz="0" w:space="0" w:color="auto"/>
                <w:bottom w:val="none" w:sz="0" w:space="0" w:color="auto"/>
                <w:right w:val="none" w:sz="0" w:space="0" w:color="auto"/>
              </w:divBdr>
              <w:divsChild>
                <w:div w:id="2040427284">
                  <w:marLeft w:val="0"/>
                  <w:marRight w:val="0"/>
                  <w:marTop w:val="0"/>
                  <w:marBottom w:val="0"/>
                  <w:divBdr>
                    <w:top w:val="none" w:sz="0" w:space="0" w:color="auto"/>
                    <w:left w:val="none" w:sz="0" w:space="0" w:color="auto"/>
                    <w:bottom w:val="none" w:sz="0" w:space="0" w:color="auto"/>
                    <w:right w:val="none" w:sz="0" w:space="0" w:color="auto"/>
                  </w:divBdr>
                </w:div>
              </w:divsChild>
            </w:div>
            <w:div w:id="63990099">
              <w:marLeft w:val="0"/>
              <w:marRight w:val="0"/>
              <w:marTop w:val="0"/>
              <w:marBottom w:val="0"/>
              <w:divBdr>
                <w:top w:val="none" w:sz="0" w:space="0" w:color="auto"/>
                <w:left w:val="none" w:sz="0" w:space="0" w:color="auto"/>
                <w:bottom w:val="none" w:sz="0" w:space="0" w:color="auto"/>
                <w:right w:val="none" w:sz="0" w:space="0" w:color="auto"/>
              </w:divBdr>
            </w:div>
            <w:div w:id="855264245">
              <w:marLeft w:val="0"/>
              <w:marRight w:val="0"/>
              <w:marTop w:val="0"/>
              <w:marBottom w:val="0"/>
              <w:divBdr>
                <w:top w:val="none" w:sz="0" w:space="0" w:color="auto"/>
                <w:left w:val="none" w:sz="0" w:space="0" w:color="auto"/>
                <w:bottom w:val="none" w:sz="0" w:space="0" w:color="auto"/>
                <w:right w:val="none" w:sz="0" w:space="0" w:color="auto"/>
              </w:divBdr>
              <w:divsChild>
                <w:div w:id="1647665333">
                  <w:marLeft w:val="0"/>
                  <w:marRight w:val="0"/>
                  <w:marTop w:val="0"/>
                  <w:marBottom w:val="0"/>
                  <w:divBdr>
                    <w:top w:val="none" w:sz="0" w:space="0" w:color="auto"/>
                    <w:left w:val="none" w:sz="0" w:space="0" w:color="auto"/>
                    <w:bottom w:val="none" w:sz="0" w:space="0" w:color="auto"/>
                    <w:right w:val="none" w:sz="0" w:space="0" w:color="auto"/>
                  </w:divBdr>
                  <w:divsChild>
                    <w:div w:id="1901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355298">
          <w:marLeft w:val="0"/>
          <w:marRight w:val="0"/>
          <w:marTop w:val="0"/>
          <w:marBottom w:val="0"/>
          <w:divBdr>
            <w:top w:val="none" w:sz="0" w:space="0" w:color="auto"/>
            <w:left w:val="none" w:sz="0" w:space="0" w:color="auto"/>
            <w:bottom w:val="none" w:sz="0" w:space="0" w:color="auto"/>
            <w:right w:val="none" w:sz="0" w:space="0" w:color="auto"/>
          </w:divBdr>
          <w:divsChild>
            <w:div w:id="1798798969">
              <w:marLeft w:val="0"/>
              <w:marRight w:val="0"/>
              <w:marTop w:val="240"/>
              <w:marBottom w:val="0"/>
              <w:divBdr>
                <w:top w:val="none" w:sz="0" w:space="0" w:color="auto"/>
                <w:left w:val="none" w:sz="0" w:space="0" w:color="auto"/>
                <w:bottom w:val="none" w:sz="0" w:space="0" w:color="auto"/>
                <w:right w:val="none" w:sz="0" w:space="0" w:color="auto"/>
              </w:divBdr>
              <w:divsChild>
                <w:div w:id="562641640">
                  <w:marLeft w:val="0"/>
                  <w:marRight w:val="0"/>
                  <w:marTop w:val="0"/>
                  <w:marBottom w:val="0"/>
                  <w:divBdr>
                    <w:top w:val="none" w:sz="0" w:space="0" w:color="auto"/>
                    <w:left w:val="none" w:sz="0" w:space="0" w:color="auto"/>
                    <w:bottom w:val="none" w:sz="0" w:space="0" w:color="auto"/>
                    <w:right w:val="none" w:sz="0" w:space="0" w:color="auto"/>
                  </w:divBdr>
                  <w:divsChild>
                    <w:div w:id="695932867">
                      <w:marLeft w:val="0"/>
                      <w:marRight w:val="0"/>
                      <w:marTop w:val="0"/>
                      <w:marBottom w:val="0"/>
                      <w:divBdr>
                        <w:top w:val="none" w:sz="0" w:space="0" w:color="auto"/>
                        <w:left w:val="none" w:sz="0" w:space="0" w:color="auto"/>
                        <w:bottom w:val="none" w:sz="0" w:space="0" w:color="auto"/>
                        <w:right w:val="none" w:sz="0" w:space="0" w:color="auto"/>
                      </w:divBdr>
                    </w:div>
                    <w:div w:id="1970894070">
                      <w:marLeft w:val="0"/>
                      <w:marRight w:val="0"/>
                      <w:marTop w:val="0"/>
                      <w:marBottom w:val="0"/>
                      <w:divBdr>
                        <w:top w:val="none" w:sz="0" w:space="0" w:color="auto"/>
                        <w:left w:val="none" w:sz="0" w:space="0" w:color="auto"/>
                        <w:bottom w:val="none" w:sz="0" w:space="0" w:color="auto"/>
                        <w:right w:val="none" w:sz="0" w:space="0" w:color="auto"/>
                      </w:divBdr>
                      <w:divsChild>
                        <w:div w:id="1996301811">
                          <w:marLeft w:val="0"/>
                          <w:marRight w:val="0"/>
                          <w:marTop w:val="0"/>
                          <w:marBottom w:val="0"/>
                          <w:divBdr>
                            <w:top w:val="none" w:sz="0" w:space="0" w:color="auto"/>
                            <w:left w:val="none" w:sz="0" w:space="0" w:color="auto"/>
                            <w:bottom w:val="none" w:sz="0" w:space="0" w:color="auto"/>
                            <w:right w:val="none" w:sz="0" w:space="0" w:color="auto"/>
                          </w:divBdr>
                          <w:divsChild>
                            <w:div w:id="1042636686">
                              <w:marLeft w:val="0"/>
                              <w:marRight w:val="0"/>
                              <w:marTop w:val="0"/>
                              <w:marBottom w:val="0"/>
                              <w:divBdr>
                                <w:top w:val="none" w:sz="0" w:space="0" w:color="auto"/>
                                <w:left w:val="none" w:sz="0" w:space="0" w:color="auto"/>
                                <w:bottom w:val="none" w:sz="0" w:space="0" w:color="auto"/>
                                <w:right w:val="none" w:sz="0" w:space="0" w:color="auto"/>
                              </w:divBdr>
                              <w:divsChild>
                                <w:div w:id="573047573">
                                  <w:marLeft w:val="0"/>
                                  <w:marRight w:val="0"/>
                                  <w:marTop w:val="0"/>
                                  <w:marBottom w:val="0"/>
                                  <w:divBdr>
                                    <w:top w:val="none" w:sz="0" w:space="0" w:color="auto"/>
                                    <w:left w:val="none" w:sz="0" w:space="0" w:color="auto"/>
                                    <w:bottom w:val="none" w:sz="0" w:space="0" w:color="auto"/>
                                    <w:right w:val="none" w:sz="0" w:space="0" w:color="auto"/>
                                  </w:divBdr>
                                  <w:divsChild>
                                    <w:div w:id="835846408">
                                      <w:marLeft w:val="0"/>
                                      <w:marRight w:val="60"/>
                                      <w:marTop w:val="120"/>
                                      <w:marBottom w:val="0"/>
                                      <w:divBdr>
                                        <w:top w:val="single" w:sz="6" w:space="0" w:color="DADCE0"/>
                                        <w:left w:val="single" w:sz="6" w:space="9" w:color="DADCE0"/>
                                        <w:bottom w:val="single" w:sz="6" w:space="0" w:color="DADCE0"/>
                                        <w:right w:val="single" w:sz="6" w:space="9" w:color="DADCE0"/>
                                      </w:divBdr>
                                    </w:div>
                                  </w:divsChild>
                                </w:div>
                                <w:div w:id="1139300955">
                                  <w:marLeft w:val="0"/>
                                  <w:marRight w:val="0"/>
                                  <w:marTop w:val="0"/>
                                  <w:marBottom w:val="0"/>
                                  <w:divBdr>
                                    <w:top w:val="none" w:sz="0" w:space="0" w:color="auto"/>
                                    <w:left w:val="none" w:sz="0" w:space="0" w:color="auto"/>
                                    <w:bottom w:val="none" w:sz="0" w:space="0" w:color="auto"/>
                                    <w:right w:val="none" w:sz="0" w:space="0" w:color="auto"/>
                                  </w:divBdr>
                                  <w:divsChild>
                                    <w:div w:id="1122187747">
                                      <w:marLeft w:val="0"/>
                                      <w:marRight w:val="60"/>
                                      <w:marTop w:val="120"/>
                                      <w:marBottom w:val="0"/>
                                      <w:divBdr>
                                        <w:top w:val="single" w:sz="6" w:space="0" w:color="DADCE0"/>
                                        <w:left w:val="single" w:sz="6" w:space="9" w:color="DADCE0"/>
                                        <w:bottom w:val="single" w:sz="6" w:space="0" w:color="DADCE0"/>
                                        <w:right w:val="single" w:sz="6" w:space="9" w:color="DADCE0"/>
                                      </w:divBdr>
                                    </w:div>
                                  </w:divsChild>
                                </w:div>
                                <w:div w:id="1819032985">
                                  <w:marLeft w:val="0"/>
                                  <w:marRight w:val="0"/>
                                  <w:marTop w:val="0"/>
                                  <w:marBottom w:val="0"/>
                                  <w:divBdr>
                                    <w:top w:val="none" w:sz="0" w:space="0" w:color="auto"/>
                                    <w:left w:val="none" w:sz="0" w:space="0" w:color="auto"/>
                                    <w:bottom w:val="none" w:sz="0" w:space="0" w:color="auto"/>
                                    <w:right w:val="none" w:sz="0" w:space="0" w:color="auto"/>
                                  </w:divBdr>
                                  <w:divsChild>
                                    <w:div w:id="2073384572">
                                      <w:marLeft w:val="0"/>
                                      <w:marRight w:val="60"/>
                                      <w:marTop w:val="120"/>
                                      <w:marBottom w:val="0"/>
                                      <w:divBdr>
                                        <w:top w:val="single" w:sz="6" w:space="0" w:color="DADCE0"/>
                                        <w:left w:val="single" w:sz="6" w:space="9" w:color="DADCE0"/>
                                        <w:bottom w:val="single" w:sz="6" w:space="0" w:color="DADCE0"/>
                                        <w:right w:val="single" w:sz="6" w:space="9" w:color="DADCE0"/>
                                      </w:divBdr>
                                    </w:div>
                                  </w:divsChild>
                                </w:div>
                              </w:divsChild>
                            </w:div>
                          </w:divsChild>
                        </w:div>
                      </w:divsChild>
                    </w:div>
                  </w:divsChild>
                </w:div>
              </w:divsChild>
            </w:div>
          </w:divsChild>
        </w:div>
        <w:div w:id="1073553533">
          <w:marLeft w:val="0"/>
          <w:marRight w:val="0"/>
          <w:marTop w:val="0"/>
          <w:marBottom w:val="0"/>
          <w:divBdr>
            <w:top w:val="none" w:sz="0" w:space="0" w:color="auto"/>
            <w:left w:val="none" w:sz="0" w:space="0" w:color="auto"/>
            <w:bottom w:val="none" w:sz="0" w:space="0" w:color="auto"/>
            <w:right w:val="none" w:sz="0" w:space="0" w:color="auto"/>
          </w:divBdr>
          <w:divsChild>
            <w:div w:id="2012875104">
              <w:marLeft w:val="0"/>
              <w:marRight w:val="0"/>
              <w:marTop w:val="0"/>
              <w:marBottom w:val="0"/>
              <w:divBdr>
                <w:top w:val="none" w:sz="0" w:space="0" w:color="auto"/>
                <w:left w:val="none" w:sz="0" w:space="0" w:color="auto"/>
                <w:bottom w:val="none" w:sz="0" w:space="0" w:color="auto"/>
                <w:right w:val="none" w:sz="0" w:space="0" w:color="auto"/>
              </w:divBdr>
              <w:divsChild>
                <w:div w:id="1981153390">
                  <w:marLeft w:val="0"/>
                  <w:marRight w:val="0"/>
                  <w:marTop w:val="0"/>
                  <w:marBottom w:val="0"/>
                  <w:divBdr>
                    <w:top w:val="none" w:sz="0" w:space="0" w:color="auto"/>
                    <w:left w:val="none" w:sz="0" w:space="0" w:color="auto"/>
                    <w:bottom w:val="none" w:sz="0" w:space="0" w:color="auto"/>
                    <w:right w:val="none" w:sz="0" w:space="0" w:color="auto"/>
                  </w:divBdr>
                  <w:divsChild>
                    <w:div w:id="229729437">
                      <w:marLeft w:val="0"/>
                      <w:marRight w:val="0"/>
                      <w:marTop w:val="0"/>
                      <w:marBottom w:val="0"/>
                      <w:divBdr>
                        <w:top w:val="none" w:sz="0" w:space="0" w:color="auto"/>
                        <w:left w:val="none" w:sz="0" w:space="0" w:color="auto"/>
                        <w:bottom w:val="none" w:sz="0" w:space="0" w:color="auto"/>
                        <w:right w:val="none" w:sz="0" w:space="0" w:color="auto"/>
                      </w:divBdr>
                      <w:divsChild>
                        <w:div w:id="41832400">
                          <w:marLeft w:val="0"/>
                          <w:marRight w:val="0"/>
                          <w:marTop w:val="0"/>
                          <w:marBottom w:val="0"/>
                          <w:divBdr>
                            <w:top w:val="none" w:sz="0" w:space="0" w:color="auto"/>
                            <w:left w:val="none" w:sz="0" w:space="0" w:color="auto"/>
                            <w:bottom w:val="none" w:sz="0" w:space="0" w:color="auto"/>
                            <w:right w:val="none" w:sz="0" w:space="0" w:color="auto"/>
                          </w:divBdr>
                          <w:divsChild>
                            <w:div w:id="305820271">
                              <w:marLeft w:val="0"/>
                              <w:marRight w:val="0"/>
                              <w:marTop w:val="0"/>
                              <w:marBottom w:val="0"/>
                              <w:divBdr>
                                <w:top w:val="none" w:sz="0" w:space="0" w:color="auto"/>
                                <w:left w:val="none" w:sz="0" w:space="0" w:color="auto"/>
                                <w:bottom w:val="none" w:sz="0" w:space="0" w:color="auto"/>
                                <w:right w:val="none" w:sz="0" w:space="0" w:color="auto"/>
                              </w:divBdr>
                            </w:div>
                            <w:div w:id="94373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90856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s://www.washingtonpost.com/health/2020/12/06/covid-vaccine-messenger-rna/?itid=lk_inline_manual_17"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PDF/?uri=CELEX:32014R0511&amp;from=FR"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science.sciencemag.org/content/372/6538/109.full" TargetMode="External"/><Relationship Id="rId25" Type="http://schemas.openxmlformats.org/officeDocument/2006/relationships/hyperlink" Target="https://eur-lex.europa.eu/legal-content/EN/TXT/PDF/?uri=CELEX:32015R1866&amp;from=FR" TargetMode="External"/><Relationship Id="rId2" Type="http://schemas.openxmlformats.org/officeDocument/2006/relationships/customXml" Target="../customXml/item2.xml"/><Relationship Id="rId16" Type="http://schemas.openxmlformats.org/officeDocument/2006/relationships/hyperlink" Target="https://jamanetwork.com/journals/jama/fullarticle/2771764" TargetMode="External"/><Relationship Id="rId20" Type="http://schemas.openxmlformats.org/officeDocument/2006/relationships/hyperlink" Target="https://www.cbd.int/abs/doc/protocol/nagoya-protocol-e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hyperlink" Target="https://www.formulaires.modernisation.gouv.fr/gf/cerfa_15784.do" TargetMode="External"/><Relationship Id="rId5" Type="http://schemas.openxmlformats.org/officeDocument/2006/relationships/numbering" Target="numbering.xml"/><Relationship Id="rId15" Type="http://schemas.openxmlformats.org/officeDocument/2006/relationships/hyperlink" Target="https://www.washingtonpost.com/graphics/2020/national/coronavirus-us-cases-deaths/?itid=lk_inline_manual_11" TargetMode="External"/><Relationship Id="rId23" Type="http://schemas.openxmlformats.org/officeDocument/2006/relationships/hyperlink" Target="https://www.formulaires.modernisation.gouv.fr/gf/cerfa_15785.do" TargetMode="External"/><Relationship Id="rId10" Type="http://schemas.openxmlformats.org/officeDocument/2006/relationships/hyperlink" Target="https://www.wsj.com/market-data/quotes/MRNA" TargetMode="External"/><Relationship Id="rId19" Type="http://schemas.openxmlformats.org/officeDocument/2006/relationships/hyperlink" Target="https://www.cfr.org/timeline/major-epidemics-modern-er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washingtonpost.com/coronavirus/?itid=lk_inline_manual_3" TargetMode="External"/><Relationship Id="rId22" Type="http://schemas.openxmlformats.org/officeDocument/2006/relationships/hyperlink" Target="https://www.formulaires.modernisation.gouv.fr/gf/cerfa_15786.do"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15</Pages>
  <Words>8873</Words>
  <Characters>50579</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5</cp:revision>
  <dcterms:created xsi:type="dcterms:W3CDTF">2021-10-09T17:33:00Z</dcterms:created>
  <dcterms:modified xsi:type="dcterms:W3CDTF">2021-10-09T18:51:00Z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