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1B72" w14:textId="77777777" w:rsidR="000561E3" w:rsidRPr="003714CF" w:rsidRDefault="000561E3" w:rsidP="000561E3">
      <w:pPr>
        <w:pStyle w:val="Heading1"/>
        <w:rPr>
          <w:rFonts w:cs="Calibri"/>
        </w:rPr>
      </w:pPr>
      <w:r w:rsidRPr="003714CF">
        <w:rPr>
          <w:rFonts w:cs="Calibri"/>
        </w:rPr>
        <w:t>AC</w:t>
      </w:r>
    </w:p>
    <w:p w14:paraId="46C6DA0D" w14:textId="77777777" w:rsidR="000561E3" w:rsidRPr="00AE1703" w:rsidRDefault="000561E3" w:rsidP="000561E3">
      <w:pPr>
        <w:pStyle w:val="Heading4"/>
        <w:rPr>
          <w:b w:val="0"/>
          <w:bCs w:val="0"/>
        </w:rPr>
      </w:pPr>
      <w:r w:rsidRPr="00AE1703">
        <w:rPr>
          <w:rStyle w:val="Style13ptBold"/>
          <w:b/>
          <w:bCs w:val="0"/>
        </w:rPr>
        <w:t xml:space="preserve">Ambiguities in the OST that allow private appropriation </w:t>
      </w:r>
      <w:proofErr w:type="gramStart"/>
      <w:r w:rsidRPr="00AE1703">
        <w:rPr>
          <w:rStyle w:val="Style13ptBold"/>
          <w:b/>
          <w:bCs w:val="0"/>
        </w:rPr>
        <w:t>have</w:t>
      </w:r>
      <w:proofErr w:type="gramEnd"/>
      <w:r w:rsidRPr="00AE1703">
        <w:rPr>
          <w:rStyle w:val="Style13ptBold"/>
          <w:b/>
          <w:bCs w:val="0"/>
        </w:rPr>
        <w:t xml:space="preserve"> kicked off a race to develop space, setting the stage for a debris crisis and the domination of space by unaccountable billionaires. Current laws fail due to lax rules and forum shopping.</w:t>
      </w:r>
    </w:p>
    <w:p w14:paraId="55A80574" w14:textId="77777777" w:rsidR="000561E3" w:rsidRPr="00CA1BD9" w:rsidRDefault="000561E3" w:rsidP="000561E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9E62017" w14:textId="77777777" w:rsidR="000561E3" w:rsidRPr="008B349A" w:rsidRDefault="000561E3" w:rsidP="000561E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C69C9E0" w14:textId="77777777" w:rsidR="000561E3" w:rsidRDefault="000561E3" w:rsidP="000561E3"/>
    <w:p w14:paraId="01728712" w14:textId="77777777" w:rsidR="000561E3" w:rsidRPr="003714CF" w:rsidRDefault="000561E3" w:rsidP="000561E3">
      <w:pPr>
        <w:pStyle w:val="Heading3"/>
        <w:rPr>
          <w:rFonts w:cs="Calibri"/>
        </w:rPr>
      </w:pPr>
      <w:r w:rsidRPr="003714CF">
        <w:rPr>
          <w:rFonts w:cs="Calibri"/>
        </w:rPr>
        <w:lastRenderedPageBreak/>
        <w:t>Advantage 1: Space Debris</w:t>
      </w:r>
    </w:p>
    <w:p w14:paraId="21B47836" w14:textId="77777777" w:rsidR="000561E3" w:rsidRPr="003714CF" w:rsidRDefault="000561E3" w:rsidP="000561E3">
      <w:pPr>
        <w:pStyle w:val="Heading4"/>
        <w:rPr>
          <w:rFonts w:cs="Calibri"/>
        </w:rPr>
      </w:pPr>
      <w:r w:rsidRPr="003714CF">
        <w:rPr>
          <w:rFonts w:cs="Calibri"/>
        </w:rPr>
        <w:t xml:space="preserve">Increasing space debris levels inevitably set off a chain of collisions. </w:t>
      </w:r>
    </w:p>
    <w:p w14:paraId="23746BB7" w14:textId="77777777" w:rsidR="000561E3" w:rsidRPr="003714CF" w:rsidRDefault="000561E3" w:rsidP="000561E3">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454FE05" w14:textId="77777777" w:rsidR="000561E3" w:rsidRPr="003714CF" w:rsidRDefault="000561E3" w:rsidP="000561E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BA1E04C" w14:textId="77777777" w:rsidR="000561E3" w:rsidRPr="003714CF" w:rsidRDefault="000561E3" w:rsidP="000561E3">
      <w:pPr>
        <w:pStyle w:val="Heading4"/>
        <w:rPr>
          <w:rFonts w:cs="Calibri"/>
        </w:rPr>
      </w:pPr>
      <w:r w:rsidRPr="003714CF">
        <w:rPr>
          <w:rFonts w:cs="Calibri"/>
        </w:rPr>
        <w:t>Collisions make orbit unusable, causing nuclear war, mass starvation, and economic destruction. Jonson 13</w:t>
      </w:r>
    </w:p>
    <w:p w14:paraId="5C267091" w14:textId="77777777" w:rsidR="000561E3" w:rsidRPr="003714CF" w:rsidRDefault="000561E3" w:rsidP="000561E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49B943EA" w14:textId="77777777" w:rsidR="000561E3" w:rsidRPr="003714CF" w:rsidRDefault="000561E3" w:rsidP="000561E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36F4EA8" w14:textId="77777777" w:rsidR="000561E3" w:rsidRPr="003714CF" w:rsidRDefault="000561E3" w:rsidP="000561E3">
      <w:pPr>
        <w:rPr>
          <w:sz w:val="12"/>
        </w:rPr>
      </w:pPr>
    </w:p>
    <w:p w14:paraId="40297D64" w14:textId="77777777" w:rsidR="000561E3" w:rsidRDefault="000561E3" w:rsidP="000561E3">
      <w:pPr>
        <w:pStyle w:val="Heading3"/>
        <w:rPr>
          <w:rFonts w:cs="Calibri"/>
        </w:rPr>
      </w:pPr>
      <w:r w:rsidRPr="003714CF">
        <w:rPr>
          <w:rFonts w:cs="Calibri"/>
        </w:rPr>
        <w:lastRenderedPageBreak/>
        <w:t>Advantage 2: Corporate Colonialism</w:t>
      </w:r>
    </w:p>
    <w:p w14:paraId="12BC308F" w14:textId="77777777" w:rsidR="000561E3" w:rsidRPr="002401A3" w:rsidRDefault="000561E3" w:rsidP="000561E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89F9F83" w14:textId="77777777" w:rsidR="000561E3" w:rsidRPr="002401A3" w:rsidRDefault="000561E3" w:rsidP="000561E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EB73BF4" w14:textId="77777777" w:rsidR="000561E3" w:rsidRPr="004F3D18" w:rsidRDefault="000561E3" w:rsidP="000561E3">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683F7E6" w14:textId="77777777" w:rsidR="000561E3" w:rsidRPr="003714CF" w:rsidRDefault="000561E3" w:rsidP="000561E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FCA20ED" w14:textId="77777777" w:rsidR="000561E3" w:rsidRPr="003714CF" w:rsidRDefault="000561E3" w:rsidP="000561E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285DECEE" w14:textId="77777777" w:rsidR="000561E3" w:rsidRPr="003714CF" w:rsidRDefault="000561E3" w:rsidP="000561E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6572F38" w14:textId="77777777" w:rsidR="000561E3" w:rsidRPr="003714CF" w:rsidRDefault="000561E3" w:rsidP="000561E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9BB3921" w14:textId="77777777" w:rsidR="000561E3" w:rsidRPr="003714CF" w:rsidRDefault="000561E3" w:rsidP="000561E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2E8B9343" w14:textId="77777777" w:rsidR="000561E3" w:rsidRPr="003714CF" w:rsidRDefault="000561E3" w:rsidP="000561E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B9D36E0" w14:textId="77777777" w:rsidR="000561E3" w:rsidRPr="002401A3" w:rsidRDefault="000561E3" w:rsidP="000561E3">
      <w:pPr>
        <w:pStyle w:val="Heading3"/>
        <w:rPr>
          <w:rFonts w:cs="Calibri"/>
        </w:rPr>
      </w:pPr>
      <w:r w:rsidRPr="002401A3">
        <w:rPr>
          <w:rFonts w:cs="Calibri"/>
        </w:rPr>
        <w:lastRenderedPageBreak/>
        <w:t>Plan</w:t>
      </w:r>
      <w:r>
        <w:rPr>
          <w:rFonts w:cs="Calibri"/>
        </w:rPr>
        <w:t>/Solvency</w:t>
      </w:r>
    </w:p>
    <w:p w14:paraId="194EF86F" w14:textId="77777777" w:rsidR="000561E3" w:rsidRPr="00E14A91" w:rsidRDefault="000561E3" w:rsidP="000561E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059D71A0" w14:textId="77777777" w:rsidR="000561E3" w:rsidRPr="001A6991" w:rsidRDefault="000561E3" w:rsidP="000561E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41CBC8E" w14:textId="77777777" w:rsidR="000561E3" w:rsidRDefault="000561E3" w:rsidP="000561E3">
      <w:pPr>
        <w:pStyle w:val="Heading4"/>
      </w:pPr>
      <w:r>
        <w:t xml:space="preserve">The </w:t>
      </w:r>
      <w:proofErr w:type="spellStart"/>
      <w:r>
        <w:t>aff</w:t>
      </w:r>
      <w:proofErr w:type="spellEnd"/>
      <w:r>
        <w:t>:</w:t>
      </w:r>
    </w:p>
    <w:p w14:paraId="5D7A3441" w14:textId="77777777" w:rsidR="000561E3" w:rsidRPr="003955A7" w:rsidRDefault="000561E3" w:rsidP="000561E3">
      <w:pPr>
        <w:pStyle w:val="Heading4"/>
        <w:numPr>
          <w:ilvl w:val="0"/>
          <w:numId w:val="12"/>
        </w:numPr>
        <w:tabs>
          <w:tab w:val="num" w:pos="360"/>
        </w:tabs>
        <w:ind w:left="0" w:firstLine="0"/>
      </w:pPr>
      <w:r>
        <w:t>solves debris and space colonialism by ensuring the sustainable and equitable use of outer space resources.</w:t>
      </w:r>
    </w:p>
    <w:p w14:paraId="343382F2" w14:textId="77777777" w:rsidR="000561E3" w:rsidRDefault="000561E3" w:rsidP="000561E3">
      <w:pPr>
        <w:pStyle w:val="ListParagraph"/>
        <w:numPr>
          <w:ilvl w:val="0"/>
          <w:numId w:val="12"/>
        </w:numPr>
        <w:rPr>
          <w:rStyle w:val="Style13ptBold"/>
        </w:rPr>
      </w:pPr>
      <w:r>
        <w:rPr>
          <w:rStyle w:val="Style13ptBold"/>
        </w:rPr>
        <w:t>prevents circumvention by aligning the interests of state parties.</w:t>
      </w:r>
    </w:p>
    <w:p w14:paraId="373355E1" w14:textId="77777777" w:rsidR="000561E3" w:rsidRPr="005D41A1" w:rsidRDefault="000561E3" w:rsidP="000561E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7727C05" w14:textId="77777777" w:rsidR="000561E3" w:rsidRDefault="000561E3" w:rsidP="000561E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0E0C9925" w14:textId="77777777" w:rsidR="000561E3" w:rsidRPr="009C185C" w:rsidRDefault="000561E3" w:rsidP="000561E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145BE54E" w14:textId="77777777" w:rsidR="000561E3" w:rsidRPr="003714CF" w:rsidRDefault="000561E3" w:rsidP="000561E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2478920B" w14:textId="77777777" w:rsidR="000561E3" w:rsidRPr="003714CF" w:rsidRDefault="000561E3" w:rsidP="000561E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40876605" w14:textId="77777777" w:rsidR="000561E3" w:rsidRPr="003714CF" w:rsidRDefault="000561E3" w:rsidP="000561E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61A63C" w14:textId="77777777" w:rsidR="000561E3" w:rsidRPr="004A2A85" w:rsidRDefault="000561E3" w:rsidP="000561E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2E330C29" w14:textId="77777777" w:rsidR="000561E3" w:rsidRDefault="000561E3" w:rsidP="000561E3">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36E66071" w14:textId="77777777" w:rsidR="00424B93" w:rsidRDefault="000561E3" w:rsidP="00A04CC0">
      <w:pPr>
        <w:ind w:left="720"/>
        <w:rPr>
          <w:rStyle w:val="StyleUnderline"/>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w:t>
      </w:r>
    </w:p>
    <w:p w14:paraId="7DC40904" w14:textId="77777777" w:rsidR="00EB132C" w:rsidRDefault="000561E3" w:rsidP="00A04CC0">
      <w:pPr>
        <w:ind w:left="720"/>
        <w:rPr>
          <w:rStyle w:val="Emphasis"/>
        </w:rPr>
      </w:pP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w:t>
      </w:r>
      <w:r w:rsidRPr="00916813">
        <w:rPr>
          <w:sz w:val="16"/>
        </w:rPr>
        <w:lastRenderedPageBreak/>
        <w:t xml:space="preserve">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t>
      </w:r>
      <w:r w:rsidRPr="00AC4D68">
        <w:rPr>
          <w:rStyle w:val="StyleUnderline"/>
        </w:rPr>
        <w:lastRenderedPageBreak/>
        <w:t xml:space="preserve">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p>
    <w:p w14:paraId="25599966" w14:textId="77777777" w:rsidR="00EB132C" w:rsidRDefault="00EB132C" w:rsidP="00A04CC0">
      <w:pPr>
        <w:ind w:left="720"/>
        <w:rPr>
          <w:rStyle w:val="StyleUnderline"/>
        </w:rPr>
      </w:pPr>
    </w:p>
    <w:p w14:paraId="7A92CAEA" w14:textId="649AE53F" w:rsidR="000561E3" w:rsidRDefault="000561E3" w:rsidP="00A04CC0">
      <w:pPr>
        <w:ind w:left="720"/>
        <w:rPr>
          <w:rStyle w:val="Emphasis"/>
          <w:highlight w:val="yellow"/>
        </w:rPr>
      </w:pP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w:t>
      </w:r>
      <w:proofErr w:type="gramStart"/>
      <w:r w:rsidRPr="00916813">
        <w:rPr>
          <w:sz w:val="16"/>
          <w:szCs w:val="16"/>
        </w:rPr>
        <w:t>have to</w:t>
      </w:r>
      <w:proofErr w:type="gramEnd"/>
      <w:r w:rsidRPr="00916813">
        <w:rPr>
          <w:sz w:val="16"/>
          <w:szCs w:val="16"/>
        </w:rPr>
        <w:t xml:space="preserve"> learn to understand ‘[t]he economic value of nature’ and express it in a way that is clear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w:t>
      </w:r>
      <w:r w:rsidRPr="00916813">
        <w:rPr>
          <w:sz w:val="16"/>
          <w:szCs w:val="16"/>
        </w:rPr>
        <w:lastRenderedPageBreak/>
        <w:t xml:space="preserve">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r>
        <w:rPr>
          <w:sz w:val="16"/>
          <w:szCs w:val="16"/>
        </w:rPr>
        <w:lastRenderedPageBreak/>
        <w:t>(</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w:t>
      </w:r>
      <w:r>
        <w:rPr>
          <w:sz w:val="16"/>
          <w:szCs w:val="16"/>
        </w:rPr>
        <w:lastRenderedPageBreak/>
        <w:t xml:space="preserve">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w:t>
      </w:r>
    </w:p>
    <w:p w14:paraId="6C7F742F" w14:textId="77777777" w:rsidR="000561E3" w:rsidRPr="00325CBE" w:rsidRDefault="000561E3" w:rsidP="000561E3">
      <w:pPr>
        <w:ind w:left="720"/>
        <w:rPr>
          <w:rStyle w:val="Style13ptBold"/>
          <w:b w:val="0"/>
          <w:sz w:val="16"/>
          <w:szCs w:val="16"/>
        </w:rPr>
      </w:pP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lastRenderedPageBreak/>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F857C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600186">
    <w:abstractNumId w:val="10"/>
  </w:num>
  <w:num w:numId="2" w16cid:durableId="928075551">
    <w:abstractNumId w:val="8"/>
  </w:num>
  <w:num w:numId="3" w16cid:durableId="702093437">
    <w:abstractNumId w:val="7"/>
  </w:num>
  <w:num w:numId="4" w16cid:durableId="1902058251">
    <w:abstractNumId w:val="6"/>
  </w:num>
  <w:num w:numId="5" w16cid:durableId="835850559">
    <w:abstractNumId w:val="5"/>
  </w:num>
  <w:num w:numId="6" w16cid:durableId="1247953974">
    <w:abstractNumId w:val="9"/>
  </w:num>
  <w:num w:numId="7" w16cid:durableId="440488623">
    <w:abstractNumId w:val="4"/>
  </w:num>
  <w:num w:numId="8" w16cid:durableId="1683625696">
    <w:abstractNumId w:val="3"/>
  </w:num>
  <w:num w:numId="9" w16cid:durableId="206645572">
    <w:abstractNumId w:val="2"/>
  </w:num>
  <w:num w:numId="10" w16cid:durableId="1283995745">
    <w:abstractNumId w:val="1"/>
  </w:num>
  <w:num w:numId="11" w16cid:durableId="301934745">
    <w:abstractNumId w:val="0"/>
  </w:num>
  <w:num w:numId="12" w16cid:durableId="13016864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1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E3"/>
    <w:rsid w:val="0006091E"/>
    <w:rsid w:val="000638C1"/>
    <w:rsid w:val="00065FEE"/>
    <w:rsid w:val="00066E3C"/>
    <w:rsid w:val="00072718"/>
    <w:rsid w:val="0007381E"/>
    <w:rsid w:val="00076094"/>
    <w:rsid w:val="0008785F"/>
    <w:rsid w:val="00090CBE"/>
    <w:rsid w:val="00091CF1"/>
    <w:rsid w:val="00094316"/>
    <w:rsid w:val="00094DEC"/>
    <w:rsid w:val="000A2D8A"/>
    <w:rsid w:val="000B423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B9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C0"/>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132C"/>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2F22A"/>
  <w14:defaultImageDpi w14:val="300"/>
  <w15:docId w15:val="{B66FB064-A909-F546-9EFA-B1124B8D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13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13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13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B13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B13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13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32C"/>
  </w:style>
  <w:style w:type="character" w:customStyle="1" w:styleId="Heading1Char">
    <w:name w:val="Heading 1 Char"/>
    <w:aliases w:val="Pocket Char"/>
    <w:basedOn w:val="DefaultParagraphFont"/>
    <w:link w:val="Heading1"/>
    <w:uiPriority w:val="9"/>
    <w:rsid w:val="00EB13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132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B13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B13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132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B132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B13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13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B132C"/>
    <w:rPr>
      <w:color w:val="auto"/>
      <w:u w:val="none"/>
    </w:rPr>
  </w:style>
  <w:style w:type="paragraph" w:styleId="DocumentMap">
    <w:name w:val="Document Map"/>
    <w:basedOn w:val="Normal"/>
    <w:link w:val="DocumentMapChar"/>
    <w:uiPriority w:val="99"/>
    <w:semiHidden/>
    <w:unhideWhenUsed/>
    <w:rsid w:val="00EB13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132C"/>
    <w:rPr>
      <w:rFonts w:ascii="Lucida Grande" w:hAnsi="Lucida Grande" w:cs="Lucida Grande"/>
    </w:rPr>
  </w:style>
  <w:style w:type="paragraph" w:customStyle="1" w:styleId="Emphasis1">
    <w:name w:val="Emphasis1"/>
    <w:basedOn w:val="Normal"/>
    <w:link w:val="Emphasis"/>
    <w:autoRedefine/>
    <w:uiPriority w:val="20"/>
    <w:qFormat/>
    <w:rsid w:val="000561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561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561E3"/>
    <w:pPr>
      <w:ind w:left="720"/>
      <w:contextualSpacing/>
    </w:pPr>
  </w:style>
  <w:style w:type="character" w:styleId="CommentReference">
    <w:name w:val="annotation reference"/>
    <w:basedOn w:val="DefaultParagraphFont"/>
    <w:uiPriority w:val="99"/>
    <w:semiHidden/>
    <w:unhideWhenUsed/>
    <w:rsid w:val="000561E3"/>
    <w:rPr>
      <w:sz w:val="16"/>
      <w:szCs w:val="16"/>
    </w:rPr>
  </w:style>
  <w:style w:type="paragraph" w:styleId="CommentText">
    <w:name w:val="annotation text"/>
    <w:basedOn w:val="Normal"/>
    <w:link w:val="CommentTextChar"/>
    <w:uiPriority w:val="99"/>
    <w:semiHidden/>
    <w:unhideWhenUsed/>
    <w:rsid w:val="000561E3"/>
    <w:pPr>
      <w:spacing w:line="240" w:lineRule="auto"/>
    </w:pPr>
    <w:rPr>
      <w:sz w:val="20"/>
      <w:szCs w:val="20"/>
    </w:rPr>
  </w:style>
  <w:style w:type="character" w:customStyle="1" w:styleId="CommentTextChar">
    <w:name w:val="Comment Text Char"/>
    <w:basedOn w:val="DefaultParagraphFont"/>
    <w:link w:val="CommentText"/>
    <w:uiPriority w:val="99"/>
    <w:semiHidden/>
    <w:rsid w:val="000561E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19480</Words>
  <Characters>111040</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2022-02-05T16:11:00Z</dcterms:created>
  <dcterms:modified xsi:type="dcterms:W3CDTF">2022-04-23T17:41:00Z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