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133C9" w14:textId="77777777" w:rsidR="007446B1" w:rsidRDefault="007446B1" w:rsidP="007446B1">
      <w:pPr>
        <w:pStyle w:val="Heading2"/>
      </w:pPr>
      <w:r>
        <w:t>I. Vaccine Apartheid</w:t>
      </w:r>
    </w:p>
    <w:p w14:paraId="5F8C8EFE" w14:textId="77777777" w:rsidR="007446B1" w:rsidRPr="00BB588A" w:rsidRDefault="007446B1" w:rsidP="007446B1">
      <w:pPr>
        <w:pStyle w:val="Heading4"/>
        <w:rPr>
          <w:rFonts w:cs="Calibri"/>
          <w:color w:val="FF0000"/>
        </w:rPr>
      </w:pPr>
      <w:r w:rsidRPr="00BB588A">
        <w:rPr>
          <w:rFonts w:cs="Calibri"/>
        </w:rPr>
        <w:t xml:space="preserve">A TRIPS waiver for covid vaccines will not pass in the squo. Baschuk 7/26 </w:t>
      </w:r>
    </w:p>
    <w:p w14:paraId="2E569279" w14:textId="77777777" w:rsidR="007446B1" w:rsidRPr="00BB588A" w:rsidRDefault="007446B1" w:rsidP="007446B1">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4A3DEA86" w14:textId="77777777" w:rsidR="007446B1" w:rsidRPr="003C7242" w:rsidRDefault="007446B1" w:rsidP="007446B1">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r w:rsidRPr="00BB588A">
          <w:rPr>
            <w:rStyle w:val="Hyperlink"/>
            <w:rFonts w:eastAsiaTheme="majorEastAsia"/>
            <w:sz w:val="12"/>
          </w:rPr>
          <w:t>Moderna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445AE3DB" w14:textId="77777777" w:rsidR="007446B1" w:rsidRPr="00161F0C" w:rsidRDefault="007446B1" w:rsidP="007446B1">
      <w:pPr>
        <w:pStyle w:val="Heading4"/>
      </w:pPr>
      <w:r>
        <w:t>The only way to solve the pandemic is global vaccination, but current production is woefully short.</w:t>
      </w:r>
    </w:p>
    <w:p w14:paraId="6DE425D8" w14:textId="77777777" w:rsidR="007446B1" w:rsidRPr="00E16557" w:rsidRDefault="007446B1" w:rsidP="007446B1">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w:t>
      </w:r>
      <w:r w:rsidRPr="00E16557">
        <w:lastRenderedPageBreak/>
        <w:t xml:space="preserve">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48CAEC7" w14:textId="77777777" w:rsidR="007446B1" w:rsidRPr="002C3011" w:rsidRDefault="007446B1" w:rsidP="007446B1">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0419E3EF" w14:textId="77777777" w:rsidR="007446B1" w:rsidRPr="00161F0C" w:rsidRDefault="007446B1" w:rsidP="007446B1">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704A00EB" w14:textId="77777777" w:rsidR="007446B1" w:rsidRPr="00161F0C" w:rsidRDefault="007446B1" w:rsidP="007446B1">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621220F1" w14:textId="77777777" w:rsidR="007446B1" w:rsidRPr="00161F0C" w:rsidRDefault="007446B1" w:rsidP="007446B1">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w:t>
      </w:r>
      <w:r w:rsidRPr="22DF304D">
        <w:rPr>
          <w:rFonts w:eastAsia="Cambria"/>
          <w:sz w:val="12"/>
          <w:szCs w:val="12"/>
        </w:rPr>
        <w:lastRenderedPageBreak/>
        <w:t>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xml:space="preserve">, and time-consuming diplomacy and filibustering over what is or is it not within current trade rules (WTO).¶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down</w:t>
      </w:r>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w:t>
      </w:r>
      <w:r w:rsidRPr="22DF304D">
        <w:rPr>
          <w:rFonts w:eastAsia="Cambria"/>
          <w:sz w:val="12"/>
          <w:szCs w:val="12"/>
        </w:rPr>
        <w:lastRenderedPageBreak/>
        <w:t>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6C86BB34" w14:textId="77777777" w:rsidR="007446B1" w:rsidRPr="00E16557" w:rsidRDefault="007446B1" w:rsidP="007446B1">
      <w:pPr>
        <w:pStyle w:val="Heading4"/>
      </w:pPr>
      <w:r w:rsidRPr="00E16557">
        <w:t>Compulsory licensing is not sufficient – drug company resistance, IP thickets, and devolved decision-making.</w:t>
      </w:r>
    </w:p>
    <w:p w14:paraId="07C8AB30" w14:textId="77777777" w:rsidR="007446B1" w:rsidRPr="00E16557" w:rsidRDefault="007446B1" w:rsidP="007446B1">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85BF621" w14:textId="77777777" w:rsidR="007446B1" w:rsidRPr="002F264B" w:rsidRDefault="007446B1" w:rsidP="007446B1">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3AFE117A" w14:textId="77777777" w:rsidR="007446B1" w:rsidRPr="007108BA" w:rsidRDefault="007446B1" w:rsidP="007446B1">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3FF145B8" w14:textId="77777777" w:rsidR="007446B1" w:rsidRPr="007108BA" w:rsidRDefault="007446B1" w:rsidP="007446B1">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260C79DD" w14:textId="77777777" w:rsidR="007446B1" w:rsidRPr="00DC78EB" w:rsidRDefault="007446B1" w:rsidP="007446B1">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w:t>
      </w:r>
      <w:r w:rsidRPr="00DC78EB">
        <w:rPr>
          <w:sz w:val="12"/>
        </w:rPr>
        <w:lastRenderedPageBreak/>
        <w:t xml:space="preserve">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47ABDAD7" w14:textId="77777777" w:rsidR="007446B1" w:rsidRDefault="007446B1" w:rsidP="007446B1">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26F755DB" w14:textId="77777777" w:rsidR="007446B1" w:rsidRPr="00076CD9" w:rsidRDefault="007446B1" w:rsidP="007446B1">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79A56DAC" w14:textId="77777777" w:rsidR="007446B1" w:rsidRPr="00076CD9" w:rsidRDefault="007446B1" w:rsidP="007446B1">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5A6D6BC0" w14:textId="77777777" w:rsidR="007446B1" w:rsidRPr="000A3F40" w:rsidRDefault="007446B1" w:rsidP="007446B1">
      <w:pPr>
        <w:ind w:left="720"/>
        <w:rPr>
          <w:sz w:val="12"/>
        </w:rPr>
      </w:pPr>
      <w:r w:rsidRPr="000A3F40">
        <w:rPr>
          <w:sz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ve and 17 (218 million) are child laborers, more than half in hazardous work (ILO 2006, 6)</w:t>
      </w:r>
      <w:r w:rsidRPr="00F2476B">
        <w:rPr>
          <w:rStyle w:val="Emphasis"/>
          <w:highlight w:val="yellow"/>
        </w:rPr>
        <w:t>.</w:t>
      </w:r>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nutritionrelated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(onethird of all deaths), severe poverty would kill some 16,000 Americans and 26,000 citizens of the European Union each week.¶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32CB7FCA" w14:textId="77777777" w:rsidR="007446B1" w:rsidRPr="00DC78EB" w:rsidRDefault="007446B1" w:rsidP="007446B1">
      <w:pPr>
        <w:rPr>
          <w:sz w:val="12"/>
        </w:rPr>
      </w:pPr>
    </w:p>
    <w:p w14:paraId="43F23675" w14:textId="77777777" w:rsidR="007446B1" w:rsidRPr="00DC78EB" w:rsidRDefault="007446B1" w:rsidP="007446B1">
      <w:pPr>
        <w:rPr>
          <w:sz w:val="12"/>
        </w:rPr>
      </w:pPr>
    </w:p>
    <w:p w14:paraId="3E200AAF" w14:textId="77777777" w:rsidR="007446B1" w:rsidRDefault="007446B1" w:rsidP="007446B1">
      <w:pPr>
        <w:pStyle w:val="Heading2"/>
      </w:pPr>
      <w:r>
        <w:lastRenderedPageBreak/>
        <w:t>II. Solvency</w:t>
      </w:r>
    </w:p>
    <w:p w14:paraId="6E46AFCB" w14:textId="77777777" w:rsidR="007446B1" w:rsidRPr="00E16557" w:rsidRDefault="007446B1" w:rsidP="007446B1">
      <w:pPr>
        <w:pStyle w:val="Heading4"/>
      </w:pPr>
      <w:r>
        <w:t>Plan text: The member nations of the World Trade Organization ought to waive intellectual property protections for Covid-19 related medicines.</w:t>
      </w:r>
    </w:p>
    <w:p w14:paraId="28D2DEE1" w14:textId="77777777" w:rsidR="007446B1" w:rsidRPr="00E16557" w:rsidRDefault="007446B1" w:rsidP="007446B1">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3CBD3960" w14:textId="77777777" w:rsidR="007446B1" w:rsidRPr="00DC5CFA" w:rsidRDefault="007446B1" w:rsidP="007446B1">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424EF755" w14:textId="77777777" w:rsidR="007446B1" w:rsidRPr="00E16557" w:rsidRDefault="007446B1" w:rsidP="007446B1">
      <w:pPr>
        <w:pStyle w:val="Heading4"/>
      </w:pPr>
      <w:r w:rsidRPr="00E16557">
        <w:t>A waiver would increase leverage over pharma and provide legal certainty needed to spur critical production.</w:t>
      </w:r>
    </w:p>
    <w:p w14:paraId="6A736173" w14:textId="77777777" w:rsidR="007446B1" w:rsidRPr="00E16557" w:rsidRDefault="007446B1" w:rsidP="007446B1">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676E765B" w14:textId="77777777" w:rsidR="007446B1" w:rsidRPr="00D308C4" w:rsidRDefault="007446B1" w:rsidP="007446B1">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transfer of tech</w:t>
      </w:r>
      <w:r w:rsidRPr="00D308C4">
        <w:rPr>
          <w:sz w:val="12"/>
        </w:rPr>
        <w:t xml:space="preserve">nology.¶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13BF6B63" w14:textId="77777777" w:rsidR="007446B1" w:rsidRPr="00E16557" w:rsidRDefault="007446B1" w:rsidP="007446B1">
      <w:pPr>
        <w:pStyle w:val="Heading4"/>
      </w:pPr>
      <w:r>
        <w:lastRenderedPageBreak/>
        <w:t>Legal certainty unlocks global production.</w:t>
      </w:r>
    </w:p>
    <w:p w14:paraId="31875EC7" w14:textId="77777777" w:rsidR="007446B1" w:rsidRPr="00E16557" w:rsidRDefault="007446B1" w:rsidP="007446B1">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314BB968" w14:textId="77777777" w:rsidR="007446B1" w:rsidRPr="0061477E" w:rsidRDefault="007446B1" w:rsidP="007446B1">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 xml:space="preserve">have significant information from the firms that they could share </w:t>
      </w:r>
      <w:r w:rsidRPr="005D32A7">
        <w:rPr>
          <w:rStyle w:val="Emphasis"/>
        </w:rPr>
        <w:t>with skilled teams from local universities, government agencies and pharmaceutical manufacturers</w:t>
      </w:r>
      <w:r w:rsidRPr="005D32A7">
        <w:rPr>
          <w:sz w:val="12"/>
        </w:rPr>
        <w:t xml:space="preserve"> —</w:t>
      </w:r>
      <w:r w:rsidRPr="0061477E">
        <w:rPr>
          <w:sz w:val="12"/>
        </w:rPr>
        <w:t xml:space="preserve">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41149EB4" w14:textId="77777777" w:rsidR="007446B1" w:rsidRPr="007108BA" w:rsidRDefault="007446B1" w:rsidP="007446B1">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4F1923A6" w14:textId="77777777" w:rsidR="007446B1" w:rsidRPr="007108BA" w:rsidRDefault="007446B1" w:rsidP="007446B1">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1279835B" w14:textId="77777777" w:rsidR="007446B1" w:rsidRPr="00F828E6" w:rsidRDefault="007446B1" w:rsidP="007446B1">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w:t>
      </w:r>
      <w:r w:rsidRPr="00F828E6">
        <w:rPr>
          <w:sz w:val="12"/>
        </w:rPr>
        <w:lastRenderedPageBreak/>
        <w:t xml:space="preserve">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2C186286" w14:textId="77777777" w:rsidR="007446B1" w:rsidRDefault="007446B1" w:rsidP="007446B1">
      <w:pPr>
        <w:pStyle w:val="Heading2"/>
        <w:rPr>
          <w:rFonts w:eastAsia="MS Gothic"/>
        </w:rPr>
      </w:pPr>
      <w:r>
        <w:rPr>
          <w:rFonts w:eastAsia="MS Gothic"/>
        </w:rPr>
        <w:lastRenderedPageBreak/>
        <w:t>Underview</w:t>
      </w:r>
    </w:p>
    <w:p w14:paraId="3E888A64" w14:textId="77777777" w:rsidR="007446B1" w:rsidRPr="003C5A91" w:rsidRDefault="007446B1" w:rsidP="007446B1">
      <w:pPr>
        <w:keepNext/>
        <w:keepLines/>
        <w:spacing w:before="40" w:after="0"/>
        <w:outlineLvl w:val="3"/>
        <w:rPr>
          <w:rFonts w:eastAsia="MS Gothic"/>
          <w:b/>
          <w:iCs/>
          <w:sz w:val="26"/>
        </w:rPr>
      </w:pPr>
      <w:r w:rsidRPr="003C5A91">
        <w:rPr>
          <w:rFonts w:eastAsia="MS Gothic"/>
          <w:b/>
          <w:iCs/>
          <w:sz w:val="26"/>
        </w:rPr>
        <w:t>Their disads will surely be ridiculous.</w:t>
      </w:r>
    </w:p>
    <w:p w14:paraId="173204C2" w14:textId="77777777" w:rsidR="007446B1" w:rsidRPr="003C5A91" w:rsidRDefault="007446B1" w:rsidP="007446B1">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74ED4590" w14:textId="77777777" w:rsidR="007446B1" w:rsidRPr="003C5A91" w:rsidRDefault="007446B1" w:rsidP="007446B1">
      <w:pPr>
        <w:rPr>
          <w:rFonts w:eastAsia="Cambria"/>
        </w:rPr>
      </w:pPr>
    </w:p>
    <w:p w14:paraId="4D92A344" w14:textId="77777777" w:rsidR="007446B1" w:rsidRPr="003C5A91" w:rsidRDefault="007446B1" w:rsidP="007446B1">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0D8E4E95" w14:textId="77777777" w:rsidR="007446B1" w:rsidRPr="003C5A91" w:rsidRDefault="007446B1" w:rsidP="007446B1">
      <w:pPr>
        <w:rPr>
          <w:rFonts w:eastAsia="Cambria"/>
        </w:rPr>
      </w:pPr>
    </w:p>
    <w:p w14:paraId="27696CAB" w14:textId="77777777" w:rsidR="007446B1" w:rsidRPr="003C5A91" w:rsidRDefault="007446B1" w:rsidP="007446B1">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Pr>
          <w:rFonts w:eastAsia="MS Gothic"/>
          <w:b/>
          <w:iCs/>
          <w:sz w:val="26"/>
        </w:rPr>
        <w:t>d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127A9AFD" w14:textId="77777777" w:rsidR="007446B1" w:rsidRPr="003C5A91" w:rsidRDefault="007446B1" w:rsidP="007446B1">
      <w:pPr>
        <w:rPr>
          <w:rFonts w:eastAsia="Cambria"/>
        </w:rPr>
      </w:pPr>
    </w:p>
    <w:p w14:paraId="04989E9A" w14:textId="77777777" w:rsidR="007446B1" w:rsidRPr="003C5A91" w:rsidRDefault="007446B1" w:rsidP="007446B1">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e.g. </w:t>
      </w:r>
      <w:r>
        <w:rPr>
          <w:rFonts w:eastAsia="MS Gothic"/>
          <w:b/>
          <w:iCs/>
          <w:sz w:val="26"/>
        </w:rPr>
        <w:t>leaders</w:t>
      </w:r>
      <w:r w:rsidRPr="003C5A91">
        <w:rPr>
          <w:rFonts w:eastAsia="MS Gothic"/>
          <w:b/>
          <w:iCs/>
          <w:sz w:val="26"/>
        </w:rPr>
        <w:t xml:space="preserve"> backing down during the Cuban Missile Crisis.</w:t>
      </w:r>
    </w:p>
    <w:p w14:paraId="6E092062" w14:textId="77777777" w:rsidR="007446B1" w:rsidRPr="003C5A91" w:rsidRDefault="007446B1" w:rsidP="007446B1">
      <w:pPr>
        <w:rPr>
          <w:rFonts w:eastAsia="Cambria"/>
        </w:rPr>
      </w:pPr>
    </w:p>
    <w:p w14:paraId="6F2C3068" w14:textId="77777777" w:rsidR="007446B1" w:rsidRDefault="007446B1" w:rsidP="007446B1">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4C648D9D" w14:textId="77777777" w:rsidR="00153B69" w:rsidRDefault="00153B69" w:rsidP="00153B69">
      <w:pPr>
        <w:pStyle w:val="Heading4"/>
      </w:pPr>
    </w:p>
    <w:p w14:paraId="020A8DCC" w14:textId="71883B50" w:rsidR="00153B69" w:rsidRPr="00DF7958" w:rsidRDefault="00153B69" w:rsidP="00153B69">
      <w:pPr>
        <w:pStyle w:val="Heading4"/>
      </w:pPr>
      <w:r>
        <w:t xml:space="preserve">(F) </w:t>
      </w:r>
      <w:r w:rsidRPr="00DF7958">
        <w:t>Apocalyptic rhetoric is an independent voter – justifies violence, trades off with addressing real risks, and causes nihilism.</w:t>
      </w:r>
    </w:p>
    <w:p w14:paraId="69EE8F38" w14:textId="77777777" w:rsidR="00153B69" w:rsidRPr="00DF7958" w:rsidRDefault="00153B69" w:rsidP="00153B69">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291-292</w:t>
      </w:r>
    </w:p>
    <w:p w14:paraId="7FF93574" w14:textId="77777777" w:rsidR="00153B69" w:rsidRPr="00DF7958" w:rsidRDefault="00153B69" w:rsidP="00153B69">
      <w:pPr>
        <w:ind w:left="720"/>
        <w:rPr>
          <w:sz w:val="12"/>
          <w:szCs w:val="12"/>
        </w:rPr>
      </w:pPr>
      <w:r w:rsidRPr="00DF7958">
        <w:rPr>
          <w:sz w:val="12"/>
        </w:rPr>
        <w:t xml:space="preserve">At first glance one might think that the more thought we give to existential risks, the better. The stakes, quite literally, could not be higher. What harm could there be in getting people to think about these terrible risks? The worst that could happen is that we would take some precautions that turn out in retrospect to have been unnecessary.¶ But </w:t>
      </w:r>
      <w:r w:rsidRPr="00DF7958">
        <w:rPr>
          <w:highlight w:val="yellow"/>
          <w:u w:val="single"/>
        </w:rPr>
        <w:t>apocalyptic thinking has serious downsides</w:t>
      </w:r>
      <w:r w:rsidRPr="00DF7958">
        <w:rPr>
          <w:sz w:val="12"/>
        </w:rPr>
        <w:t xml:space="preserve">. One is that </w:t>
      </w:r>
      <w:r w:rsidRPr="00DF7958">
        <w:rPr>
          <w:highlight w:val="yellow"/>
          <w:u w:val="single"/>
        </w:rPr>
        <w:t>false alarms to catastrophic risks can themselves be catastrophic. The nuclear arms race of the 1960s</w:t>
      </w:r>
      <w:r w:rsidRPr="00DF7958">
        <w:rPr>
          <w:sz w:val="12"/>
        </w:rPr>
        <w:t xml:space="preserve">, for example, </w:t>
      </w:r>
      <w:r w:rsidRPr="00DF7958">
        <w:rPr>
          <w:highlight w:val="yellow"/>
          <w:u w:val="single"/>
        </w:rPr>
        <w:t>was set off by fears of a mythical “missile gap”</w:t>
      </w:r>
      <w:r w:rsidRPr="00DF7958">
        <w:rPr>
          <w:sz w:val="12"/>
        </w:rPr>
        <w:t xml:space="preserve"> with the Soviet Union.1 </w:t>
      </w:r>
      <w:r w:rsidRPr="00DF7958">
        <w:rPr>
          <w:highlight w:val="yellow"/>
          <w:u w:val="single"/>
        </w:rPr>
        <w:t>The</w:t>
      </w:r>
      <w:r w:rsidRPr="00DF7958">
        <w:rPr>
          <w:sz w:val="12"/>
        </w:rPr>
        <w:t xml:space="preserve"> 2003 </w:t>
      </w:r>
      <w:r w:rsidRPr="00DF7958">
        <w:rPr>
          <w:highlight w:val="yellow"/>
          <w:u w:val="single"/>
        </w:rPr>
        <w:t>invasion of Iraq was justified by the uncertain but catastrophic possibility that</w:t>
      </w:r>
      <w:r w:rsidRPr="00DF7958">
        <w:rPr>
          <w:sz w:val="12"/>
        </w:rPr>
        <w:t xml:space="preserve"> Saddam </w:t>
      </w:r>
      <w:r w:rsidRPr="00DF7958">
        <w:rPr>
          <w:highlight w:val="yellow"/>
          <w:u w:val="single"/>
        </w:rPr>
        <w:t xml:space="preserve">Hussein was </w:t>
      </w:r>
      <w:r w:rsidRPr="00DF7958">
        <w:rPr>
          <w:highlight w:val="yellow"/>
          <w:u w:val="single"/>
        </w:rPr>
        <w:lastRenderedPageBreak/>
        <w:t>developing nuclear weapons</w:t>
      </w:r>
      <w:r w:rsidRPr="00DF7958">
        <w:rPr>
          <w:sz w:val="12"/>
        </w:rPr>
        <w:t xml:space="preserve"> and planning to use them against the United States. (As George W. Bush put it, “We cannot wait for the final proof—the smoking gun—that could come in the form of a mushroom cloud.”) And as we shall see, one of the reasons the great powers refuse to take the common-sense pledge that they won’t be the first to use nuclear weapons is that they want to reserve the right to use them against other supposed existential threats such as bioterror and cyberattacks.2 Sowing fear about hypothetical disasters, far from safeguarding the future of humanity, can endanger it.¶ </w:t>
      </w:r>
      <w:r w:rsidRPr="00DF7958">
        <w:rPr>
          <w:highlight w:val="yellow"/>
          <w:u w:val="single"/>
        </w:rPr>
        <w:t>A second hazard of enumerating doomsday scenarios is that humanity has a finite budget of resources, brainpower, and anxiety.</w:t>
      </w:r>
      <w:r w:rsidRPr="00DF7958">
        <w:rPr>
          <w:sz w:val="12"/>
        </w:rPr>
        <w:t xml:space="preserve"> You can’t worry about everything. Some of the threats facing us, like climate change and nuclear war, are unmistakable, and will require immense effort and ingenuity to mitigate. </w:t>
      </w:r>
      <w:r w:rsidRPr="00DF7958">
        <w:rPr>
          <w:highlight w:val="yellow"/>
          <w:u w:val="single"/>
        </w:rPr>
        <w:t>Folding them into a list of exotic scenarios with minuscule or unknown probabilities can only dilute the sense of urgency.</w:t>
      </w:r>
      <w:r w:rsidRPr="00DF7958">
        <w:rPr>
          <w:sz w:val="12"/>
        </w:rPr>
        <w:t xml:space="preserve"> Recall that </w:t>
      </w:r>
      <w:r w:rsidRPr="00DF7958">
        <w:rPr>
          <w:highlight w:val="yellow"/>
          <w:u w:val="single"/>
        </w:rPr>
        <w:t>people are poor at assessing probabilities, especially small ones, and instead play out scenarios in their mind’s eye. If two scenarios are equally imaginable, they may be considered equally probable, and people will worry about the genuine hazard no more than about the science-fiction plotline.</w:t>
      </w:r>
      <w:r w:rsidRPr="00DF7958">
        <w:rPr>
          <w:sz w:val="12"/>
        </w:rPr>
        <w:t xml:space="preserve"> And the more ways people can imagine bad things happening, the higher their estimate that something bad </w:t>
      </w:r>
      <w:r w:rsidRPr="00DF7958">
        <w:rPr>
          <w:i/>
          <w:sz w:val="12"/>
        </w:rPr>
        <w:t>will</w:t>
      </w:r>
      <w:r w:rsidRPr="00DF7958">
        <w:rPr>
          <w:sz w:val="12"/>
        </w:rPr>
        <w:t xml:space="preserve"> happen.¶ And </w:t>
      </w:r>
      <w:r w:rsidRPr="00DF7958">
        <w:rPr>
          <w:highlight w:val="yellow"/>
          <w:u w:val="single"/>
        </w:rPr>
        <w:t>that leads to the greatest danger of all</w:t>
      </w:r>
      <w:r w:rsidRPr="00DF7958">
        <w:rPr>
          <w:sz w:val="12"/>
        </w:rPr>
        <w:t xml:space="preserve">: that </w:t>
      </w:r>
      <w:r w:rsidRPr="00DF7958">
        <w:rPr>
          <w:highlight w:val="yellow"/>
          <w:u w:val="single"/>
        </w:rPr>
        <w:t>people will think</w:t>
      </w:r>
      <w:r w:rsidRPr="00DF7958">
        <w:rPr>
          <w:sz w:val="12"/>
        </w:rPr>
        <w:t xml:space="preserve">, as a recent New York Times article put it, “These grim facts should lead any reasonable person to conclude that humanity is screwed.”3 </w:t>
      </w:r>
      <w:r w:rsidRPr="00DF7958">
        <w:rPr>
          <w:highlight w:val="yellow"/>
          <w:u w:val="single"/>
        </w:rPr>
        <w:t>If humanity is screwed, why sacrifice anything to reduce potential risks?</w:t>
      </w:r>
      <w:r w:rsidRPr="00DF7958">
        <w:rPr>
          <w:sz w:val="12"/>
        </w:rPr>
        <w:t xml:space="preserve"> Why forgo the convenience of fossil fuels, or exhort governments to rethink their nuclear weapons policies? Eat, drink, and be merry, for tomorrow we die! A 2013 survey in four English-speaking countries showed that among the respondents who believe that our way of life will probably end in a century, a majority endorsed the statement “The world’s future looks grim so we have to focus on looking after ourselves and those we love.”4¶ </w:t>
      </w:r>
      <w:r w:rsidRPr="00DF7958">
        <w:rPr>
          <w:sz w:val="12"/>
          <w:szCs w:val="12"/>
        </w:rPr>
        <w:t>Few writers on technological risk give much thought to the cumulative psychological effects of the drumbeat of doom. As Elin Kelsey, an environmental communicator, points out, “We have media ratings to protect children from sex or violence in movies, but we think nothing of inviting a scientist into a second grade classroom and telling the kids the planet is ruined. A quarter of (Australian) children are so troubled about the state of the world that they honestly believe it will come to an end before they get older.”5 According to recent polls, so do 15 percent of people worldwide, and between a quarter and a third of Americans.6 In The Progress Paradox, the journalist Gregg Easterbrook suggests that a major reason that Americans are not happier, despite their rising objective fortunes, is “collapse anxiety”: the fear that civilization may implode and there’s nothing anyone can do about it.</w:t>
      </w:r>
    </w:p>
    <w:p w14:paraId="16849961" w14:textId="77777777" w:rsidR="00153B69" w:rsidRPr="00DF7958" w:rsidRDefault="00153B69" w:rsidP="00153B69">
      <w:pPr>
        <w:pStyle w:val="Heading4"/>
      </w:pPr>
      <w:r>
        <w:rPr>
          <w:rFonts w:eastAsia="MS Gothic" w:cs="Times New Roman"/>
        </w:rPr>
        <w:t xml:space="preserve">(G) </w:t>
      </w:r>
      <w:r w:rsidRPr="00DF7958">
        <w:t>Distrust low-probability predictions of catastrophe – subjectivity, cognitive bias, and history of failed predictions.</w:t>
      </w:r>
    </w:p>
    <w:p w14:paraId="77FCE9FD" w14:textId="77777777" w:rsidR="00153B69" w:rsidRPr="00DF7958" w:rsidRDefault="00153B69" w:rsidP="00153B69">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292-295</w:t>
      </w:r>
    </w:p>
    <w:p w14:paraId="3CA98140" w14:textId="77777777" w:rsidR="00153B69" w:rsidRPr="00DF7958" w:rsidRDefault="00153B69" w:rsidP="00153B69">
      <w:pPr>
        <w:ind w:left="720"/>
        <w:rPr>
          <w:sz w:val="12"/>
        </w:rPr>
      </w:pPr>
      <w:r w:rsidRPr="00DF7958">
        <w:rPr>
          <w:sz w:val="12"/>
        </w:rPr>
        <w:t xml:space="preserve">Of course, people’s emotions are irrelevant if the risks are real. But </w:t>
      </w:r>
      <w:r w:rsidRPr="00DF7958">
        <w:rPr>
          <w:highlight w:val="yellow"/>
          <w:u w:val="single"/>
        </w:rPr>
        <w:t>risk assessments fall apart when they deal with highly improbable events in complex systems. Since we cannot replay history thousands of times and count the outcomes, a statement that some event will occur with a probability of</w:t>
      </w:r>
      <w:r w:rsidRPr="00DF7958">
        <w:rPr>
          <w:sz w:val="12"/>
        </w:rPr>
        <w:t xml:space="preserve"> .01 or </w:t>
      </w:r>
      <w:r w:rsidRPr="00DF7958">
        <w:rPr>
          <w:highlight w:val="yellow"/>
          <w:u w:val="single"/>
        </w:rPr>
        <w:t>.001</w:t>
      </w:r>
      <w:r w:rsidRPr="00DF7958">
        <w:rPr>
          <w:sz w:val="12"/>
        </w:rPr>
        <w:t xml:space="preserve"> or .0001 or .00001 </w:t>
      </w:r>
      <w:r w:rsidRPr="00DF7958">
        <w:rPr>
          <w:highlight w:val="yellow"/>
          <w:u w:val="single"/>
        </w:rPr>
        <w:t>is essentially a readout of the assessor’s subjective confidence.</w:t>
      </w:r>
      <w:r w:rsidRPr="00DF7958">
        <w:rPr>
          <w:sz w:val="12"/>
        </w:rPr>
        <w:t xml:space="preserve"> This includes mathematical analyses in which scientists plot the distribution of events in the past (like wars or cyberattacks) and show they fall into a power-law distribution, one with “fat” or “thick” tails, in which extreme events are highly improbable but not astronomically improbable.7 The </w:t>
      </w:r>
      <w:r w:rsidRPr="00DF7958">
        <w:rPr>
          <w:highlight w:val="yellow"/>
          <w:u w:val="single"/>
        </w:rPr>
        <w:t>math is of little help in calibrating the risk, because the scattershot data along the tail of the distribution generally misbehave, deviating from a smooth curve and making estimation impossible.</w:t>
      </w:r>
      <w:r w:rsidRPr="00DF7958">
        <w:rPr>
          <w:sz w:val="12"/>
        </w:rPr>
        <w:t xml:space="preserve"> All we know is that very bad things can happen.¶ That takes us back to </w:t>
      </w:r>
      <w:r w:rsidRPr="00DF7958">
        <w:rPr>
          <w:highlight w:val="yellow"/>
          <w:u w:val="single"/>
        </w:rPr>
        <w:t>subjective readouts</w:t>
      </w:r>
      <w:r w:rsidRPr="00DF7958">
        <w:rPr>
          <w:sz w:val="12"/>
        </w:rPr>
        <w:t xml:space="preserve">, which </w:t>
      </w:r>
      <w:r w:rsidRPr="00DF7958">
        <w:rPr>
          <w:highlight w:val="yellow"/>
          <w:u w:val="single"/>
        </w:rPr>
        <w:t>tend to be inflated by the Availability and Negativity biases and by the gravitas market</w:t>
      </w:r>
      <w:r w:rsidRPr="00DF7958">
        <w:rPr>
          <w:sz w:val="12"/>
        </w:rPr>
        <w:t xml:space="preserve"> (chapter 4)</w:t>
      </w:r>
      <w:r w:rsidRPr="00DF7958">
        <w:rPr>
          <w:highlight w:val="yellow"/>
          <w:u w:val="single"/>
        </w:rPr>
        <w:t>.</w:t>
      </w:r>
      <w:r w:rsidRPr="00DF7958">
        <w:rPr>
          <w:sz w:val="12"/>
        </w:rPr>
        <w:t xml:space="preserve">8 </w:t>
      </w:r>
      <w:r w:rsidRPr="00DF7958">
        <w:rPr>
          <w:highlight w:val="yellow"/>
          <w:u w:val="single"/>
        </w:rPr>
        <w:t>Those who sow fear about a dreadful prophecy may be seen as serious and responsible, while those who are measured are seen as complacent and naïve.</w:t>
      </w:r>
      <w:r w:rsidRPr="00DF7958">
        <w:rPr>
          <w:sz w:val="12"/>
        </w:rPr>
        <w:t xml:space="preserve"> Despair springs eternal. At least since the Hebrew prophets and the Book of Revelation, seers have warned their contemporaries about an imminent doomsday. Forecasts of End Times are a staple of psychics, mystics, televangelists, nut cults, founders of religions, and men pacing the sidewalk with sandwich boards saying “Repent!”9 </w:t>
      </w:r>
      <w:r w:rsidRPr="00DF7958">
        <w:rPr>
          <w:highlight w:val="yellow"/>
          <w:u w:val="single"/>
        </w:rPr>
        <w:t>The storyline that climaxes in harsh payback for technological hubris is an archetype of Western fiction</w:t>
      </w:r>
      <w:r w:rsidRPr="00DF7958">
        <w:rPr>
          <w:sz w:val="12"/>
        </w:rPr>
        <w:t>, including Promethean fire, Pandora’s box, Icarus’s flight, Faust’s bargain, the Sorcerer’s Apprentice, Frankenstein’s monster, and, from Hollywood, more than 250 end-of-the-world flicks.10 As the engineer Eric Zencey has observed, “</w:t>
      </w:r>
      <w:r w:rsidRPr="00DF7958">
        <w:rPr>
          <w:highlight w:val="yellow"/>
          <w:u w:val="single"/>
        </w:rPr>
        <w:t>There is seduction in apocalyptic thinking. If one lives in the Last Days</w:t>
      </w:r>
      <w:r w:rsidRPr="00DF7958">
        <w:rPr>
          <w:sz w:val="12"/>
        </w:rPr>
        <w:t xml:space="preserve">, one’s actions, </w:t>
      </w:r>
      <w:r w:rsidRPr="00DF7958">
        <w:rPr>
          <w:highlight w:val="yellow"/>
          <w:u w:val="single"/>
        </w:rPr>
        <w:t>one’s</w:t>
      </w:r>
      <w:r w:rsidRPr="00DF7958">
        <w:rPr>
          <w:sz w:val="12"/>
        </w:rPr>
        <w:t xml:space="preserve"> very </w:t>
      </w:r>
      <w:r w:rsidRPr="00DF7958">
        <w:rPr>
          <w:highlight w:val="yellow"/>
          <w:u w:val="single"/>
        </w:rPr>
        <w:t>life, take on historical meaning and</w:t>
      </w:r>
      <w:r w:rsidRPr="00DF7958">
        <w:rPr>
          <w:sz w:val="12"/>
        </w:rPr>
        <w:t xml:space="preserve"> no small measure of </w:t>
      </w:r>
      <w:r w:rsidRPr="00DF7958">
        <w:rPr>
          <w:highlight w:val="yellow"/>
          <w:u w:val="single"/>
        </w:rPr>
        <w:t>poignance.</w:t>
      </w:r>
      <w:r w:rsidRPr="00DF7958">
        <w:rPr>
          <w:sz w:val="12"/>
        </w:rPr>
        <w:t xml:space="preserve">”11¶ Scientists and technologists are by no means immune. </w:t>
      </w:r>
      <w:r w:rsidRPr="00DF7958">
        <w:rPr>
          <w:highlight w:val="yellow"/>
          <w:u w:val="single"/>
        </w:rPr>
        <w:t>Remember the Y2K bug?</w:t>
      </w:r>
      <w:r w:rsidRPr="00DF7958">
        <w:rPr>
          <w:sz w:val="12"/>
        </w:rPr>
        <w:t xml:space="preserve">12 In the 1990s, </w:t>
      </w:r>
      <w:r w:rsidRPr="00DF7958">
        <w:rPr>
          <w:highlight w:val="yellow"/>
          <w:u w:val="single"/>
        </w:rPr>
        <w:t xml:space="preserve">as the turn of the millennium drew near, computer scientists began to warn the </w:t>
      </w:r>
      <w:r w:rsidRPr="00DF7958">
        <w:rPr>
          <w:highlight w:val="yellow"/>
          <w:u w:val="single"/>
        </w:rPr>
        <w:lastRenderedPageBreak/>
        <w:t>world of an impending catastrophe.</w:t>
      </w:r>
      <w:r w:rsidRPr="00DF7958">
        <w:rPr>
          <w:sz w:val="12"/>
        </w:rPr>
        <w:t xml:space="preserve"> In the early decades of computing, when information was expensive, programmers often saved a couple of bytes by representing a year by its last two digits. They figured that by the time the year 2000 came around and the implicit “19” was no longer valid, the programs would be long obsolete. But complicated software is replaced slowly, and many old programs were still running on institutional mainframes and embedded in chips. When 12:00 A.M. on January 1, 2000, arrived and the digits rolled over, a program would think it was 1900 and would crash or go haywire (presumably because it would divide some number by the difference between what it thought was the current year and the year 1900, namely zero, though why a program would do this was never made clear). At that moment, bank balances would be wiped out, elevators would stop between floors, incubators in maternity wards would shut off, water pumps would freeze, planes would fall from the sky, nuclear power plants would melt down, and ICBMs would be launched from their silos.¶ And </w:t>
      </w:r>
      <w:r w:rsidRPr="00DF7958">
        <w:rPr>
          <w:highlight w:val="yellow"/>
          <w:u w:val="single"/>
        </w:rPr>
        <w:t>these were</w:t>
      </w:r>
      <w:r w:rsidRPr="00DF7958">
        <w:rPr>
          <w:sz w:val="12"/>
        </w:rPr>
        <w:t xml:space="preserve"> the hardheaded </w:t>
      </w:r>
      <w:r w:rsidRPr="00DF7958">
        <w:rPr>
          <w:highlight w:val="yellow"/>
          <w:u w:val="single"/>
        </w:rPr>
        <w:t>predictions from tech-savvy authorities</w:t>
      </w:r>
      <w:r w:rsidRPr="00DF7958">
        <w:rPr>
          <w:sz w:val="12"/>
        </w:rPr>
        <w:t xml:space="preserve"> (such as President Bill Clinton, who warned the nation, “I want to stress the urgency of the challenge. This is not one of the summer movies where you can close your eyes during the scary part”). Cultural pessimists saw the Y2K bug as comeuppance for enthralling our civilization to technology. Among religious thinkers, the numerological link to Christian millennialism was irresistible. The Reverend Jerry Falwell declared, “I believe that Y2K may be God’s instrument to shake this nation, humble this nation, awaken this nation and from this nation start revival that spreads the face of the earth before the Rapture of the Church.” A hundred billion dollars was spent worldwide on reprogramming software for Y2K Readiness, a challenge that was likened to replacing every bolt in every bridge in the world.¶ As a former assembly language programmer I was skeptical of the doomsday scenarios, and fortuitously I was in New Zealand, the first country to welcome the new millennium, at the fateful moment. Sure enough, at 12:00 A.M. </w:t>
      </w:r>
      <w:r w:rsidRPr="00DF7958">
        <w:rPr>
          <w:highlight w:val="yellow"/>
          <w:u w:val="single"/>
        </w:rPr>
        <w:t>on January 1, nothing happened</w:t>
      </w:r>
      <w:r w:rsidRPr="00DF7958">
        <w:rPr>
          <w:sz w:val="12"/>
        </w:rPr>
        <w:t xml:space="preserve"> (as I quickly reassured family members back home on a fully functioning telephone). The Y2K reprogrammers, like the elephant-repellent salesman, took credit for averting disaster, but many countries and small businesses had taken their chances without any Y2K preparation, and they had no problems either. Though some software needed updating (one program on my laptop displayed “January 1, 19100”), it turned out that very few programs, particularly those embedded in machines, had both contained the bug and performed furious arithmetic on the current year. The threat turned out to be barely more serious than the lettering on the sidewalk prophet’s sandwich board. The Great Y2K Panic does not mean that all warnings of potential catastrophes are false alarms, but it reminds us that we are vulnerable to techno-apocalyptic delusions.</w:t>
      </w:r>
    </w:p>
    <w:p w14:paraId="4A9CDD2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46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53B6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28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4AF"/>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04916"/>
  <w14:defaultImageDpi w14:val="300"/>
  <w15:docId w15:val="{FFD412D2-42FF-C146-ABA2-4C3431E8B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028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502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02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502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9502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02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0287"/>
  </w:style>
  <w:style w:type="character" w:customStyle="1" w:styleId="Heading1Char">
    <w:name w:val="Heading 1 Char"/>
    <w:aliases w:val="Pocket Char"/>
    <w:basedOn w:val="DefaultParagraphFont"/>
    <w:link w:val="Heading1"/>
    <w:uiPriority w:val="9"/>
    <w:rsid w:val="009502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028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5028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95028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0287"/>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950287"/>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95028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5028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950287"/>
    <w:rPr>
      <w:color w:val="auto"/>
      <w:u w:val="none"/>
    </w:rPr>
  </w:style>
  <w:style w:type="paragraph" w:styleId="DocumentMap">
    <w:name w:val="Document Map"/>
    <w:basedOn w:val="Normal"/>
    <w:link w:val="DocumentMapChar"/>
    <w:uiPriority w:val="99"/>
    <w:semiHidden/>
    <w:unhideWhenUsed/>
    <w:rsid w:val="009502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0287"/>
    <w:rPr>
      <w:rFonts w:ascii="Lucida Grande" w:hAnsi="Lucida Grande" w:cs="Lucida Grande"/>
    </w:rPr>
  </w:style>
  <w:style w:type="paragraph" w:customStyle="1" w:styleId="textbold">
    <w:name w:val="text bold"/>
    <w:basedOn w:val="Normal"/>
    <w:link w:val="Emphasis"/>
    <w:uiPriority w:val="20"/>
    <w:qFormat/>
    <w:rsid w:val="007446B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11</Pages>
  <Words>7988</Words>
  <Characters>45532</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53414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4</cp:revision>
  <dcterms:created xsi:type="dcterms:W3CDTF">2021-10-08T20:27:00Z</dcterms:created>
  <dcterms:modified xsi:type="dcterms:W3CDTF">2021-10-11T22:58:00Z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