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A7E54" w14:textId="247A393A" w:rsidR="006D11E8" w:rsidRPr="006D11E8" w:rsidRDefault="006D11E8" w:rsidP="006D11E8">
      <w:pPr>
        <w:pStyle w:val="Heading4"/>
        <w:rPr>
          <w:rFonts w:cs="Calibri"/>
          <w:b w:val="0"/>
          <w:bCs w:val="0"/>
        </w:rPr>
      </w:pPr>
    </w:p>
    <w:p w14:paraId="228D4960" w14:textId="2ED71481" w:rsidR="006D11E8" w:rsidRDefault="006D11E8" w:rsidP="006D11E8">
      <w:pPr>
        <w:pStyle w:val="Heading4"/>
        <w:rPr>
          <w:rFonts w:cs="Calibri"/>
        </w:rPr>
      </w:pPr>
      <w:r w:rsidRPr="008F6FA6">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3A0FCC66" w14:textId="6471EC83" w:rsidR="005B764F" w:rsidRDefault="005B764F" w:rsidP="005B764F">
      <w:pPr>
        <w:pStyle w:val="Heading3"/>
      </w:pPr>
      <w:r>
        <w:lastRenderedPageBreak/>
        <w:t>Postwork</w:t>
      </w:r>
      <w:r>
        <w:t xml:space="preserve"> K</w:t>
      </w:r>
    </w:p>
    <w:p w14:paraId="0B2136E1" w14:textId="77777777" w:rsidR="005B764F" w:rsidRPr="004F3F7A" w:rsidRDefault="005B764F" w:rsidP="005B764F">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144316B4" w14:textId="77777777" w:rsidR="005B764F" w:rsidRPr="0024759A" w:rsidRDefault="005B764F" w:rsidP="005B764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CCABD5F" w14:textId="77777777" w:rsidR="005B764F" w:rsidRPr="00F23A1A" w:rsidRDefault="005B764F" w:rsidP="005B764F">
      <w:pPr>
        <w:rPr>
          <w:sz w:val="16"/>
        </w:rPr>
      </w:pPr>
      <w:r w:rsidRPr="00F23A1A">
        <w:rPr>
          <w:sz w:val="16"/>
        </w:rPr>
        <w:t>The societal dependence on work</w:t>
      </w:r>
    </w:p>
    <w:p w14:paraId="38CFD861" w14:textId="77777777" w:rsidR="005B764F" w:rsidRPr="009A6DC9" w:rsidRDefault="005B764F" w:rsidP="005B764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18ACC640" w14:textId="77777777" w:rsidR="005B764F" w:rsidRPr="009A6DC9" w:rsidRDefault="005B764F" w:rsidP="005B764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73E43E4" w14:textId="77777777" w:rsidR="005B764F" w:rsidRPr="00F23A1A" w:rsidRDefault="005B764F" w:rsidP="005B764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ABF55F8" w14:textId="77777777" w:rsidR="005B764F" w:rsidRPr="00F23A1A" w:rsidRDefault="005B764F" w:rsidP="005B764F">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49520A9F" w14:textId="77777777" w:rsidR="005B764F" w:rsidRPr="00F23A1A" w:rsidRDefault="005B764F" w:rsidP="005B764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6B6E5571" w14:textId="77777777" w:rsidR="005B764F" w:rsidRPr="00DD394F" w:rsidRDefault="005B764F" w:rsidP="005B764F">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02D0CE89" w14:textId="77777777" w:rsidR="005B764F" w:rsidRDefault="005B764F" w:rsidP="005B764F">
      <w:pPr>
        <w:pStyle w:val="Heading4"/>
      </w:pPr>
      <w:r>
        <w:t>Work necessitates material throughput and waste that destroys the environment, even when the jobs are ‘green’</w:t>
      </w:r>
    </w:p>
    <w:p w14:paraId="1F900243" w14:textId="77777777" w:rsidR="005B764F" w:rsidRPr="0000117A" w:rsidRDefault="005B764F" w:rsidP="005B764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2B3896C" w14:textId="77777777" w:rsidR="005B764F" w:rsidRPr="006E7E43" w:rsidRDefault="005B764F" w:rsidP="005B764F">
      <w:pPr>
        <w:rPr>
          <w:sz w:val="16"/>
        </w:rPr>
      </w:pPr>
      <w:r w:rsidRPr="006E7E43">
        <w:rPr>
          <w:sz w:val="16"/>
        </w:rPr>
        <w:t>An ecological critique of work</w:t>
      </w:r>
    </w:p>
    <w:p w14:paraId="6CABF735" w14:textId="77777777" w:rsidR="005B764F" w:rsidRPr="006E7E43" w:rsidRDefault="005B764F" w:rsidP="005B764F">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1C379994" w14:textId="77777777" w:rsidR="005B764F" w:rsidRPr="006E7E43" w:rsidRDefault="005B764F" w:rsidP="005B764F">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1C0B76D8" w14:textId="77777777" w:rsidR="005B764F" w:rsidRPr="006E7E43" w:rsidRDefault="005B764F" w:rsidP="005B764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7EDAF928" w14:textId="77777777" w:rsidR="005B764F" w:rsidRPr="006E7E43" w:rsidRDefault="005B764F" w:rsidP="005B764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19578AE" w14:textId="77777777" w:rsidR="005B764F" w:rsidRDefault="005B764F" w:rsidP="005B764F">
      <w:pPr>
        <w:pStyle w:val="Heading4"/>
      </w:pPr>
      <w:r>
        <w:t>Unions are intrinsically invested in labor being good – they don’t strike to get rid of work; they strike to get people back to work. Lundström 14:</w:t>
      </w:r>
    </w:p>
    <w:p w14:paraId="4E437C82" w14:textId="77777777" w:rsidR="005B764F" w:rsidRPr="00050F02" w:rsidRDefault="005B764F" w:rsidP="005B764F">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0E0C6424" w14:textId="77777777" w:rsidR="005B764F" w:rsidRPr="004F3F7A" w:rsidRDefault="005B764F" w:rsidP="005B764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0C6A758C" w14:textId="77777777" w:rsidR="005B764F" w:rsidRDefault="005B764F" w:rsidP="005B764F">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6B2C45BD" w14:textId="77777777" w:rsidR="005B764F" w:rsidRPr="00E73C56" w:rsidRDefault="005B764F" w:rsidP="005B764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1C7C4140" w14:textId="77777777" w:rsidR="005B764F" w:rsidRPr="00CD77D8" w:rsidRDefault="005B764F" w:rsidP="005B764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5DFE2C7" w14:textId="77777777" w:rsidR="005B764F" w:rsidRPr="009A6DC9" w:rsidRDefault="005B764F" w:rsidP="005B764F">
      <w:pPr>
        <w:rPr>
          <w:rStyle w:val="Emphasis"/>
        </w:rPr>
      </w:pPr>
      <w:r w:rsidRPr="009A6DC9">
        <w:rPr>
          <w:rStyle w:val="Emphasis"/>
        </w:rPr>
        <w:t>What is postwork?</w:t>
      </w:r>
    </w:p>
    <w:p w14:paraId="590BE4C7" w14:textId="77777777" w:rsidR="005B764F" w:rsidRPr="00A72FF2" w:rsidRDefault="005B764F" w:rsidP="005B764F">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38548321" w14:textId="77777777" w:rsidR="005B764F" w:rsidRPr="00A72FF2" w:rsidRDefault="005B764F" w:rsidP="005B764F">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1D3764DA" w14:textId="77777777" w:rsidR="005B764F" w:rsidRPr="00A72FF2" w:rsidRDefault="005B764F" w:rsidP="005B764F">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124CD31" w14:textId="77777777" w:rsidR="005B764F" w:rsidRPr="00A72FF2" w:rsidRDefault="005B764F" w:rsidP="005B764F">
      <w:pPr>
        <w:rPr>
          <w:sz w:val="14"/>
        </w:rPr>
      </w:pPr>
      <w:r w:rsidRPr="00A72FF2">
        <w:rPr>
          <w:sz w:val="14"/>
        </w:rPr>
        <w:t>The ecological case for postwork</w:t>
      </w:r>
    </w:p>
    <w:p w14:paraId="2BE0D460" w14:textId="77777777" w:rsidR="005B764F" w:rsidRPr="00A72FF2" w:rsidRDefault="005B764F" w:rsidP="005B764F">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6B403F37" w14:textId="77777777" w:rsidR="005B764F" w:rsidRPr="00A72FF2" w:rsidRDefault="005B764F" w:rsidP="005B764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AC600BE" w14:textId="77777777" w:rsidR="005B764F" w:rsidRPr="008018E5" w:rsidRDefault="005B764F" w:rsidP="005B764F">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391731E5" w14:textId="77777777" w:rsidR="005B764F" w:rsidRPr="00A72FF2" w:rsidRDefault="005B764F" w:rsidP="005B764F">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49E1F2DC" w14:textId="77777777" w:rsidR="005B764F" w:rsidRPr="00A72FF2" w:rsidRDefault="005B764F" w:rsidP="005B764F">
      <w:pPr>
        <w:rPr>
          <w:sz w:val="14"/>
        </w:rPr>
      </w:pPr>
      <w:r w:rsidRPr="00A72FF2">
        <w:rPr>
          <w:sz w:val="14"/>
        </w:rPr>
        <w:t>Conclusions: postwork politics and practices</w:t>
      </w:r>
    </w:p>
    <w:p w14:paraId="7C2EC580" w14:textId="77777777" w:rsidR="005B764F" w:rsidRPr="00A72FF2" w:rsidRDefault="005B764F" w:rsidP="005B764F">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95BA8B3" w14:textId="77777777" w:rsidR="005B764F" w:rsidRPr="004F0127" w:rsidRDefault="005B764F" w:rsidP="005B764F">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3C63B5C4" w14:textId="77777777" w:rsidR="005B764F" w:rsidRPr="00A72FF2" w:rsidRDefault="005B764F" w:rsidP="005B764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5840F8C4" w14:textId="77777777" w:rsidR="005B764F" w:rsidRPr="00A72FF2" w:rsidRDefault="005B764F" w:rsidP="005B764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4F946BDE" w14:textId="77777777" w:rsidR="005B764F" w:rsidRPr="00A72FF2" w:rsidRDefault="005B764F" w:rsidP="005B764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0BFAF65F" w14:textId="77777777" w:rsidR="005B764F" w:rsidRPr="00A72FF2" w:rsidRDefault="005B764F" w:rsidP="005B764F">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35CA625E" w14:textId="77777777" w:rsidR="005B764F" w:rsidRPr="00A72FF2" w:rsidRDefault="005B764F" w:rsidP="005B764F">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302C9168" w14:textId="77777777" w:rsidR="005B764F" w:rsidRPr="008018E5" w:rsidRDefault="005B764F" w:rsidP="005B764F">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38D313C8" w14:textId="77777777" w:rsidR="005B764F" w:rsidRDefault="005B764F" w:rsidP="005B764F">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0C3A77BA" w14:textId="77777777" w:rsidR="005B764F" w:rsidRPr="005B764F" w:rsidRDefault="005B764F" w:rsidP="005B764F"/>
    <w:p w14:paraId="3FC8AB3E" w14:textId="77777777" w:rsidR="00C07D1E" w:rsidRPr="003E7496" w:rsidRDefault="00C07D1E" w:rsidP="00C07D1E">
      <w:pPr>
        <w:pStyle w:val="Heading2"/>
        <w:rPr>
          <w:rFonts w:asciiTheme="majorHAnsi" w:hAnsiTheme="majorHAnsi" w:cstheme="majorHAnsi"/>
        </w:rPr>
      </w:pPr>
      <w:r w:rsidRPr="003E7496">
        <w:rPr>
          <w:rFonts w:asciiTheme="majorHAnsi" w:hAnsiTheme="majorHAnsi" w:cstheme="majorHAnsi"/>
        </w:rPr>
        <w:lastRenderedPageBreak/>
        <w:t>Case</w:t>
      </w:r>
    </w:p>
    <w:p w14:paraId="105E4623" w14:textId="77777777" w:rsidR="00C07D1E" w:rsidRPr="003E7496" w:rsidRDefault="00C07D1E" w:rsidP="00C07D1E">
      <w:pPr>
        <w:pStyle w:val="Heading4"/>
        <w:numPr>
          <w:ilvl w:val="0"/>
          <w:numId w:val="12"/>
        </w:numPr>
        <w:tabs>
          <w:tab w:val="num" w:pos="360"/>
        </w:tabs>
        <w:ind w:left="0" w:firstLine="0"/>
        <w:rPr>
          <w:rFonts w:asciiTheme="majorHAnsi" w:hAnsiTheme="majorHAnsi" w:cstheme="majorHAnsi"/>
        </w:rPr>
      </w:pPr>
      <w:r w:rsidRPr="003E7496">
        <w:rPr>
          <w:rFonts w:asciiTheme="majorHAnsi" w:hAnsiTheme="majorHAnsi" w:cstheme="majorHAnsi"/>
        </w:rPr>
        <w:t>Conditional RTS is enough. Countries generally restrict the right to strike, even where Unions are effective and powerful.</w:t>
      </w:r>
    </w:p>
    <w:p w14:paraId="0BB573AD" w14:textId="77777777" w:rsidR="00C07D1E" w:rsidRPr="003E7496" w:rsidRDefault="00C07D1E" w:rsidP="00C07D1E">
      <w:pPr>
        <w:rPr>
          <w:rFonts w:asciiTheme="majorHAnsi" w:hAnsiTheme="majorHAnsi" w:cstheme="majorHAnsi"/>
        </w:rPr>
      </w:pPr>
      <w:r w:rsidRPr="003E7496">
        <w:rPr>
          <w:rStyle w:val="Style13ptBold"/>
          <w:rFonts w:asciiTheme="majorHAnsi" w:hAnsiTheme="majorHAnsi" w:cstheme="majorHAnsi"/>
        </w:rPr>
        <w:t xml:space="preserve">Wass ’13 - </w:t>
      </w:r>
      <w:r w:rsidRPr="003E7496">
        <w:rPr>
          <w:rFonts w:asciiTheme="majorHAnsi" w:hAnsiTheme="majorHAnsi" w:cstheme="majorHAnsi"/>
        </w:rPr>
        <w:t>Dr. Bernd Waas, Goethe University Frankfurt, Germany, 2012, Strike as a Fundamental Right of the Workers and its Risks of Conflicting with other Fundamental Rights of the Citizens, https://www.islssl.org/wp-content/uploads/2013/01/Strike-Waas.pdf</w:t>
      </w:r>
    </w:p>
    <w:p w14:paraId="4B2367D9" w14:textId="77777777" w:rsidR="00C07D1E" w:rsidRPr="003E7496" w:rsidRDefault="00C07D1E" w:rsidP="00C07D1E">
      <w:pPr>
        <w:ind w:left="720"/>
        <w:rPr>
          <w:rFonts w:asciiTheme="majorHAnsi" w:hAnsiTheme="majorHAnsi" w:cstheme="majorHAnsi"/>
          <w:sz w:val="12"/>
        </w:rPr>
      </w:pPr>
      <w:r w:rsidRPr="003E7496">
        <w:rPr>
          <w:rFonts w:asciiTheme="majorHAnsi" w:hAnsiTheme="majorHAnsi" w:cstheme="majorHAnsi"/>
          <w:sz w:val="12"/>
        </w:rPr>
        <w:t xml:space="preserve">Limitations of the Right to Strike </w:t>
      </w:r>
      <w:r w:rsidRPr="003E7496">
        <w:rPr>
          <w:rFonts w:asciiTheme="majorHAnsi" w:hAnsiTheme="majorHAnsi" w:cstheme="majorHAnsi"/>
          <w:b/>
          <w:bCs/>
          <w:highlight w:val="yellow"/>
          <w:u w:val="single"/>
        </w:rPr>
        <w:t xml:space="preserve">A </w:t>
      </w:r>
      <w:r w:rsidRPr="003E7496">
        <w:rPr>
          <w:rFonts w:asciiTheme="majorHAnsi" w:hAnsiTheme="majorHAnsi" w:cstheme="majorHAnsi"/>
          <w:sz w:val="12"/>
        </w:rPr>
        <w:t>positive</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right to strike does not mean that it is </w:t>
      </w:r>
      <w:r w:rsidRPr="003E7496">
        <w:rPr>
          <w:rFonts w:asciiTheme="majorHAnsi" w:hAnsiTheme="majorHAnsi" w:cstheme="majorHAnsi"/>
          <w:sz w:val="12"/>
        </w:rPr>
        <w:t>guaranteed</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without restriction. The </w:t>
      </w:r>
      <w:r w:rsidRPr="003E7496">
        <w:rPr>
          <w:rFonts w:asciiTheme="majorHAnsi" w:hAnsiTheme="majorHAnsi" w:cstheme="majorHAnsi"/>
          <w:sz w:val="12"/>
        </w:rPr>
        <w:t>freedoms and</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 xml:space="preserve">rights of other persons must be respected. </w:t>
      </w:r>
      <w:r w:rsidRPr="003E7496">
        <w:rPr>
          <w:rFonts w:asciiTheme="majorHAnsi" w:hAnsiTheme="majorHAnsi" w:cstheme="majorHAnsi"/>
          <w:sz w:val="12"/>
        </w:rPr>
        <w:t>Apart from that,</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inherent limitations may exist as well.</w:t>
      </w:r>
      <w:r w:rsidRPr="003E7496">
        <w:rPr>
          <w:rFonts w:asciiTheme="majorHAnsi" w:hAnsiTheme="majorHAnsi" w:cstheme="majorHAnsi"/>
          <w:b/>
          <w:bCs/>
          <w:u w:val="single"/>
        </w:rPr>
        <w:t xml:space="preserve"> </w:t>
      </w:r>
      <w:r w:rsidRPr="003E7496">
        <w:rPr>
          <w:rFonts w:asciiTheme="majorHAnsi" w:hAnsiTheme="majorHAnsi" w:cstheme="majorHAnsi"/>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3E7496">
        <w:rPr>
          <w:rFonts w:asciiTheme="majorHAnsi" w:hAnsiTheme="majorHAnsi" w:cstheme="majorHAnsi"/>
          <w:b/>
          <w:bCs/>
          <w:i/>
          <w:iCs/>
          <w:u w:val="single"/>
        </w:rPr>
        <w:t xml:space="preserve">. </w:t>
      </w:r>
      <w:r w:rsidRPr="003E7496">
        <w:rPr>
          <w:rFonts w:asciiTheme="majorHAnsi" w:hAnsiTheme="majorHAnsi" w:cstheme="majorHAnsi"/>
          <w:b/>
          <w:bCs/>
          <w:i/>
          <w:iCs/>
          <w:highlight w:val="yellow"/>
          <w:u w:val="single"/>
        </w:rPr>
        <w:t>The need to ensure collective bargaining both justifies and limits the right to strike</w:t>
      </w:r>
      <w:r w:rsidRPr="003E7496">
        <w:rPr>
          <w:rFonts w:asciiTheme="majorHAnsi" w:hAnsiTheme="majorHAnsi" w:cstheme="majorHAnsi"/>
          <w:b/>
          <w:bCs/>
          <w:highlight w:val="yellow"/>
          <w:u w:val="single"/>
        </w:rPr>
        <w:t xml:space="preserve">. </w:t>
      </w:r>
      <w:r w:rsidRPr="003E7496">
        <w:rPr>
          <w:rFonts w:asciiTheme="majorHAnsi" w:hAnsiTheme="majorHAnsi" w:cstheme="majorHAnsi"/>
          <w:sz w:val="12"/>
        </w:rPr>
        <w:t>In other words:</w:t>
      </w:r>
      <w:r w:rsidRPr="003E7496">
        <w:rPr>
          <w:rFonts w:asciiTheme="majorHAnsi" w:hAnsiTheme="majorHAnsi" w:cstheme="majorHAnsi"/>
          <w:b/>
          <w:bCs/>
          <w:sz w:val="12"/>
          <w:highlight w:val="yellow"/>
          <w:u w:val="single"/>
        </w:rPr>
        <w:t xml:space="preserve"> </w:t>
      </w:r>
      <w:r w:rsidRPr="003E7496">
        <w:rPr>
          <w:rFonts w:asciiTheme="majorHAnsi" w:hAnsiTheme="majorHAnsi" w:cstheme="majorHAnsi"/>
          <w:b/>
          <w:bCs/>
          <w:highlight w:val="yellow"/>
          <w:u w:val="single"/>
        </w:rPr>
        <w:t>A strike is lawful in Germany if and only if its underlying objective is the reaching of a collective bargaining agreement</w:t>
      </w:r>
      <w:r w:rsidRPr="003E7496">
        <w:rPr>
          <w:rFonts w:asciiTheme="majorHAnsi" w:hAnsiTheme="majorHAnsi" w:cstheme="majorHAnsi"/>
          <w:sz w:val="12"/>
        </w:rPr>
        <w:t>. This implies that the regulation demanded must be viable and fall within the competence of the “social partners” (as it affects “working and economic 12 conditions”). Similarly</w:t>
      </w:r>
      <w:r w:rsidRPr="003E7496">
        <w:rPr>
          <w:rFonts w:asciiTheme="majorHAnsi" w:hAnsiTheme="majorHAnsi" w:cstheme="majorHAnsi"/>
          <w:b/>
          <w:bCs/>
          <w:u w:val="single"/>
        </w:rPr>
        <w:t xml:space="preserve">, </w:t>
      </w:r>
      <w:r w:rsidRPr="003E7496">
        <w:rPr>
          <w:rFonts w:asciiTheme="majorHAnsi" w:hAnsiTheme="majorHAnsi" w:cstheme="majorHAnsi"/>
          <w:b/>
          <w:bCs/>
          <w:highlight w:val="yellow"/>
          <w:u w:val="single"/>
        </w:rPr>
        <w:t>in the Czech Republic, a strike may only be called in a dispute over entering into a collective agreement. In Chile, too, the right to strike is strictly related to collective bargaining</w:t>
      </w:r>
      <w:r w:rsidRPr="003E7496">
        <w:rPr>
          <w:rFonts w:asciiTheme="majorHAnsi" w:hAnsiTheme="majorHAnsi" w:cstheme="majorHAnsi"/>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3E7496">
        <w:rPr>
          <w:rFonts w:asciiTheme="majorHAnsi" w:hAnsiTheme="majorHAnsi" w:cstheme="majorHAnsi"/>
          <w:b/>
          <w:bCs/>
          <w:u w:val="single"/>
        </w:rPr>
        <w:t>A labour union may certainly not demand bargaining over – or strike over – an unlawful topic</w:t>
      </w:r>
      <w:r w:rsidRPr="003E7496">
        <w:rPr>
          <w:rFonts w:asciiTheme="majorHAnsi" w:hAnsiTheme="majorHAnsi" w:cstheme="majorHAnsi"/>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2853CBEC" w14:textId="77777777" w:rsidR="00C07D1E" w:rsidRPr="003E7496" w:rsidRDefault="00C07D1E" w:rsidP="00C07D1E">
      <w:pPr>
        <w:rPr>
          <w:rFonts w:asciiTheme="majorHAnsi" w:hAnsiTheme="majorHAnsi" w:cstheme="majorHAnsi"/>
        </w:rPr>
      </w:pPr>
    </w:p>
    <w:p w14:paraId="31C2D947" w14:textId="77777777" w:rsidR="00C07D1E" w:rsidRPr="003E7496" w:rsidRDefault="00C07D1E" w:rsidP="00C07D1E">
      <w:pPr>
        <w:pStyle w:val="ListParagraph"/>
        <w:keepNext/>
        <w:keepLines/>
        <w:numPr>
          <w:ilvl w:val="0"/>
          <w:numId w:val="12"/>
        </w:numPr>
        <w:spacing w:before="40" w:after="0"/>
        <w:outlineLvl w:val="3"/>
        <w:rPr>
          <w:rFonts w:asciiTheme="majorHAnsi" w:eastAsia="MS Gothic" w:hAnsiTheme="majorHAnsi" w:cstheme="majorHAnsi"/>
          <w:b/>
          <w:iCs/>
          <w:sz w:val="26"/>
        </w:rPr>
      </w:pPr>
      <w:r w:rsidRPr="003E7496">
        <w:rPr>
          <w:rFonts w:asciiTheme="majorHAnsi" w:eastAsia="MS Gothic" w:hAnsiTheme="majorHAnsi" w:cstheme="majorHAnsi"/>
          <w:b/>
          <w:iCs/>
          <w:sz w:val="26"/>
        </w:rPr>
        <w:t>Turn: More strikes lead to backlash bills that weaken unions – empirically proven and especially true for teachers. Partelow ‘19</w:t>
      </w:r>
    </w:p>
    <w:p w14:paraId="1B1649A5" w14:textId="77777777" w:rsidR="00C07D1E" w:rsidRPr="003E7496" w:rsidRDefault="00C07D1E" w:rsidP="00C07D1E">
      <w:pPr>
        <w:rPr>
          <w:rFonts w:asciiTheme="majorHAnsi" w:eastAsia="Cambria" w:hAnsiTheme="majorHAnsi" w:cstheme="majorHAnsi"/>
        </w:rPr>
      </w:pPr>
      <w:r w:rsidRPr="003E7496">
        <w:rPr>
          <w:rFonts w:asciiTheme="majorHAnsi" w:eastAsia="Cambria" w:hAnsiTheme="majorHAnsi" w:cstheme="majorHAnsi"/>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4113F20B" w14:textId="77777777" w:rsidR="00C07D1E" w:rsidRPr="003E7496" w:rsidRDefault="00C07D1E" w:rsidP="00C07D1E">
      <w:pPr>
        <w:spacing w:after="0" w:line="240" w:lineRule="auto"/>
        <w:ind w:left="720"/>
        <w:textAlignment w:val="baseline"/>
        <w:rPr>
          <w:rFonts w:asciiTheme="majorHAnsi" w:eastAsia="Cambria" w:hAnsiTheme="majorHAnsi" w:cstheme="majorHAnsi"/>
          <w:u w:val="single"/>
          <w:lang w:val="en-HK" w:eastAsia="zh-CN"/>
        </w:rPr>
      </w:pPr>
      <w:r w:rsidRPr="003E7496">
        <w:rPr>
          <w:rFonts w:asciiTheme="majorHAnsi" w:eastAsia="Times New Roman" w:hAnsiTheme="majorHAnsi" w:cstheme="majorHAnsi"/>
          <w:color w:val="2C2C25"/>
          <w:spacing w:val="1"/>
          <w:sz w:val="14"/>
          <w:szCs w:val="81"/>
          <w:bdr w:val="none" w:sz="0" w:space="0" w:color="auto" w:frame="1"/>
          <w:lang w:val="en-HK" w:eastAsia="zh-CN"/>
        </w:rPr>
        <w:t>I</w:t>
      </w:r>
      <w:r w:rsidRPr="003E7496">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3E7496">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3E7496">
        <w:rPr>
          <w:rFonts w:asciiTheme="majorHAnsi" w:eastAsia="Cambria" w:hAnsiTheme="majorHAnsi" w:cstheme="majorHAnsi"/>
          <w:u w:val="single"/>
          <w:lang w:val="en-HK" w:eastAsia="zh-CN"/>
        </w:rPr>
        <w:t xml:space="preserve">, a predictable backlash has also emerged. </w:t>
      </w:r>
      <w:r w:rsidRPr="003E7496">
        <w:rPr>
          <w:rFonts w:asciiTheme="majorHAnsi" w:eastAsia="Cambria" w:hAnsiTheme="majorHAnsi" w:cstheme="majorHAnsi"/>
          <w:highlight w:val="yellow"/>
          <w:u w:val="single"/>
          <w:lang w:val="en-HK" w:eastAsia="zh-CN"/>
        </w:rPr>
        <w:t>Legislators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in</w:t>
      </w:r>
      <w:r w:rsidRPr="003E7496">
        <w:rPr>
          <w:rFonts w:asciiTheme="majorHAnsi" w:eastAsia="Cambria" w:hAnsiTheme="majorHAnsi" w:cstheme="majorHAnsi"/>
          <w:u w:val="single"/>
          <w:lang w:val="en-HK" w:eastAsia="zh-CN"/>
        </w:rPr>
        <w:t xml:space="preserve"> some states that were </w:t>
      </w:r>
      <w:r w:rsidRPr="003E7496">
        <w:rPr>
          <w:rFonts w:asciiTheme="majorHAnsi" w:eastAsia="Cambria" w:hAnsiTheme="majorHAnsi" w:cstheme="majorHAnsi"/>
          <w:highlight w:val="yellow"/>
          <w:u w:val="single"/>
          <w:lang w:val="en-HK" w:eastAsia="zh-CN"/>
        </w:rPr>
        <w:t xml:space="preserve">hotbeds of teacher activism are </w:t>
      </w:r>
      <w:hyperlink r:id="rId18" w:tgtFrame="_blank" w:history="1">
        <w:r w:rsidRPr="003E7496">
          <w:rPr>
            <w:rFonts w:asciiTheme="majorHAnsi" w:eastAsia="Cambria" w:hAnsiTheme="majorHAnsi" w:cstheme="majorHAnsi"/>
            <w:highlight w:val="yellow"/>
            <w:u w:val="single"/>
            <w:lang w:val="en-HK" w:eastAsia="zh-CN"/>
          </w:rPr>
          <w:t>introducing bills</w:t>
        </w:r>
      </w:hyperlink>
      <w:r w:rsidRPr="003E7496">
        <w:rPr>
          <w:rFonts w:asciiTheme="majorHAnsi" w:eastAsia="Cambria" w:hAnsiTheme="majorHAnsi" w:cstheme="majorHAnsi"/>
          <w:highlight w:val="yellow"/>
          <w:u w:val="single"/>
          <w:lang w:val="en-HK" w:eastAsia="zh-CN"/>
        </w:rPr>
        <w:t xml:space="preserve"> to</w:t>
      </w:r>
      <w:r w:rsidRPr="003E7496">
        <w:rPr>
          <w:rFonts w:asciiTheme="majorHAnsi" w:eastAsia="Cambria" w:hAnsiTheme="majorHAnsi" w:cstheme="majorHAnsi"/>
          <w:u w:val="single"/>
          <w:lang w:val="en-HK" w:eastAsia="zh-CN"/>
        </w:rPr>
        <w:t xml:space="preserve"> explicitly </w:t>
      </w:r>
      <w:r w:rsidRPr="003E7496">
        <w:rPr>
          <w:rFonts w:asciiTheme="majorHAnsi" w:eastAsia="Cambria" w:hAnsiTheme="majorHAnsi" w:cstheme="majorHAnsi"/>
          <w:highlight w:val="yellow"/>
          <w:u w:val="single"/>
          <w:lang w:val="en-HK" w:eastAsia="zh-CN"/>
        </w:rPr>
        <w:t>prohibit walkouts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or punish teachers</w:t>
      </w:r>
      <w:r w:rsidRPr="003E7496">
        <w:rPr>
          <w:rFonts w:asciiTheme="majorHAnsi" w:eastAsia="Cambria" w:hAnsiTheme="majorHAnsi" w:cstheme="majorHAnsi"/>
          <w:u w:val="single"/>
          <w:lang w:val="en-HK" w:eastAsia="zh-CN"/>
        </w:rPr>
        <w:t xml:space="preserve"> who participate, often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a sprinkling of </w:t>
      </w:r>
      <w:r w:rsidRPr="003E7496">
        <w:rPr>
          <w:rFonts w:asciiTheme="majorHAnsi" w:eastAsia="Cambria" w:hAnsiTheme="majorHAnsi" w:cstheme="majorHAnsi"/>
          <w:highlight w:val="yellow"/>
          <w:u w:val="single"/>
          <w:lang w:val="en-HK" w:eastAsia="zh-CN"/>
        </w:rPr>
        <w:t>additional anti-union 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b/>
          <w:bCs/>
          <w:highlight w:val="yellow"/>
          <w:u w:val="single"/>
          <w:lang w:val="en-HK" w:eastAsia="zh-CN"/>
        </w:rPr>
        <w:t xml:space="preserve">Weakening </w:t>
      </w:r>
      <w:r w:rsidRPr="003E7496">
        <w:rPr>
          <w:rFonts w:asciiTheme="majorHAnsi" w:eastAsia="Cambria" w:hAnsiTheme="majorHAnsi" w:cstheme="majorHAnsi"/>
          <w:b/>
          <w:bCs/>
          <w:highlight w:val="yellow"/>
          <w:u w:val="single"/>
          <w:lang w:val="en-HK" w:eastAsia="zh-CN"/>
        </w:rPr>
        <w:lastRenderedPageBreak/>
        <w:t>unions and refusing to invest in education</w:t>
      </w:r>
      <w:r w:rsidRPr="003E7496">
        <w:rPr>
          <w:rFonts w:asciiTheme="majorHAnsi" w:eastAsia="Cambria" w:hAnsiTheme="majorHAnsi" w:cstheme="majorHAnsi"/>
          <w:u w:val="single"/>
          <w:lang w:val="en-HK" w:eastAsia="zh-CN"/>
        </w:rPr>
        <w:t xml:space="preserve"> are long-standing conservative tenets, and these bills are evidence that we should expect conservative policymakers to return to them as soon as they believe them to be politically viable. </w:t>
      </w:r>
      <w:r w:rsidRPr="003E7496">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3E7496">
        <w:rPr>
          <w:rFonts w:asciiTheme="majorHAnsi" w:eastAsia="Times New Roman" w:hAnsiTheme="majorHAnsi" w:cstheme="majorHAnsi"/>
          <w:color w:val="2C2C25"/>
          <w:spacing w:val="1"/>
          <w:sz w:val="14"/>
          <w:lang w:val="en-HK" w:eastAsia="zh-CN"/>
        </w:rPr>
        <w:t xml:space="preserve">. The </w:t>
      </w:r>
      <w:hyperlink r:id="rId20"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3E7496">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result</w:t>
        </w:r>
      </w:hyperlink>
      <w:r w:rsidRPr="003E7496">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3E7496">
        <w:rPr>
          <w:rFonts w:asciiTheme="majorHAnsi" w:eastAsia="Times New Roman" w:hAnsiTheme="majorHAnsi" w:cstheme="majorHAnsi"/>
          <w:color w:val="2C2C25"/>
          <w:spacing w:val="1"/>
          <w:sz w:val="14"/>
          <w:lang w:val="en-HK" w:eastAsia="zh-CN"/>
        </w:rPr>
        <w:t xml:space="preserve">, students learning from </w:t>
      </w:r>
      <w:hyperlink r:id="rId23"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3E7496">
        <w:rPr>
          <w:rFonts w:asciiTheme="majorHAnsi" w:eastAsia="Times New Roman" w:hAnsiTheme="majorHAnsi" w:cstheme="majorHAnsi"/>
          <w:color w:val="2C2C25"/>
          <w:spacing w:val="1"/>
          <w:sz w:val="14"/>
          <w:lang w:val="en-HK" w:eastAsia="zh-CN"/>
        </w:rPr>
        <w:t xml:space="preserve">, high teacher turnover, and staff </w:t>
      </w:r>
      <w:hyperlink r:id="rId24"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3E7496">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25"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3E7496">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3E7496">
        <w:rPr>
          <w:rFonts w:asciiTheme="majorHAnsi" w:eastAsia="Times New Roman" w:hAnsiTheme="majorHAnsi" w:cstheme="majorHAnsi"/>
          <w:color w:val="2C2C25"/>
          <w:spacing w:val="1"/>
          <w:sz w:val="14"/>
          <w:lang w:val="en-HK" w:eastAsia="zh-CN"/>
        </w:rPr>
        <w:t xml:space="preserve"> agreed to enact significant </w:t>
      </w:r>
      <w:hyperlink r:id="rId27"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3E7496">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28"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3E7496">
        <w:rPr>
          <w:rFonts w:asciiTheme="majorHAnsi" w:eastAsia="Times New Roman" w:hAnsiTheme="majorHAnsi" w:cstheme="majorHAnsi"/>
          <w:color w:val="2C2C25"/>
          <w:spacing w:val="1"/>
          <w:sz w:val="14"/>
          <w:lang w:val="en-HK" w:eastAsia="zh-CN"/>
        </w:rPr>
        <w:t xml:space="preserve"> that provided a </w:t>
      </w:r>
      <w:hyperlink r:id="rId29"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3E7496">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3E7496">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3E7496">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3E7496">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3E7496">
        <w:rPr>
          <w:rFonts w:asciiTheme="majorHAnsi" w:eastAsia="Times New Roman" w:hAnsiTheme="majorHAnsi" w:cstheme="majorHAnsi"/>
          <w:color w:val="2C2C25"/>
          <w:spacing w:val="1"/>
          <w:sz w:val="14"/>
          <w:lang w:val="en-HK" w:eastAsia="zh-CN"/>
        </w:rPr>
        <w:t xml:space="preserve">, particularly in the states where walkouts occurred. </w:t>
      </w:r>
      <w:r w:rsidRPr="003E7496">
        <w:rPr>
          <w:rFonts w:asciiTheme="majorHAnsi" w:eastAsia="Cambria" w:hAnsiTheme="majorHAnsi" w:cstheme="majorHAnsi"/>
          <w:u w:val="single"/>
          <w:lang w:val="en-HK" w:eastAsia="zh-CN"/>
        </w:rPr>
        <w:t xml:space="preserve">But even as some conservative </w:t>
      </w:r>
      <w:r w:rsidRPr="003E7496">
        <w:rPr>
          <w:rFonts w:asciiTheme="majorHAnsi" w:eastAsia="Cambria" w:hAnsiTheme="majorHAnsi" w:cstheme="majorHAnsi"/>
          <w:highlight w:val="yellow"/>
          <w:u w:val="single"/>
          <w:lang w:val="en-HK" w:eastAsia="zh-CN"/>
        </w:rPr>
        <w:t>policymakers</w:t>
      </w:r>
      <w:r w:rsidRPr="003E7496">
        <w:rPr>
          <w:rFonts w:asciiTheme="majorHAnsi" w:eastAsia="Cambria" w:hAnsiTheme="majorHAnsi" w:cstheme="majorHAnsi"/>
          <w:u w:val="single"/>
          <w:lang w:val="en-HK" w:eastAsia="zh-CN"/>
        </w:rPr>
        <w:t xml:space="preserve"> agree to raise teacher salaries, as the 2019 legislative sessions have begun, others </w:t>
      </w:r>
      <w:r w:rsidRPr="003E7496">
        <w:rPr>
          <w:rFonts w:asciiTheme="majorHAnsi" w:eastAsia="Cambria" w:hAnsiTheme="majorHAnsi" w:cstheme="majorHAnsi"/>
          <w:highlight w:val="yellow"/>
          <w:u w:val="single"/>
          <w:lang w:val="en-HK" w:eastAsia="zh-CN"/>
        </w:rPr>
        <w:t>in Arizona, Oklahoma, and West Virginia have introduced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bills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that</w:t>
      </w:r>
      <w:r w:rsidRPr="003E7496">
        <w:rPr>
          <w:rFonts w:asciiTheme="majorHAnsi" w:eastAsia="Cambria" w:hAnsiTheme="majorHAnsi" w:cstheme="majorHAnsi"/>
          <w:u w:val="single"/>
          <w:lang w:val="en-HK" w:eastAsia="zh-CN"/>
        </w:rPr>
        <w:t xml:space="preserve"> would </w:t>
      </w:r>
      <w:hyperlink r:id="rId33" w:tgtFrame="_blank" w:history="1">
        <w:r w:rsidRPr="003E7496">
          <w:rPr>
            <w:rFonts w:asciiTheme="majorHAnsi" w:eastAsia="Cambria" w:hAnsiTheme="majorHAnsi" w:cstheme="majorHAnsi"/>
            <w:highlight w:val="yellow"/>
            <w:u w:val="single"/>
            <w:lang w:val="en-HK" w:eastAsia="zh-CN"/>
          </w:rPr>
          <w:t>make walkouts illegal</w:t>
        </w:r>
      </w:hyperlink>
      <w:r w:rsidRPr="003E7496">
        <w:rPr>
          <w:rFonts w:asciiTheme="majorHAnsi" w:eastAsia="Cambria" w:hAnsiTheme="majorHAnsi" w:cstheme="majorHAnsi"/>
          <w:highlight w:val="yellow"/>
          <w:u w:val="single"/>
          <w:lang w:val="en-HK" w:eastAsia="zh-CN"/>
        </w:rPr>
        <w:t xml:space="preserve"> and penalize</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with</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fines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loss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of</w:t>
      </w:r>
      <w:r w:rsidRPr="003E7496">
        <w:rPr>
          <w:rFonts w:asciiTheme="majorHAnsi" w:eastAsia="Cambria" w:hAnsiTheme="majorHAnsi" w:cstheme="majorHAnsi"/>
          <w:u w:val="single"/>
          <w:lang w:val="en-HK" w:eastAsia="zh-CN"/>
        </w:rPr>
        <w:t xml:space="preserve"> their teaching </w:t>
      </w:r>
      <w:r w:rsidRPr="003E7496">
        <w:rPr>
          <w:rFonts w:asciiTheme="majorHAnsi" w:eastAsia="Cambria" w:hAnsiTheme="majorHAnsi" w:cstheme="majorHAnsi"/>
          <w:highlight w:val="yellow"/>
          <w:u w:val="single"/>
          <w:lang w:val="en-HK" w:eastAsia="zh-CN"/>
        </w:rPr>
        <w:t>licenses</w:t>
      </w:r>
      <w:r w:rsidRPr="003E7496">
        <w:rPr>
          <w:rFonts w:asciiTheme="majorHAnsi" w:eastAsia="Cambria" w:hAnsiTheme="majorHAnsi" w:cstheme="majorHAnsi"/>
          <w:u w:val="single"/>
          <w:lang w:val="en-HK" w:eastAsia="zh-CN"/>
        </w:rPr>
        <w:t xml:space="preserve">, or even </w:t>
      </w:r>
      <w:hyperlink r:id="rId34" w:tgtFrame="_blank" w:history="1">
        <w:r w:rsidRPr="003E7496">
          <w:rPr>
            <w:rFonts w:asciiTheme="majorHAnsi" w:eastAsia="Cambria" w:hAnsiTheme="majorHAnsi" w:cstheme="majorHAnsi"/>
            <w:highlight w:val="yellow"/>
            <w:u w:val="single"/>
            <w:lang w:val="en-HK" w:eastAsia="zh-CN"/>
          </w:rPr>
          <w:t>jail time</w:t>
        </w:r>
      </w:hyperlink>
      <w:r w:rsidRPr="003E7496">
        <w:rPr>
          <w:rFonts w:asciiTheme="majorHAnsi" w:eastAsia="Cambria" w:hAnsiTheme="majorHAnsi" w:cstheme="majorHAnsi"/>
          <w:u w:val="single"/>
          <w:lang w:val="en-HK" w:eastAsia="zh-CN"/>
        </w:rPr>
        <w:t xml:space="preserve">. Some of the bills also contain </w:t>
      </w:r>
      <w:r w:rsidRPr="003E7496">
        <w:rPr>
          <w:rFonts w:asciiTheme="majorHAnsi" w:eastAsia="Cambria" w:hAnsiTheme="majorHAnsi" w:cstheme="majorHAnsi"/>
          <w:highlight w:val="yellow"/>
          <w:u w:val="single"/>
          <w:lang w:val="en-HK" w:eastAsia="zh-CN"/>
        </w:rPr>
        <w:t>provisions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designed</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specifically</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to</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such as </w:t>
      </w:r>
      <w:r w:rsidRPr="003E7496">
        <w:rPr>
          <w:rFonts w:asciiTheme="majorHAnsi" w:eastAsia="Cambria" w:hAnsiTheme="majorHAnsi" w:cstheme="majorHAnsi"/>
          <w:highlight w:val="yellow"/>
          <w:u w:val="single"/>
          <w:lang w:val="en-HK" w:eastAsia="zh-CN"/>
        </w:rPr>
        <w:t xml:space="preserve">a requirement that teachers must </w:t>
      </w:r>
      <w:hyperlink r:id="rId35" w:tgtFrame="_blank" w:history="1">
        <w:r w:rsidRPr="003E7496">
          <w:rPr>
            <w:rFonts w:asciiTheme="majorHAnsi" w:eastAsia="Cambria" w:hAnsiTheme="majorHAnsi" w:cstheme="majorHAnsi"/>
            <w:highlight w:val="yellow"/>
            <w:u w:val="single"/>
            <w:lang w:val="en-HK" w:eastAsia="zh-CN"/>
          </w:rPr>
          <w:t>opt in to dues each year</w:t>
        </w:r>
      </w:hyperlink>
      <w:r w:rsidRPr="003E7496">
        <w:rPr>
          <w:rFonts w:asciiTheme="majorHAnsi" w:eastAsia="Cambria" w:hAnsiTheme="majorHAnsi" w:cstheme="majorHAnsi"/>
          <w:highlight w:val="yellow"/>
          <w:u w:val="single"/>
          <w:lang w:val="en-HK" w:eastAsia="zh-CN"/>
        </w:rPr>
        <w:t>,</w:t>
      </w:r>
      <w:r w:rsidRPr="003E7496">
        <w:rPr>
          <w:rFonts w:asciiTheme="majorHAnsi" w:eastAsia="Cambria" w:hAnsiTheme="majorHAnsi" w:cstheme="majorHAnsi"/>
          <w:u w:val="single"/>
          <w:lang w:val="en-HK" w:eastAsia="zh-CN"/>
        </w:rPr>
        <w:t xml:space="preserve"> which sponsors hope </w:t>
      </w:r>
      <w:r w:rsidRPr="003E7496">
        <w:rPr>
          <w:rFonts w:asciiTheme="majorHAnsi" w:eastAsia="Cambria" w:hAnsiTheme="majorHAnsi" w:cstheme="majorHAnsi"/>
          <w:highlight w:val="yellow"/>
          <w:u w:val="single"/>
          <w:lang w:val="en-HK" w:eastAsia="zh-CN"/>
        </w:rPr>
        <w:t>will reduce membership by adding an extra step to the process</w:t>
      </w:r>
      <w:r w:rsidRPr="003E7496">
        <w:rPr>
          <w:rFonts w:asciiTheme="majorHAnsi" w:eastAsia="Cambria" w:hAnsiTheme="majorHAnsi" w:cstheme="majorHAnsi"/>
          <w:u w:val="single"/>
          <w:lang w:val="en-HK" w:eastAsia="zh-CN"/>
        </w:rPr>
        <w:t xml:space="preserve">. Legislators in walkout states have also introduced </w:t>
      </w:r>
      <w:r w:rsidRPr="003E7496">
        <w:rPr>
          <w:rFonts w:asciiTheme="majorHAnsi" w:eastAsia="Cambria" w:hAnsiTheme="majorHAnsi" w:cstheme="majorHAnsi"/>
          <w:highlight w:val="yellow"/>
          <w:u w:val="single"/>
          <w:lang w:val="en-HK" w:eastAsia="zh-CN"/>
        </w:rPr>
        <w:t xml:space="preserve">stand-alone proposals designed to </w:t>
      </w:r>
      <w:r w:rsidRPr="003E7496">
        <w:rPr>
          <w:rFonts w:asciiTheme="majorHAnsi" w:eastAsia="Cambria" w:hAnsiTheme="majorHAnsi" w:cstheme="majorHAnsi"/>
          <w:b/>
          <w:bCs/>
          <w:highlight w:val="yellow"/>
          <w:u w:val="single"/>
          <w:lang w:val="en-HK" w:eastAsia="zh-CN"/>
        </w:rPr>
        <w:t xml:space="preserve">make </w:t>
      </w:r>
      <w:r w:rsidRPr="003E7496">
        <w:rPr>
          <w:rFonts w:asciiTheme="majorHAnsi" w:eastAsia="Cambria" w:hAnsiTheme="majorHAnsi" w:cstheme="majorHAnsi"/>
          <w:b/>
          <w:bCs/>
          <w:u w:val="single"/>
          <w:lang w:val="en-HK" w:eastAsia="zh-CN"/>
        </w:rPr>
        <w:t xml:space="preserve">union </w:t>
      </w:r>
      <w:r w:rsidRPr="003E7496">
        <w:rPr>
          <w:rFonts w:asciiTheme="majorHAnsi" w:eastAsia="Cambria" w:hAnsiTheme="majorHAnsi" w:cstheme="majorHAnsi"/>
          <w:b/>
          <w:bCs/>
          <w:highlight w:val="yellow"/>
          <w:u w:val="single"/>
          <w:lang w:val="en-HK" w:eastAsia="zh-CN"/>
        </w:rPr>
        <w:t xml:space="preserve">membership </w:t>
      </w:r>
      <w:r w:rsidRPr="003E7496">
        <w:rPr>
          <w:rFonts w:asciiTheme="majorHAnsi" w:eastAsia="Cambria" w:hAnsiTheme="majorHAnsi" w:cstheme="majorHAnsi"/>
          <w:b/>
          <w:bCs/>
          <w:u w:val="single"/>
          <w:lang w:val="en-HK" w:eastAsia="zh-CN"/>
        </w:rPr>
        <w:t>more difficult</w:t>
      </w:r>
      <w:r w:rsidRPr="003E7496">
        <w:rPr>
          <w:rFonts w:asciiTheme="majorHAnsi" w:eastAsia="Cambria" w:hAnsiTheme="majorHAnsi" w:cstheme="majorHAnsi"/>
          <w:u w:val="single"/>
          <w:lang w:val="en-HK" w:eastAsia="zh-CN"/>
        </w:rPr>
        <w:t xml:space="preserve"> and, therefore</w:t>
      </w:r>
      <w:r w:rsidRPr="003E7496">
        <w:rPr>
          <w:rFonts w:asciiTheme="majorHAnsi" w:eastAsia="Cambria" w:hAnsiTheme="majorHAnsi" w:cstheme="majorHAnsi"/>
          <w:highlight w:val="yellow"/>
          <w:u w:val="single"/>
          <w:lang w:val="en-HK" w:eastAsia="zh-CN"/>
        </w:rPr>
        <w:t>, less likely</w:t>
      </w:r>
      <w:r w:rsidRPr="003E7496">
        <w:rPr>
          <w:rFonts w:asciiTheme="majorHAnsi" w:eastAsia="Cambria" w:hAnsiTheme="majorHAnsi" w:cstheme="majorHAnsi"/>
          <w:u w:val="single"/>
          <w:lang w:val="en-HK" w:eastAsia="zh-CN"/>
        </w:rPr>
        <w:t xml:space="preserve">, such as a </w:t>
      </w:r>
      <w:r w:rsidRPr="003E7496">
        <w:rPr>
          <w:rFonts w:asciiTheme="majorHAnsi" w:eastAsia="Cambria" w:hAnsiTheme="majorHAnsi" w:cstheme="majorHAnsi"/>
          <w:highlight w:val="yellow"/>
          <w:u w:val="single"/>
          <w:lang w:val="en-HK" w:eastAsia="zh-CN"/>
        </w:rPr>
        <w:t>prohibition on</w:t>
      </w:r>
      <w:r w:rsidRPr="003E7496">
        <w:rPr>
          <w:rFonts w:asciiTheme="majorHAnsi" w:eastAsia="Cambria" w:hAnsiTheme="majorHAnsi" w:cstheme="majorHAnsi"/>
          <w:u w:val="single"/>
          <w:lang w:val="en-HK" w:eastAsia="zh-CN"/>
        </w:rPr>
        <w:t xml:space="preserve"> districts </w:t>
      </w:r>
      <w:hyperlink r:id="rId36" w:tgtFrame="_blank" w:history="1">
        <w:r w:rsidRPr="003E7496">
          <w:rPr>
            <w:rFonts w:asciiTheme="majorHAnsi" w:eastAsia="Cambria" w:hAnsiTheme="majorHAnsi" w:cstheme="majorHAnsi"/>
            <w:highlight w:val="yellow"/>
            <w:u w:val="single"/>
            <w:lang w:val="en-HK" w:eastAsia="zh-CN"/>
          </w:rPr>
          <w:t>withholding union dues</w:t>
        </w:r>
      </w:hyperlink>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from</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paychecks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These backlash bills</w:t>
      </w:r>
      <w:r w:rsidRPr="003E7496">
        <w:rPr>
          <w:rFonts w:asciiTheme="majorHAnsi" w:eastAsia="Cambria" w:hAnsiTheme="majorHAnsi" w:cstheme="majorHAnsi"/>
          <w:u w:val="single"/>
          <w:lang w:val="en-HK" w:eastAsia="zh-CN"/>
        </w:rPr>
        <w:t xml:space="preserve"> hint at a much more familiar conservative education agenda of </w:t>
      </w:r>
      <w:r w:rsidRPr="003E7496">
        <w:rPr>
          <w:rFonts w:asciiTheme="majorHAnsi" w:eastAsia="Cambria" w:hAnsiTheme="majorHAnsi" w:cstheme="majorHAnsi"/>
          <w:highlight w:val="yellow"/>
          <w:u w:val="single"/>
          <w:lang w:val="en-HK" w:eastAsia="zh-CN"/>
        </w:rPr>
        <w:t>slash</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funding and work</w:t>
      </w:r>
      <w:r w:rsidRPr="003E7496">
        <w:rPr>
          <w:rFonts w:asciiTheme="majorHAnsi" w:eastAsia="Cambria" w:hAnsiTheme="majorHAnsi" w:cstheme="majorHAnsi"/>
          <w:u w:val="single"/>
          <w:lang w:val="en-HK" w:eastAsia="zh-CN"/>
        </w:rPr>
        <w:t xml:space="preserve">ing </w:t>
      </w:r>
      <w:r w:rsidRPr="003E7496">
        <w:rPr>
          <w:rFonts w:asciiTheme="majorHAnsi" w:eastAsia="Cambria" w:hAnsiTheme="majorHAnsi" w:cstheme="majorHAnsi"/>
          <w:highlight w:val="yellow"/>
          <w:u w:val="single"/>
          <w:lang w:val="en-HK" w:eastAsia="zh-CN"/>
        </w:rPr>
        <w:t>to weaken</w:t>
      </w:r>
      <w:r w:rsidRPr="003E7496">
        <w:rPr>
          <w:rFonts w:asciiTheme="majorHAnsi" w:eastAsia="Cambria" w:hAnsiTheme="majorHAnsi" w:cstheme="majorHAnsi"/>
          <w:u w:val="single"/>
          <w:lang w:val="en-HK" w:eastAsia="zh-CN"/>
        </w:rPr>
        <w:t xml:space="preserve"> teachers </w:t>
      </w:r>
      <w:r w:rsidRPr="003E7496">
        <w:rPr>
          <w:rFonts w:asciiTheme="majorHAnsi" w:eastAsia="Cambria" w:hAnsiTheme="majorHAnsi" w:cstheme="majorHAnsi"/>
          <w:highlight w:val="yellow"/>
          <w:u w:val="single"/>
          <w:lang w:val="en-HK" w:eastAsia="zh-CN"/>
        </w:rPr>
        <w:t>unions</w:t>
      </w:r>
      <w:r w:rsidRPr="003E7496">
        <w:rPr>
          <w:rFonts w:asciiTheme="majorHAnsi" w:eastAsia="Cambria" w:hAnsiTheme="majorHAnsi" w:cstheme="majorHAnsi"/>
          <w:u w:val="single"/>
          <w:lang w:val="en-HK" w:eastAsia="zh-CN"/>
        </w:rPr>
        <w:t xml:space="preserve">. After all, it is </w:t>
      </w:r>
      <w:r w:rsidRPr="003E7496">
        <w:rPr>
          <w:rFonts w:asciiTheme="majorHAnsi" w:eastAsia="Cambria" w:hAnsiTheme="majorHAnsi" w:cstheme="majorHAnsi"/>
          <w:highlight w:val="yellow"/>
          <w:u w:val="single"/>
          <w:lang w:val="en-HK" w:eastAsia="zh-CN"/>
        </w:rPr>
        <w:t>this agenda</w:t>
      </w:r>
      <w:r w:rsidRPr="003E7496">
        <w:rPr>
          <w:rFonts w:asciiTheme="majorHAnsi" w:eastAsia="Cambria" w:hAnsiTheme="majorHAnsi" w:cstheme="majorHAnsi"/>
          <w:u w:val="single"/>
          <w:lang w:val="en-HK" w:eastAsia="zh-CN"/>
        </w:rPr>
        <w:t xml:space="preserve"> that </w:t>
      </w:r>
      <w:r w:rsidRPr="003E7496">
        <w:rPr>
          <w:rFonts w:asciiTheme="majorHAnsi" w:eastAsia="Cambria" w:hAnsiTheme="majorHAnsi" w:cstheme="majorHAnsi"/>
          <w:highlight w:val="yellow"/>
          <w:u w:val="single"/>
          <w:lang w:val="en-HK" w:eastAsia="zh-CN"/>
        </w:rPr>
        <w:t>led to stagnant</w:t>
      </w:r>
      <w:r w:rsidRPr="003E7496">
        <w:rPr>
          <w:rFonts w:asciiTheme="majorHAnsi" w:eastAsia="Cambria" w:hAnsiTheme="majorHAnsi" w:cstheme="majorHAnsi"/>
          <w:u w:val="single"/>
          <w:lang w:val="en-HK" w:eastAsia="zh-CN"/>
        </w:rPr>
        <w:t xml:space="preserve"> teacher </w:t>
      </w:r>
      <w:r w:rsidRPr="003E7496">
        <w:rPr>
          <w:rFonts w:asciiTheme="majorHAnsi" w:eastAsia="Cambria" w:hAnsiTheme="majorHAnsi" w:cstheme="majorHAnsi"/>
          <w:highlight w:val="yellow"/>
          <w:u w:val="single"/>
          <w:lang w:val="en-HK" w:eastAsia="zh-CN"/>
        </w:rPr>
        <w:t>salaries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deplorable</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conditions</w:t>
      </w:r>
      <w:r w:rsidRPr="003E7496">
        <w:rPr>
          <w:rFonts w:asciiTheme="majorHAnsi" w:eastAsia="Cambria" w:hAnsiTheme="majorHAnsi" w:cstheme="majorHAnsi"/>
          <w:u w:val="single"/>
          <w:lang w:val="en-HK" w:eastAsia="zh-CN"/>
        </w:rPr>
        <w:t xml:space="preserve"> in many school buildings, </w:t>
      </w:r>
      <w:r w:rsidRPr="003E7496">
        <w:rPr>
          <w:rFonts w:asciiTheme="majorHAnsi" w:eastAsia="Cambria" w:hAnsiTheme="majorHAnsi" w:cstheme="majorHAnsi"/>
          <w:highlight w:val="yellow"/>
          <w:u w:val="single"/>
          <w:lang w:val="en-HK" w:eastAsia="zh-CN"/>
        </w:rPr>
        <w:t>and consequences</w:t>
      </w:r>
      <w:r w:rsidRPr="003E7496">
        <w:rPr>
          <w:rFonts w:asciiTheme="majorHAnsi" w:eastAsia="Cambria" w:hAnsiTheme="majorHAnsi" w:cstheme="majorHAnsi"/>
          <w:u w:val="single"/>
          <w:lang w:val="en-HK" w:eastAsia="zh-CN"/>
        </w:rPr>
        <w:t xml:space="preserve"> </w:t>
      </w:r>
      <w:r w:rsidRPr="003E7496">
        <w:rPr>
          <w:rFonts w:asciiTheme="majorHAnsi" w:eastAsia="Cambria" w:hAnsiTheme="majorHAnsi" w:cstheme="majorHAnsi"/>
          <w:highlight w:val="yellow"/>
          <w:u w:val="single"/>
          <w:lang w:val="en-HK" w:eastAsia="zh-CN"/>
        </w:rPr>
        <w:t>for</w:t>
      </w:r>
      <w:r w:rsidRPr="003E7496">
        <w:rPr>
          <w:rFonts w:asciiTheme="majorHAnsi" w:eastAsia="Cambria" w:hAnsiTheme="majorHAnsi" w:cstheme="majorHAnsi"/>
          <w:u w:val="single"/>
          <w:lang w:val="en-HK" w:eastAsia="zh-CN"/>
        </w:rPr>
        <w:t xml:space="preserve"> students whose schools were </w:t>
      </w:r>
      <w:r w:rsidRPr="003E7496">
        <w:rPr>
          <w:rFonts w:asciiTheme="majorHAnsi" w:eastAsia="Cambria" w:hAnsiTheme="majorHAnsi" w:cstheme="majorHAnsi"/>
          <w:highlight w:val="yellow"/>
          <w:u w:val="single"/>
          <w:lang w:val="en-HK" w:eastAsia="zh-CN"/>
        </w:rPr>
        <w:t>chronically underfunded</w:t>
      </w:r>
      <w:r w:rsidRPr="003E7496">
        <w:rPr>
          <w:rFonts w:asciiTheme="majorHAnsi" w:eastAsia="Cambria" w:hAnsiTheme="majorHAnsi" w:cstheme="majorHAnsi"/>
          <w:u w:val="single"/>
          <w:lang w:val="en-HK" w:eastAsia="zh-CN"/>
        </w:rPr>
        <w:t xml:space="preserve"> in the first place. </w:t>
      </w:r>
      <w:r w:rsidRPr="003E7496">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3E7496">
        <w:rPr>
          <w:rFonts w:asciiTheme="majorHAnsi" w:eastAsia="Cambria" w:hAnsiTheme="majorHAnsi" w:cstheme="majorHAnsi"/>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F1606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54DAB"/>
    <w:multiLevelType w:val="hybridMultilevel"/>
    <w:tmpl w:val="44723F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872E6E"/>
    <w:multiLevelType w:val="hybridMultilevel"/>
    <w:tmpl w:val="B70A9B94"/>
    <w:lvl w:ilvl="0" w:tplc="2DC6889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7D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AE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64F"/>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1E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7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07D1E"/>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C309A"/>
  <w14:defaultImageDpi w14:val="300"/>
  <w15:docId w15:val="{E461599F-F191-154D-BE5B-4223EBC88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D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7D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D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C07D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C07D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D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D1E"/>
  </w:style>
  <w:style w:type="character" w:customStyle="1" w:styleId="Heading1Char">
    <w:name w:val="Heading 1 Char"/>
    <w:aliases w:val="Pocket Char"/>
    <w:basedOn w:val="DefaultParagraphFont"/>
    <w:link w:val="Heading1"/>
    <w:uiPriority w:val="9"/>
    <w:rsid w:val="00C07D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D1E"/>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C07D1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C07D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07D1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C07D1E"/>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s"/>
    <w:basedOn w:val="DefaultParagraphFont"/>
    <w:link w:val="textbold"/>
    <w:uiPriority w:val="20"/>
    <w:qFormat/>
    <w:rsid w:val="00C07D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7D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C07D1E"/>
    <w:rPr>
      <w:color w:val="auto"/>
      <w:u w:val="none"/>
    </w:rPr>
  </w:style>
  <w:style w:type="paragraph" w:styleId="DocumentMap">
    <w:name w:val="Document Map"/>
    <w:basedOn w:val="Normal"/>
    <w:link w:val="DocumentMapChar"/>
    <w:uiPriority w:val="99"/>
    <w:semiHidden/>
    <w:unhideWhenUsed/>
    <w:rsid w:val="00C07D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D1E"/>
    <w:rPr>
      <w:rFonts w:ascii="Lucida Grande" w:hAnsi="Lucida Grande" w:cs="Lucida Grande"/>
    </w:rPr>
  </w:style>
  <w:style w:type="paragraph" w:styleId="ListParagraph">
    <w:name w:val="List Paragraph"/>
    <w:basedOn w:val="Normal"/>
    <w:uiPriority w:val="34"/>
    <w:qFormat/>
    <w:rsid w:val="00C07D1E"/>
    <w:pPr>
      <w:ind w:left="720"/>
      <w:contextualSpacing/>
    </w:pPr>
  </w:style>
  <w:style w:type="paragraph" w:customStyle="1" w:styleId="textbold">
    <w:name w:val="text bold"/>
    <w:basedOn w:val="Normal"/>
    <w:link w:val="Emphasis"/>
    <w:uiPriority w:val="20"/>
    <w:qFormat/>
    <w:rsid w:val="00C07D1E"/>
    <w:pPr>
      <w:ind w:left="720"/>
      <w:jc w:val="both"/>
    </w:pPr>
    <w:rPr>
      <w:b/>
      <w:iCs/>
      <w:u w:val="single"/>
    </w:rPr>
  </w:style>
  <w:style w:type="paragraph" w:customStyle="1" w:styleId="Emphasis1">
    <w:name w:val="Emphasis1"/>
    <w:basedOn w:val="Normal"/>
    <w:autoRedefine/>
    <w:uiPriority w:val="20"/>
    <w:qFormat/>
    <w:rsid w:val="005B764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americanprogress.org/issues/education-k-12/reports/2018/09/20/457750/fixing-chronic-disinvestment-k-12-schools/" TargetMode="External"/><Relationship Id="rId29" Type="http://schemas.openxmlformats.org/officeDocument/2006/relationships/hyperlink" Target="https://www.reuters.com/article/us-usa-education-arizona/arizona-governor-signs-bill-to-boost-teachers-wages-amid-strike-idUSKBN1I40N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11</Pages>
  <Words>6756</Words>
  <Characters>38514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2021-12-03T15:40:00Z</dcterms:created>
  <dcterms:modified xsi:type="dcterms:W3CDTF">2021-12-03T16:14:00Z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