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E63CE" w14:textId="77777777" w:rsidR="003639D8" w:rsidRDefault="003639D8" w:rsidP="003639D8">
      <w:pPr>
        <w:pStyle w:val="Heading2"/>
      </w:pPr>
      <w:r>
        <w:t>T Strike</w:t>
      </w:r>
    </w:p>
    <w:p w14:paraId="7F27BFB5" w14:textId="77777777" w:rsidR="003639D8" w:rsidRDefault="003639D8" w:rsidP="003639D8">
      <w:pPr>
        <w:pStyle w:val="Heading4"/>
      </w:pPr>
      <w:r>
        <w:t>Interpretation—a strike is a collective industrial action taken by laborers, “workers”, that entails stopping work done in exchange for money, not communicative action. The right to strike must be a legal guarantee of a government</w:t>
      </w:r>
    </w:p>
    <w:p w14:paraId="32F275D8" w14:textId="77777777" w:rsidR="003639D8" w:rsidRPr="00F2041E" w:rsidRDefault="003639D8" w:rsidP="003639D8">
      <w:pPr>
        <w:pStyle w:val="Heading4"/>
      </w:pPr>
      <w:r w:rsidRPr="0006715F">
        <w:t>Strikers</w:t>
      </w:r>
      <w:r>
        <w:t xml:space="preserve"> are made up of a group of industrial workers advocating for material resolving disputes about working conditions—it can’t be individual action. </w:t>
      </w:r>
      <w:proofErr w:type="spellStart"/>
      <w:r w:rsidRPr="00F2041E">
        <w:t>Malebye</w:t>
      </w:r>
      <w:proofErr w:type="spellEnd"/>
      <w:r w:rsidRPr="00F2041E">
        <w:t xml:space="preserve"> 14</w:t>
      </w:r>
    </w:p>
    <w:p w14:paraId="1A9FB94F" w14:textId="77777777" w:rsidR="003639D8" w:rsidRPr="006D5F34" w:rsidRDefault="003639D8" w:rsidP="003639D8">
      <w:pPr>
        <w:rPr>
          <w:rFonts w:ascii="Times New Roman" w:hAnsi="Times New Roman" w:cs="Times New Roman"/>
          <w:sz w:val="20"/>
          <w:szCs w:val="20"/>
        </w:rPr>
      </w:pPr>
      <w:r w:rsidRPr="0006715F">
        <w:rPr>
          <w:rFonts w:ascii="Times New Roman" w:hAnsi="Times New Roman" w:cs="Times New Roman"/>
          <w:sz w:val="20"/>
          <w:szCs w:val="20"/>
        </w:rPr>
        <w:t xml:space="preserve">Cynthia </w:t>
      </w:r>
      <w:proofErr w:type="spellStart"/>
      <w:r w:rsidRPr="0006715F">
        <w:rPr>
          <w:rFonts w:ascii="Times New Roman" w:hAnsi="Times New Roman" w:cs="Times New Roman"/>
          <w:sz w:val="20"/>
          <w:szCs w:val="20"/>
        </w:rPr>
        <w:t>Dithato</w:t>
      </w:r>
      <w:proofErr w:type="spellEnd"/>
      <w:r w:rsidRPr="0006715F">
        <w:rPr>
          <w:rFonts w:ascii="Times New Roman" w:hAnsi="Times New Roman" w:cs="Times New Roman"/>
          <w:sz w:val="20"/>
          <w:szCs w:val="20"/>
        </w:rPr>
        <w:t xml:space="preserve"> </w:t>
      </w:r>
      <w:proofErr w:type="spellStart"/>
      <w:r w:rsidRPr="0006715F">
        <w:rPr>
          <w:rFonts w:ascii="Times New Roman" w:hAnsi="Times New Roman" w:cs="Times New Roman"/>
          <w:sz w:val="20"/>
          <w:szCs w:val="20"/>
        </w:rPr>
        <w:t>Malebye</w:t>
      </w:r>
      <w:proofErr w:type="spellEnd"/>
      <w:r w:rsidRPr="0006715F">
        <w:rPr>
          <w:rFonts w:ascii="Times New Roman" w:hAnsi="Times New Roman" w:cs="Times New Roman"/>
          <w:sz w:val="20"/>
          <w:szCs w:val="20"/>
        </w:rPr>
        <w:t xml:space="preserve">, Department of Mercantile Law, University of Pretoria, 2014, The Right to Strike in Respect of Employment Relationships and Collective Bargaining.” Dissertation. University of Pretoria, April 2014. </w:t>
      </w:r>
      <w:hyperlink r:id="rId9" w:history="1">
        <w:r w:rsidRPr="0006715F">
          <w:rPr>
            <w:rStyle w:val="Hyperlink"/>
            <w:rFonts w:ascii="Times New Roman" w:hAnsi="Times New Roman" w:cs="Times New Roman"/>
            <w:sz w:val="20"/>
            <w:szCs w:val="20"/>
          </w:rPr>
          <w:t>https://repository.up.ac.za/bitstream/handle/2263/43163/Malebye_Right_2014.pdf?sequence=1</w:t>
        </w:r>
      </w:hyperlink>
    </w:p>
    <w:p w14:paraId="7C94DD5E" w14:textId="77777777" w:rsidR="003639D8" w:rsidRPr="0006715F" w:rsidRDefault="003639D8" w:rsidP="003639D8">
      <w:pPr>
        <w:rPr>
          <w:rFonts w:ascii="Times New Roman" w:hAnsi="Times New Roman" w:cs="Times New Roman"/>
        </w:rPr>
      </w:pPr>
      <w:r w:rsidRPr="0006715F">
        <w:rPr>
          <w:rFonts w:ascii="Times New Roman" w:hAnsi="Times New Roman" w:cs="Times New Roman"/>
        </w:rPr>
        <w:t xml:space="preserve">The </w:t>
      </w:r>
      <w:r w:rsidRPr="008D2ED1">
        <w:rPr>
          <w:rStyle w:val="StyleUnderline"/>
          <w:highlight w:val="yellow"/>
        </w:rPr>
        <w:t>employee in the strike definition includes both current and ex-employees</w:t>
      </w:r>
      <w:r w:rsidRPr="0006715F">
        <w:rPr>
          <w:rFonts w:ascii="Times New Roman" w:hAnsi="Times New Roman" w:cs="Times New Roman"/>
        </w:rPr>
        <w:t xml:space="preserve">.76 </w:t>
      </w:r>
      <w:r w:rsidRPr="009D4A46">
        <w:rPr>
          <w:rStyle w:val="StyleUnderline"/>
          <w:highlight w:val="yellow"/>
        </w:rPr>
        <w:t>The right to strike is a collective action. An individual employee cannot take strike action</w:t>
      </w:r>
      <w:r w:rsidRPr="0006715F">
        <w:rPr>
          <w:rFonts w:ascii="Times New Roman" w:hAnsi="Times New Roman" w:cs="Times New Roman"/>
        </w:rPr>
        <w:t>.</w:t>
      </w:r>
      <w:r w:rsidRPr="0006715F">
        <w:rPr>
          <w:rFonts w:ascii="Times New Roman" w:hAnsi="Times New Roman" w:cs="Times New Roman"/>
          <w:b/>
          <w:bCs/>
          <w:u w:val="single"/>
        </w:rPr>
        <w:t xml:space="preserve">77 </w:t>
      </w:r>
      <w:r w:rsidRPr="009D4A46">
        <w:rPr>
          <w:rFonts w:ascii="Times New Roman" w:hAnsi="Times New Roman" w:cs="Times New Roman"/>
          <w:b/>
          <w:bCs/>
          <w:highlight w:val="yellow"/>
          <w:u w:val="single"/>
        </w:rPr>
        <w:t>The purpose of a strike must be to remedy a grievance or to resolve a disput</w:t>
      </w:r>
      <w:r w:rsidRPr="009D4A46">
        <w:rPr>
          <w:rFonts w:ascii="Times New Roman" w:hAnsi="Times New Roman" w:cs="Times New Roman"/>
          <w:highlight w:val="yellow"/>
        </w:rPr>
        <w:t>e</w:t>
      </w:r>
      <w:r w:rsidRPr="0006715F">
        <w:rPr>
          <w:rFonts w:ascii="Times New Roman" w:hAnsi="Times New Roman" w:cs="Times New Roman"/>
        </w:rPr>
        <w:t xml:space="preserve">. Where employees had taken strike action demanding the dismissal or removal of a supervisor after giving an undertaking that they would report to the supervisor, following an earlier dispute over the same issue, the Court held that through such an undertaking, the employees had by implication abandoned their demand, thus rendering the strike unprotected.78 If </w:t>
      </w:r>
      <w:r w:rsidRPr="0006715F">
        <w:rPr>
          <w:rFonts w:ascii="Times New Roman" w:hAnsi="Times New Roman" w:cs="Times New Roman"/>
          <w:b/>
          <w:bCs/>
          <w:u w:val="single"/>
        </w:rPr>
        <w:t>employees refuse to work, but are not seeking to remedy a grievance or resolve a dispute, there is no strike in terms of the definition</w:t>
      </w:r>
      <w:r w:rsidRPr="0006715F">
        <w:rPr>
          <w:rFonts w:ascii="Times New Roman" w:hAnsi="Times New Roman" w:cs="Times New Roman"/>
        </w:rPr>
        <w:t>.79 A court must have regard to substance rather than form and “ascertain the real underlying dispute”.80</w:t>
      </w:r>
      <w:r w:rsidRPr="00D83A94">
        <w:rPr>
          <w:rStyle w:val="Emphasis"/>
        </w:rPr>
        <w:t xml:space="preserve"> </w:t>
      </w:r>
      <w:r w:rsidRPr="009D4A46">
        <w:rPr>
          <w:rStyle w:val="Emphasis"/>
          <w:highlight w:val="yellow"/>
        </w:rPr>
        <w:t>The purpose of industrial action determines whether it qualifies as a strike action.</w:t>
      </w:r>
      <w:r w:rsidRPr="0006715F">
        <w:rPr>
          <w:rFonts w:ascii="Times New Roman" w:hAnsi="Times New Roman" w:cs="Times New Roman"/>
        </w:rPr>
        <w:t xml:space="preserve"> What began as a strike can change its character once the initial purpose has fallen away. The moment the strike ends so does statutory protection.81</w:t>
      </w:r>
    </w:p>
    <w:p w14:paraId="75FD5EE6" w14:textId="77777777" w:rsidR="003639D8" w:rsidRDefault="003639D8" w:rsidP="003639D8">
      <w:pPr>
        <w:pStyle w:val="Heading4"/>
      </w:pPr>
      <w:r>
        <w:t xml:space="preserve">The right to strike must be a legal guarantee. </w:t>
      </w:r>
      <w:proofErr w:type="spellStart"/>
      <w:r w:rsidRPr="00F2041E">
        <w:t>Malebye</w:t>
      </w:r>
      <w:proofErr w:type="spellEnd"/>
      <w:r w:rsidRPr="00F2041E">
        <w:t xml:space="preserve"> 14</w:t>
      </w:r>
    </w:p>
    <w:p w14:paraId="142E9239" w14:textId="77777777" w:rsidR="003639D8" w:rsidRPr="0006715F" w:rsidRDefault="003639D8" w:rsidP="003639D8">
      <w:pPr>
        <w:rPr>
          <w:rFonts w:ascii="Times New Roman" w:hAnsi="Times New Roman" w:cs="Times New Roman"/>
          <w:sz w:val="20"/>
          <w:szCs w:val="20"/>
        </w:rPr>
      </w:pPr>
      <w:r w:rsidRPr="0006715F">
        <w:rPr>
          <w:rFonts w:ascii="Times New Roman" w:hAnsi="Times New Roman" w:cs="Times New Roman"/>
          <w:sz w:val="20"/>
          <w:szCs w:val="20"/>
        </w:rPr>
        <w:t xml:space="preserve">Cynthia </w:t>
      </w:r>
      <w:proofErr w:type="spellStart"/>
      <w:r w:rsidRPr="0006715F">
        <w:rPr>
          <w:rFonts w:ascii="Times New Roman" w:hAnsi="Times New Roman" w:cs="Times New Roman"/>
          <w:sz w:val="20"/>
          <w:szCs w:val="20"/>
        </w:rPr>
        <w:t>Dithato</w:t>
      </w:r>
      <w:proofErr w:type="spellEnd"/>
      <w:r w:rsidRPr="0006715F">
        <w:rPr>
          <w:rFonts w:ascii="Times New Roman" w:hAnsi="Times New Roman" w:cs="Times New Roman"/>
          <w:sz w:val="20"/>
          <w:szCs w:val="20"/>
        </w:rPr>
        <w:t xml:space="preserve"> </w:t>
      </w:r>
      <w:proofErr w:type="spellStart"/>
      <w:r w:rsidRPr="0006715F">
        <w:rPr>
          <w:rFonts w:ascii="Times New Roman" w:hAnsi="Times New Roman" w:cs="Times New Roman"/>
          <w:sz w:val="20"/>
          <w:szCs w:val="20"/>
        </w:rPr>
        <w:t>Malebye</w:t>
      </w:r>
      <w:proofErr w:type="spellEnd"/>
      <w:r w:rsidRPr="0006715F">
        <w:rPr>
          <w:rFonts w:ascii="Times New Roman" w:hAnsi="Times New Roman" w:cs="Times New Roman"/>
          <w:sz w:val="20"/>
          <w:szCs w:val="20"/>
        </w:rPr>
        <w:t>, Department of Mercantile Law, University of Pretoria, 2014, The Right to Strike in Respect of Employment Relationships and Collective Bargaining</w:t>
      </w:r>
      <w:r>
        <w:rPr>
          <w:rFonts w:ascii="Times New Roman" w:hAnsi="Times New Roman" w:cs="Times New Roman"/>
          <w:sz w:val="20"/>
          <w:szCs w:val="20"/>
        </w:rPr>
        <w:t>,</w:t>
      </w:r>
      <w:r w:rsidRPr="0006715F">
        <w:rPr>
          <w:rFonts w:ascii="Times New Roman" w:hAnsi="Times New Roman" w:cs="Times New Roman"/>
          <w:sz w:val="20"/>
          <w:szCs w:val="20"/>
        </w:rPr>
        <w:t xml:space="preserve"> Dissertatio</w:t>
      </w:r>
      <w:r>
        <w:rPr>
          <w:rFonts w:ascii="Times New Roman" w:hAnsi="Times New Roman" w:cs="Times New Roman"/>
          <w:sz w:val="20"/>
          <w:szCs w:val="20"/>
        </w:rPr>
        <w:t>n</w:t>
      </w:r>
      <w:proofErr w:type="gramStart"/>
      <w:r>
        <w:rPr>
          <w:rFonts w:ascii="Times New Roman" w:hAnsi="Times New Roman" w:cs="Times New Roman"/>
          <w:sz w:val="20"/>
          <w:szCs w:val="20"/>
        </w:rPr>
        <w:t xml:space="preserve">, </w:t>
      </w:r>
      <w:r w:rsidRPr="0006715F">
        <w:rPr>
          <w:rFonts w:ascii="Times New Roman" w:hAnsi="Times New Roman" w:cs="Times New Roman"/>
          <w:sz w:val="20"/>
          <w:szCs w:val="20"/>
        </w:rPr>
        <w:t>.</w:t>
      </w:r>
      <w:proofErr w:type="gramEnd"/>
      <w:r w:rsidRPr="0006715F">
        <w:rPr>
          <w:rFonts w:ascii="Times New Roman" w:hAnsi="Times New Roman" w:cs="Times New Roman"/>
          <w:sz w:val="20"/>
          <w:szCs w:val="20"/>
        </w:rPr>
        <w:t xml:space="preserve"> University of Pretoria, April 2014. </w:t>
      </w:r>
      <w:hyperlink r:id="rId10" w:history="1">
        <w:r w:rsidRPr="0006715F">
          <w:rPr>
            <w:rStyle w:val="Hyperlink"/>
            <w:rFonts w:ascii="Times New Roman" w:hAnsi="Times New Roman" w:cs="Times New Roman"/>
            <w:sz w:val="20"/>
            <w:szCs w:val="20"/>
          </w:rPr>
          <w:t>https://repository.up.ac.za/bitstream/handle/2263/43163/Malebye_Right_2014.pdf?sequence=1</w:t>
        </w:r>
      </w:hyperlink>
    </w:p>
    <w:p w14:paraId="59AC4123" w14:textId="77777777" w:rsidR="003639D8" w:rsidRPr="00D83A94" w:rsidRDefault="003639D8" w:rsidP="003639D8">
      <w:pPr>
        <w:rPr>
          <w:rStyle w:val="StyleUnderline"/>
        </w:rPr>
      </w:pPr>
      <w:r w:rsidRPr="009D4A46">
        <w:rPr>
          <w:rFonts w:ascii="Times New Roman" w:hAnsi="Times New Roman" w:cs="Times New Roman"/>
          <w:b/>
          <w:bCs/>
          <w:highlight w:val="yellow"/>
          <w:u w:val="single"/>
        </w:rPr>
        <w:t xml:space="preserve">Before the implementation of the new </w:t>
      </w:r>
      <w:r w:rsidRPr="009D4A46">
        <w:rPr>
          <w:rFonts w:ascii="Times New Roman" w:hAnsi="Times New Roman" w:cs="Times New Roman"/>
          <w:b/>
          <w:bCs/>
          <w:i/>
          <w:iCs/>
          <w:highlight w:val="yellow"/>
          <w:u w:val="single"/>
        </w:rPr>
        <w:t>Constitution</w:t>
      </w:r>
      <w:r w:rsidRPr="009D4A46">
        <w:rPr>
          <w:rFonts w:ascii="Times New Roman" w:hAnsi="Times New Roman" w:cs="Times New Roman"/>
          <w:b/>
          <w:bCs/>
          <w:highlight w:val="yellow"/>
          <w:u w:val="single"/>
        </w:rPr>
        <w:t xml:space="preserve"> in South Africa, employees only enjoyed the freedom to strike but not the right to strike</w:t>
      </w:r>
      <w:r w:rsidRPr="0006715F">
        <w:rPr>
          <w:rFonts w:ascii="Times New Roman" w:hAnsi="Times New Roman" w:cs="Times New Roman"/>
        </w:rPr>
        <w:t xml:space="preserve">. This past situation implied that the employees who embarked on a strike, even if it was a legal strike were not protected from dismissal as in </w:t>
      </w:r>
      <w:proofErr w:type="gramStart"/>
      <w:r w:rsidRPr="0006715F">
        <w:rPr>
          <w:rFonts w:ascii="Times New Roman" w:hAnsi="Times New Roman" w:cs="Times New Roman"/>
        </w:rPr>
        <w:t>effect</w:t>
      </w:r>
      <w:proofErr w:type="gramEnd"/>
      <w:r w:rsidRPr="0006715F">
        <w:rPr>
          <w:rFonts w:ascii="Times New Roman" w:hAnsi="Times New Roman" w:cs="Times New Roman"/>
        </w:rPr>
        <w:t xml:space="preserve"> they were in breach of their employment contracts in terms of common law. A fundamental right contained in the Constitution is that workers will have “the right to strike for purposes of collective bargaining.” In other words, </w:t>
      </w:r>
      <w:r w:rsidRPr="009D4A46">
        <w:rPr>
          <w:rStyle w:val="StyleUnderline"/>
          <w:highlight w:val="yellow"/>
        </w:rPr>
        <w:t>the right must be functional to collective bargaining.</w:t>
      </w:r>
    </w:p>
    <w:p w14:paraId="404BD0E7" w14:textId="77777777" w:rsidR="003639D8" w:rsidRDefault="003639D8" w:rsidP="003639D8">
      <w:pPr>
        <w:pStyle w:val="Heading4"/>
      </w:pPr>
      <w:r>
        <w:t xml:space="preserve">Violation: they omit workers  </w:t>
      </w:r>
    </w:p>
    <w:p w14:paraId="379A0B0E" w14:textId="77777777" w:rsidR="003639D8" w:rsidRPr="009811A7" w:rsidRDefault="003639D8" w:rsidP="003639D8">
      <w:pPr>
        <w:pStyle w:val="Heading4"/>
        <w:rPr>
          <w:rFonts w:cs="Calibri"/>
        </w:rPr>
      </w:pPr>
      <w:r w:rsidRPr="009811A7">
        <w:rPr>
          <w:rFonts w:cs="Calibri"/>
        </w:rPr>
        <w:t>Vote neg:</w:t>
      </w:r>
    </w:p>
    <w:p w14:paraId="2BA6E976" w14:textId="77777777" w:rsidR="003639D8" w:rsidRPr="000A2A39" w:rsidRDefault="003639D8" w:rsidP="003639D8">
      <w:pPr>
        <w:pStyle w:val="Heading4"/>
        <w:numPr>
          <w:ilvl w:val="0"/>
          <w:numId w:val="13"/>
        </w:numPr>
        <w:tabs>
          <w:tab w:val="num" w:pos="360"/>
        </w:tabs>
        <w:ind w:left="0" w:firstLine="0"/>
        <w:rPr>
          <w:rFonts w:cs="Calibri"/>
        </w:rPr>
      </w:pPr>
      <w:r w:rsidRPr="009811A7">
        <w:rPr>
          <w:rFonts w:cs="Calibri"/>
        </w:rPr>
        <w:t xml:space="preserve">Semantics </w:t>
      </w:r>
      <w:proofErr w:type="gramStart"/>
      <w:r w:rsidRPr="009811A7">
        <w:rPr>
          <w:rFonts w:cs="Calibri"/>
        </w:rPr>
        <w:t>o</w:t>
      </w:r>
      <w:r w:rsidRPr="009811A7">
        <w:rPr>
          <w:rFonts w:eastAsia="MS Gothic" w:cs="Calibri"/>
        </w:rPr>
        <w:t>utweigh:</w:t>
      </w:r>
      <w:proofErr w:type="gramEnd"/>
      <w:r>
        <w:rPr>
          <w:rFonts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3D571162" w14:textId="77777777" w:rsidR="003639D8" w:rsidRPr="009811A7" w:rsidRDefault="003639D8" w:rsidP="003639D8"/>
    <w:p w14:paraId="5042BB4F" w14:textId="48D1DCFC" w:rsidR="003639D8" w:rsidRDefault="003639D8" w:rsidP="003639D8">
      <w:pPr>
        <w:pStyle w:val="Heading4"/>
      </w:pPr>
      <w:r>
        <w:lastRenderedPageBreak/>
        <w:t xml:space="preserve">2.topic education—All of the literature on the topic is about industrial </w:t>
      </w:r>
      <w:r w:rsidRPr="008D2ED1">
        <w:rPr>
          <w:i/>
          <w:iCs/>
        </w:rPr>
        <w:t>workers</w:t>
      </w:r>
      <w:r>
        <w:t xml:space="preserve"> engaging in collective action for material changes to their pay or working conditions, not about</w:t>
      </w:r>
      <w:r w:rsidR="00204163">
        <w:t xml:space="preserve"> protests</w:t>
      </w:r>
      <w:r>
        <w:t xml:space="preserve"> in general. This means that none of the neg generics link such as econ </w:t>
      </w:r>
      <w:proofErr w:type="spellStart"/>
      <w:r>
        <w:t>disads</w:t>
      </w:r>
      <w:proofErr w:type="spellEnd"/>
      <w:r>
        <w:t xml:space="preserve">, politics </w:t>
      </w:r>
      <w:proofErr w:type="spellStart"/>
      <w:r>
        <w:t>disads</w:t>
      </w:r>
      <w:proofErr w:type="spellEnd"/>
      <w:r>
        <w:t xml:space="preserve">, PICs out of specific industries. </w:t>
      </w:r>
    </w:p>
    <w:p w14:paraId="2B18B651" w14:textId="77777777" w:rsidR="003639D8" w:rsidRDefault="003639D8" w:rsidP="003639D8"/>
    <w:p w14:paraId="6E171B7D" w14:textId="77777777" w:rsidR="003639D8" w:rsidRPr="009811A7" w:rsidRDefault="003639D8" w:rsidP="003639D8">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 xml:space="preserve">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078670FE" w14:textId="77777777" w:rsidR="003639D8" w:rsidRPr="008D2ED1" w:rsidRDefault="003639D8" w:rsidP="003639D8"/>
    <w:p w14:paraId="4BA96703" w14:textId="77777777" w:rsidR="003639D8" w:rsidRDefault="003639D8" w:rsidP="003639D8">
      <w:pPr>
        <w:pStyle w:val="Heading2"/>
      </w:pPr>
      <w:r>
        <w:lastRenderedPageBreak/>
        <w:t xml:space="preserve">Work K </w:t>
      </w:r>
    </w:p>
    <w:p w14:paraId="3CE1B468" w14:textId="1ECAE104" w:rsidR="003639D8" w:rsidRPr="004F3F7A" w:rsidRDefault="003639D8" w:rsidP="003639D8">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rsidRPr="00AA1462">
        <w:t xml:space="preserve"> </w:t>
      </w:r>
      <w:r>
        <w:t>AND centers political organizing and resistance to capitalism around identifying oneself first and foremost as a worker</w:t>
      </w:r>
      <w:r w:rsidRPr="004F3F7A">
        <w:t xml:space="preserve">. </w:t>
      </w:r>
      <w:r w:rsidR="00276CCC">
        <w:t xml:space="preserve">For example, Monbiot is about political action and protest, and they label that protest a “strike” so that it has value in a work-centered society. </w:t>
      </w:r>
      <w:r w:rsidRPr="004F3F7A">
        <w:t>This reduces human</w:t>
      </w:r>
      <w:r>
        <w:t>s</w:t>
      </w:r>
      <w:r w:rsidRPr="004F3F7A">
        <w:t xml:space="preserve"> to labor capital</w:t>
      </w:r>
      <w:r>
        <w:t xml:space="preserve">, which </w:t>
      </w:r>
      <w:r w:rsidRPr="004F3F7A">
        <w:t>causes work-dependency and inhibits alternatives</w:t>
      </w:r>
      <w:r>
        <w:t>.</w:t>
      </w:r>
    </w:p>
    <w:p w14:paraId="39D2DD36" w14:textId="77777777" w:rsidR="003639D8" w:rsidRPr="0024759A" w:rsidRDefault="003639D8" w:rsidP="003639D8">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97D3BE1" w14:textId="77777777" w:rsidR="003639D8" w:rsidRPr="00F23A1A" w:rsidRDefault="003639D8" w:rsidP="003639D8">
      <w:pPr>
        <w:rPr>
          <w:sz w:val="16"/>
        </w:rPr>
      </w:pPr>
      <w:r w:rsidRPr="00F23A1A">
        <w:rPr>
          <w:sz w:val="16"/>
        </w:rPr>
        <w:t>The societal dependence on work</w:t>
      </w:r>
    </w:p>
    <w:p w14:paraId="046F09B9" w14:textId="77777777" w:rsidR="003639D8" w:rsidRPr="009A6DC9" w:rsidRDefault="003639D8" w:rsidP="003639D8">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32D4AFA9" w14:textId="77777777" w:rsidR="003639D8" w:rsidRPr="009A6DC9" w:rsidRDefault="003639D8" w:rsidP="003639D8">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2463BBBD" w14:textId="77777777" w:rsidR="003639D8" w:rsidRPr="00F23A1A" w:rsidRDefault="003639D8" w:rsidP="003639D8">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2126173B" w14:textId="77777777" w:rsidR="003639D8" w:rsidRPr="00F23A1A" w:rsidRDefault="003639D8" w:rsidP="003639D8">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w:t>
      </w:r>
      <w:r w:rsidRPr="00DD394F">
        <w:rPr>
          <w:rStyle w:val="StyleUnderline"/>
        </w:rPr>
        <w:lastRenderedPageBreak/>
        <w:t xml:space="preserve">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4D55F68B" w14:textId="77777777" w:rsidR="003639D8" w:rsidRPr="00F23A1A" w:rsidRDefault="003639D8" w:rsidP="003639D8">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75E0109A" w14:textId="77777777" w:rsidR="003639D8" w:rsidRPr="00DD394F" w:rsidRDefault="003639D8" w:rsidP="003639D8">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2FE9E98B" w14:textId="77777777" w:rsidR="003639D8" w:rsidRDefault="003639D8" w:rsidP="003639D8">
      <w:pPr>
        <w:pStyle w:val="Heading4"/>
      </w:pPr>
      <w:r>
        <w:t>Work necessitates material throughput and waste that destroys the environment, even when the jobs are ‘green’</w:t>
      </w:r>
    </w:p>
    <w:p w14:paraId="3BB14E3E" w14:textId="77777777" w:rsidR="003639D8" w:rsidRPr="0000117A" w:rsidRDefault="003639D8" w:rsidP="003639D8">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C1364B6" w14:textId="77777777" w:rsidR="003639D8" w:rsidRPr="006E7E43" w:rsidRDefault="003639D8" w:rsidP="003639D8">
      <w:pPr>
        <w:rPr>
          <w:sz w:val="16"/>
        </w:rPr>
      </w:pPr>
      <w:r w:rsidRPr="006E7E43">
        <w:rPr>
          <w:sz w:val="16"/>
        </w:rPr>
        <w:t>An ecological critique of work</w:t>
      </w:r>
    </w:p>
    <w:p w14:paraId="2F0B58D5" w14:textId="77777777" w:rsidR="003639D8" w:rsidRPr="006E7E43" w:rsidRDefault="003639D8" w:rsidP="003639D8">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w:t>
      </w:r>
      <w:r w:rsidRPr="006E7E43">
        <w:rPr>
          <w:sz w:val="16"/>
        </w:rPr>
        <w:lastRenderedPageBreak/>
        <w:t xml:space="preserve">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615BBE7D" w14:textId="77777777" w:rsidR="003639D8" w:rsidRPr="006E7E43" w:rsidRDefault="003639D8" w:rsidP="003639D8">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17A7BCD2" w14:textId="77777777" w:rsidR="003639D8" w:rsidRPr="006E7E43" w:rsidRDefault="003639D8" w:rsidP="003639D8">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19037DFD" w14:textId="77777777" w:rsidR="003639D8" w:rsidRPr="006E7E43" w:rsidRDefault="003639D8" w:rsidP="003639D8">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6050124" w14:textId="7A8A6E2E" w:rsidR="003639D8" w:rsidRDefault="003639D8" w:rsidP="003639D8">
      <w:pPr>
        <w:pStyle w:val="Heading4"/>
      </w:pPr>
      <w:r>
        <w:t xml:space="preserve">Unions are intrinsically invested in labor being good – they don’t strike to get rid of work; they strike to get people back to work. </w:t>
      </w:r>
      <w:r w:rsidR="000628E6">
        <w:t xml:space="preserve">Coal miners protesting for “better conditions” empirically don’t demand a just transition – they want Trump to bring coal back – and “better conditions” in a coal mine don’t change it from being a coal mine </w:t>
      </w:r>
      <w:r>
        <w:t>Lundström 14:</w:t>
      </w:r>
    </w:p>
    <w:p w14:paraId="79099EB0" w14:textId="77777777" w:rsidR="003639D8" w:rsidRPr="00050F02" w:rsidRDefault="003639D8" w:rsidP="003639D8">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1"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2" w:history="1">
        <w:r w:rsidRPr="00050F02">
          <w:rPr>
            <w:rStyle w:val="Hyperlink"/>
          </w:rPr>
          <w:t>Department of Sociology</w:t>
        </w:r>
      </w:hyperlink>
      <w:r w:rsidRPr="00050F02">
        <w:t xml:space="preserve"> at Umea University.}, 14 - ("Disconnected spaces: </w:t>
      </w:r>
      <w:r w:rsidRPr="00050F02">
        <w:lastRenderedPageBreak/>
        <w:t>introducing environmental perspectives into the trade union agenda top-down and bottom-up," Taylor &amp; Francis, 12-11-2014, https://www.tandfonline.com/doi/full/10.1080/23251042.2015.1041212?scroll=top&amp;amp;needAccess=true)//marlborough-wr/</w:t>
      </w:r>
    </w:p>
    <w:p w14:paraId="0119B343" w14:textId="77777777" w:rsidR="003639D8" w:rsidRPr="004F3F7A" w:rsidRDefault="003639D8" w:rsidP="003639D8">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3"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4"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5" w:history="1">
        <w:r w:rsidRPr="00050F02">
          <w:rPr>
            <w:rStyle w:val="Hyperlink"/>
            <w:sz w:val="12"/>
          </w:rPr>
          <w:t>1998</w:t>
        </w:r>
      </w:hyperlink>
      <w:r w:rsidRPr="00050F02">
        <w:rPr>
          <w:sz w:val="12"/>
        </w:rPr>
        <w:t>). Polanyi later reduced the concept of the ‘metabolic rift’ to the commodification of land (Polanyi </w:t>
      </w:r>
      <w:hyperlink r:id="rId16"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7"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8"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51FEC56A" w14:textId="77777777" w:rsidR="003639D8" w:rsidRDefault="003639D8" w:rsidP="003639D8">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35E85691" w14:textId="77777777" w:rsidR="003639D8" w:rsidRPr="00E73C56" w:rsidRDefault="003639D8" w:rsidP="003639D8">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2D4DBC90" w14:textId="77777777" w:rsidR="003639D8" w:rsidRPr="00CD77D8" w:rsidRDefault="003639D8" w:rsidP="003639D8">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A47A985" w14:textId="77777777" w:rsidR="003639D8" w:rsidRPr="009A6DC9" w:rsidRDefault="003639D8" w:rsidP="003639D8">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4A3F188D" w14:textId="77777777" w:rsidR="003639D8" w:rsidRPr="00A72FF2" w:rsidRDefault="003639D8" w:rsidP="003639D8">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w:t>
      </w:r>
      <w:r w:rsidRPr="009A6DC9">
        <w:rPr>
          <w:sz w:val="14"/>
        </w:rPr>
        <w:lastRenderedPageBreak/>
        <w:t xml:space="preserve">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719DACC4" w14:textId="77777777" w:rsidR="003639D8" w:rsidRPr="00A72FF2" w:rsidRDefault="003639D8" w:rsidP="003639D8">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48F9C959" w14:textId="77777777" w:rsidR="003639D8" w:rsidRPr="00A72FF2" w:rsidRDefault="003639D8" w:rsidP="003639D8">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31AE35C6" w14:textId="77777777" w:rsidR="003639D8" w:rsidRPr="00A72FF2" w:rsidRDefault="003639D8" w:rsidP="003639D8">
      <w:pPr>
        <w:rPr>
          <w:sz w:val="14"/>
        </w:rPr>
      </w:pPr>
      <w:r w:rsidRPr="00A72FF2">
        <w:rPr>
          <w:sz w:val="14"/>
        </w:rPr>
        <w:t xml:space="preserve">The ecological case for </w:t>
      </w:r>
      <w:proofErr w:type="spellStart"/>
      <w:r w:rsidRPr="00A72FF2">
        <w:rPr>
          <w:sz w:val="14"/>
        </w:rPr>
        <w:t>postwork</w:t>
      </w:r>
      <w:proofErr w:type="spellEnd"/>
    </w:p>
    <w:p w14:paraId="0351A9A0" w14:textId="77777777" w:rsidR="003639D8" w:rsidRPr="00A72FF2" w:rsidRDefault="003639D8" w:rsidP="003639D8">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6EE5178B" w14:textId="77777777" w:rsidR="003639D8" w:rsidRPr="00A72FF2" w:rsidRDefault="003639D8" w:rsidP="003639D8">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w:t>
      </w:r>
      <w:r w:rsidRPr="00A72FF2">
        <w:rPr>
          <w:sz w:val="14"/>
        </w:rPr>
        <w:lastRenderedPageBreak/>
        <w:t xml:space="preserve">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65C52715" w14:textId="77777777" w:rsidR="003639D8" w:rsidRPr="008018E5" w:rsidRDefault="003639D8" w:rsidP="003639D8">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57793DA6" w14:textId="77777777" w:rsidR="003639D8" w:rsidRPr="00A72FF2" w:rsidRDefault="003639D8" w:rsidP="003639D8">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613EEE28" w14:textId="77777777" w:rsidR="003639D8" w:rsidRPr="00A72FF2" w:rsidRDefault="003639D8" w:rsidP="003639D8">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4643611A" w14:textId="77777777" w:rsidR="003639D8" w:rsidRPr="00A72FF2" w:rsidRDefault="003639D8" w:rsidP="003639D8">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 xml:space="preserve">One of the </w:t>
      </w:r>
      <w:r w:rsidRPr="008018E5">
        <w:rPr>
          <w:rStyle w:val="StyleUnderline"/>
        </w:rPr>
        <w:lastRenderedPageBreak/>
        <w:t>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1F103DB" w14:textId="77777777" w:rsidR="003639D8" w:rsidRPr="004F0127" w:rsidRDefault="003639D8" w:rsidP="003639D8">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362DA121" w14:textId="77777777" w:rsidR="003639D8" w:rsidRPr="00A72FF2" w:rsidRDefault="003639D8" w:rsidP="003639D8">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0F8B4E27" w14:textId="77777777" w:rsidR="003639D8" w:rsidRPr="00A72FF2" w:rsidRDefault="003639D8" w:rsidP="003639D8">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6E41D581" w14:textId="77777777" w:rsidR="003639D8" w:rsidRPr="00A72FF2" w:rsidRDefault="003639D8" w:rsidP="003639D8">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6EA89D90" w14:textId="77777777" w:rsidR="003639D8" w:rsidRPr="00A72FF2" w:rsidRDefault="003639D8" w:rsidP="003639D8">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lastRenderedPageBreak/>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55B18623" w14:textId="77777777" w:rsidR="003639D8" w:rsidRPr="00A72FF2" w:rsidRDefault="003639D8" w:rsidP="003639D8">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1673CB0D" w14:textId="77777777" w:rsidR="003639D8" w:rsidRPr="008018E5" w:rsidRDefault="003639D8" w:rsidP="003639D8">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73417F7F" w14:textId="77777777" w:rsidR="003639D8" w:rsidRDefault="003639D8" w:rsidP="003639D8">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32C519CF" w14:textId="77777777" w:rsidR="003639D8" w:rsidRDefault="003639D8" w:rsidP="003639D8">
      <w:pPr>
        <w:pStyle w:val="Heading2"/>
      </w:pPr>
      <w:r>
        <w:lastRenderedPageBreak/>
        <w:t>Carbon Tax CP</w:t>
      </w:r>
    </w:p>
    <w:p w14:paraId="4E7BD89D" w14:textId="77777777" w:rsidR="003639D8" w:rsidRDefault="003639D8" w:rsidP="003639D8">
      <w:pPr>
        <w:pStyle w:val="Heading4"/>
        <w:rPr>
          <w:rFonts w:eastAsia="MS Gothic"/>
        </w:rPr>
      </w:pPr>
      <w:r>
        <w:rPr>
          <w:rFonts w:eastAsia="MS Gothic"/>
        </w:rPr>
        <w:t>Text: The United States ought to implement a carbon tax.</w:t>
      </w:r>
    </w:p>
    <w:p w14:paraId="0031E4A4" w14:textId="77777777" w:rsidR="003639D8" w:rsidRPr="006507AF" w:rsidRDefault="003639D8" w:rsidP="003639D8">
      <w:pPr>
        <w:keepNext/>
        <w:keepLines/>
        <w:spacing w:before="40" w:after="0"/>
        <w:outlineLvl w:val="3"/>
        <w:rPr>
          <w:rFonts w:eastAsia="MS Gothic" w:cs="Times New Roman"/>
          <w:b/>
          <w:iCs/>
          <w:sz w:val="26"/>
        </w:rPr>
      </w:pPr>
      <w:r w:rsidRPr="006507AF">
        <w:rPr>
          <w:rFonts w:eastAsia="MS Gothic" w:cs="Times New Roman"/>
          <w:b/>
          <w:iCs/>
          <w:sz w:val="26"/>
        </w:rPr>
        <w:t>A carbon tax substantially decreases greenhouse gas emissions and increases revenue under every plausible implementation.</w:t>
      </w:r>
    </w:p>
    <w:p w14:paraId="151D26BF" w14:textId="77777777" w:rsidR="003639D8" w:rsidRPr="006507AF" w:rsidRDefault="003639D8" w:rsidP="003639D8">
      <w:pPr>
        <w:rPr>
          <w:rFonts w:eastAsia="Cambria"/>
        </w:rPr>
      </w:pPr>
      <w:r w:rsidRPr="006507AF">
        <w:rPr>
          <w:rFonts w:eastAsia="Cambria"/>
          <w:b/>
          <w:bCs/>
          <w:sz w:val="26"/>
        </w:rPr>
        <w:t>Barron et. al 5/7</w:t>
      </w:r>
      <w:r w:rsidRPr="006507AF">
        <w:rPr>
          <w:rFonts w:eastAsia="Cambria"/>
        </w:rPr>
        <w:t xml:space="preserve"> - Alexander R. Barron [Assistant Professor of Environmental Science &amp; Policy, Smith College; Alex Barron graduated from Carleton College with a B.A. in chemistry and obtained his Ph.D. in ecology and evolutionary biology from Princeton University], Marc A. C. </w:t>
      </w:r>
      <w:proofErr w:type="spellStart"/>
      <w:r w:rsidRPr="006507AF">
        <w:rPr>
          <w:rFonts w:eastAsia="Cambria"/>
        </w:rPr>
        <w:t>Hafstead</w:t>
      </w:r>
      <w:proofErr w:type="spellEnd"/>
      <w:r w:rsidRPr="006507AF">
        <w:rPr>
          <w:rFonts w:eastAsia="Cambria"/>
        </w:rPr>
        <w:t xml:space="preserve"> [PhD in economics, Stanford University, 2011, BA in mathematical methods in the social sciences &amp; economics, Northwestern University, 2004], and Adele Morris [Adele Morris is a senior fellow and policy director for Climate and Energy Economics at the Brookings Institution], “Policy insights from comparing carbon pricing modeling scenarios,” </w:t>
      </w:r>
      <w:r w:rsidRPr="006507AF">
        <w:rPr>
          <w:rFonts w:eastAsia="Cambria"/>
          <w:i/>
        </w:rPr>
        <w:t>Brookings Institute Climate And Energy Economics Discussion Paper</w:t>
      </w:r>
      <w:r w:rsidRPr="006507AF">
        <w:rPr>
          <w:rFonts w:eastAsia="Cambria"/>
        </w:rPr>
        <w:t xml:space="preserve"> (Web). May 7, 2019. Accessed Oct. 19, 2019. &lt;https://www.brookings.edu/wp-content/uploads/2019/05/ES_20190507_Morris_CarbonPricing.pdf&gt; AT</w:t>
      </w:r>
    </w:p>
    <w:p w14:paraId="1A642596" w14:textId="77777777" w:rsidR="003639D8" w:rsidRPr="006507AF" w:rsidRDefault="003639D8" w:rsidP="003639D8">
      <w:pPr>
        <w:ind w:left="720"/>
        <w:rPr>
          <w:rFonts w:eastAsia="Cambria"/>
          <w:sz w:val="12"/>
        </w:rPr>
      </w:pPr>
      <w:r w:rsidRPr="006507AF">
        <w:rPr>
          <w:rFonts w:eastAsia="Cambria"/>
          <w:sz w:val="12"/>
        </w:rPr>
        <w:t xml:space="preserve">Carbon pricing is an important policy tool for reducing greenhouse gas pollution. </w:t>
      </w:r>
      <w:r w:rsidRPr="006507AF">
        <w:rPr>
          <w:rFonts w:eastAsia="Cambria"/>
          <w:b/>
          <w:iCs/>
          <w:highlight w:val="yellow"/>
          <w:u w:val="single"/>
        </w:rPr>
        <w:t xml:space="preserve">The Stanford Energy Modeling Forum exercise 32 convened eleven modeling teams to project </w:t>
      </w:r>
      <w:r w:rsidRPr="006507AF">
        <w:rPr>
          <w:rFonts w:eastAsia="Cambria"/>
          <w:sz w:val="12"/>
        </w:rPr>
        <w:t>emissions, energy, and economic</w:t>
      </w:r>
      <w:r w:rsidRPr="006507AF">
        <w:rPr>
          <w:rFonts w:eastAsia="Cambria"/>
          <w:b/>
          <w:iCs/>
          <w:highlight w:val="yellow"/>
          <w:u w:val="single"/>
        </w:rPr>
        <w:t xml:space="preserve"> outcomes of an </w:t>
      </w:r>
      <w:r w:rsidRPr="006507AF">
        <w:rPr>
          <w:rFonts w:eastAsia="Cambria"/>
          <w:sz w:val="12"/>
        </w:rPr>
        <w:t>illustrative</w:t>
      </w:r>
      <w:r w:rsidRPr="006507AF">
        <w:rPr>
          <w:rFonts w:eastAsia="Cambria"/>
          <w:b/>
          <w:iCs/>
          <w:highlight w:val="yellow"/>
          <w:u w:val="single"/>
        </w:rPr>
        <w:t xml:space="preserve"> range of </w:t>
      </w:r>
      <w:r w:rsidRPr="006507AF">
        <w:rPr>
          <w:rFonts w:eastAsia="Cambria"/>
          <w:sz w:val="12"/>
        </w:rPr>
        <w:t>economy-wide</w:t>
      </w:r>
      <w:r w:rsidRPr="006507AF">
        <w:rPr>
          <w:rFonts w:eastAsia="Cambria"/>
          <w:b/>
          <w:iCs/>
          <w:highlight w:val="yellow"/>
          <w:u w:val="single"/>
        </w:rPr>
        <w:t xml:space="preserve"> carbon price policies</w:t>
      </w:r>
      <w:r w:rsidRPr="006507AF">
        <w:rPr>
          <w:rFonts w:eastAsia="Cambria"/>
          <w:sz w:val="12"/>
        </w:rPr>
        <w:t xml:space="preserve">. The study compared a coordinated reference scenario involving no new policies with policy scenarios that impose a price on all fossil fuel-related carbon dioxide (CO2) emissions </w:t>
      </w:r>
      <w:r w:rsidRPr="006507AF">
        <w:rPr>
          <w:rFonts w:eastAsia="Cambria"/>
          <w:b/>
          <w:iCs/>
          <w:highlight w:val="yellow"/>
          <w:u w:val="single"/>
        </w:rPr>
        <w:t>in the U.S.</w:t>
      </w:r>
      <w:r w:rsidRPr="006507AF">
        <w:rPr>
          <w:rFonts w:eastAsia="Cambria"/>
          <w:sz w:val="12"/>
        </w:rPr>
        <w:t xml:space="preserve"> The CO2 price scenarios begin in 2020 at $25/ton or $50/ton and rise each year over inflation at one percent or five percent. The scenarios also vary </w:t>
      </w:r>
      <w:proofErr w:type="gramStart"/>
      <w:r w:rsidRPr="006507AF">
        <w:rPr>
          <w:rFonts w:eastAsia="Cambria"/>
          <w:sz w:val="12"/>
        </w:rPr>
        <w:t>by the use of</w:t>
      </w:r>
      <w:proofErr w:type="gramEnd"/>
      <w:r w:rsidRPr="006507AF">
        <w:rPr>
          <w:rFonts w:eastAsia="Cambria"/>
          <w:sz w:val="12"/>
        </w:rPr>
        <w:t xml:space="preserve"> the revenue from the carbon pricing policy; scenarios include rebates to households and deficit neutral reductions in marginal tax rates on capital and labor income. </w:t>
      </w:r>
      <w:r w:rsidRPr="006507AF">
        <w:rPr>
          <w:rFonts w:eastAsia="Cambria"/>
          <w:b/>
          <w:iCs/>
          <w:highlight w:val="yellow"/>
          <w:u w:val="single"/>
        </w:rPr>
        <w:t>Across all models and policy scenarios</w:t>
      </w:r>
      <w:r w:rsidRPr="006507AF">
        <w:rPr>
          <w:rFonts w:eastAsia="Cambria"/>
          <w:sz w:val="12"/>
        </w:rPr>
        <w:t xml:space="preserve">, the study finds that </w:t>
      </w:r>
      <w:r w:rsidRPr="006507AF">
        <w:rPr>
          <w:rFonts w:eastAsia="Cambria"/>
          <w:b/>
          <w:iCs/>
          <w:highlight w:val="yellow"/>
          <w:u w:val="single"/>
        </w:rPr>
        <w:t>carbon pricing leads to significant reductions in CO2 emissions</w:t>
      </w:r>
      <w:r w:rsidRPr="006507AF">
        <w:rPr>
          <w:rFonts w:eastAsia="Cambria"/>
          <w:sz w:val="12"/>
        </w:rPr>
        <w:t xml:space="preserve">, the majority of which occur in the electricity sector via the reduction of coal use. Policy effects on other energy sources vary by model, for example owing to different technology cost assumptions (e.g., cost of natural gas vs. wind generation). Some models translate energy shifts into changes in conventional air pollutants, reporting declines consistent with substantial air quality benefits from the policy scenarios. ¶ The </w:t>
      </w:r>
      <w:r w:rsidRPr="006507AF">
        <w:rPr>
          <w:rFonts w:eastAsia="Cambria"/>
          <w:b/>
          <w:iCs/>
          <w:highlight w:val="yellow"/>
          <w:u w:val="single"/>
        </w:rPr>
        <w:t>economic costs</w:t>
      </w:r>
      <w:r w:rsidRPr="006507AF">
        <w:rPr>
          <w:rFonts w:eastAsia="Cambria"/>
          <w:sz w:val="12"/>
        </w:rPr>
        <w:t xml:space="preserve"> of the policies </w:t>
      </w:r>
      <w:r w:rsidRPr="006507AF">
        <w:rPr>
          <w:rFonts w:eastAsia="Cambria"/>
          <w:b/>
          <w:iCs/>
          <w:highlight w:val="yellow"/>
          <w:u w:val="single"/>
        </w:rPr>
        <w:t>are</w:t>
      </w:r>
      <w:r w:rsidRPr="006507AF">
        <w:rPr>
          <w:rFonts w:eastAsia="Cambria"/>
          <w:sz w:val="12"/>
        </w:rPr>
        <w:t xml:space="preserve"> expected to be </w:t>
      </w:r>
      <w:r w:rsidRPr="006507AF">
        <w:rPr>
          <w:rFonts w:eastAsia="Cambria"/>
          <w:b/>
          <w:iCs/>
          <w:highlight w:val="yellow"/>
          <w:u w:val="single"/>
        </w:rPr>
        <w:t>modest</w:t>
      </w:r>
      <w:r w:rsidRPr="006507AF">
        <w:rPr>
          <w:rFonts w:eastAsia="Cambria"/>
          <w:sz w:val="12"/>
        </w:rPr>
        <w:t xml:space="preserve"> – allowing for nearly identical economic growth– </w:t>
      </w:r>
      <w:r w:rsidRPr="006507AF">
        <w:rPr>
          <w:rFonts w:eastAsia="Cambria"/>
          <w:b/>
          <w:iCs/>
          <w:highlight w:val="yellow"/>
          <w:u w:val="single"/>
        </w:rPr>
        <w:t>but</w:t>
      </w:r>
      <w:r w:rsidRPr="006507AF">
        <w:rPr>
          <w:rFonts w:eastAsia="Cambria"/>
          <w:sz w:val="12"/>
        </w:rPr>
        <w:t xml:space="preserve"> vary across models. These costs are </w:t>
      </w:r>
      <w:r w:rsidRPr="006507AF">
        <w:rPr>
          <w:rFonts w:eastAsia="Cambria"/>
          <w:b/>
          <w:iCs/>
          <w:highlight w:val="yellow"/>
          <w:u w:val="single"/>
        </w:rPr>
        <w:t>offset by benefits from avoided climate damages</w:t>
      </w:r>
      <w:r w:rsidRPr="006507AF">
        <w:rPr>
          <w:rFonts w:eastAsia="Cambria"/>
          <w:sz w:val="12"/>
        </w:rPr>
        <w:t xml:space="preserve"> (which are not modeled in this study) </w:t>
      </w:r>
      <w:r w:rsidRPr="006507AF">
        <w:rPr>
          <w:rFonts w:eastAsia="Cambria"/>
          <w:b/>
          <w:iCs/>
          <w:highlight w:val="yellow"/>
          <w:u w:val="single"/>
        </w:rPr>
        <w:t>and health benefits</w:t>
      </w:r>
      <w:r w:rsidRPr="006507AF">
        <w:rPr>
          <w:rFonts w:eastAsia="Cambria"/>
          <w:sz w:val="12"/>
        </w:rPr>
        <w:t xml:space="preserve"> from reductions in conventional air pollution</w:t>
      </w:r>
      <w:r w:rsidRPr="006507AF">
        <w:rPr>
          <w:rFonts w:eastAsia="Cambria"/>
          <w:b/>
          <w:iCs/>
          <w:highlight w:val="yellow"/>
          <w:u w:val="single"/>
        </w:rPr>
        <w:t xml:space="preserve">. </w:t>
      </w:r>
      <w:r w:rsidRPr="006507AF">
        <w:rPr>
          <w:rFonts w:eastAsia="Cambria"/>
          <w:sz w:val="12"/>
        </w:rPr>
        <w:t xml:space="preserve">The study finds that the </w:t>
      </w:r>
      <w:r w:rsidRPr="006507AF">
        <w:rPr>
          <w:rFonts w:eastAsia="Cambria"/>
          <w:b/>
          <w:iCs/>
          <w:highlight w:val="yellow"/>
          <w:u w:val="single"/>
        </w:rPr>
        <w:t>CO2 taxes generate significant revenue</w:t>
      </w:r>
      <w:r w:rsidRPr="006507AF">
        <w:rPr>
          <w:rFonts w:eastAsia="Cambria"/>
          <w:sz w:val="12"/>
        </w:rPr>
        <w:t xml:space="preserve">; a $25/ton price would generate </w:t>
      </w:r>
      <w:r w:rsidRPr="006507AF">
        <w:rPr>
          <w:rFonts w:eastAsia="Cambria"/>
          <w:b/>
          <w:iCs/>
          <w:highlight w:val="yellow"/>
          <w:u w:val="single"/>
        </w:rPr>
        <w:t>roughly $1.4 trillion</w:t>
      </w:r>
      <w:r w:rsidRPr="006507AF">
        <w:rPr>
          <w:rFonts w:eastAsia="Cambria"/>
          <w:sz w:val="12"/>
        </w:rPr>
        <w:t xml:space="preserve"> over the first decade and all models reported that emissions reductions do not significantly depend on the use of the revenue. Using revenues to reduce capital or labor taxes reduces economy-wide costs in most models relative to household rebates, but the estimated size of the cost reductions varies significantly across models. Across all models that estimated impacts across households, </w:t>
      </w:r>
      <w:r w:rsidRPr="006507AF">
        <w:rPr>
          <w:rFonts w:eastAsia="Cambria"/>
          <w:b/>
          <w:iCs/>
          <w:highlight w:val="yellow"/>
          <w:u w:val="single"/>
        </w:rPr>
        <w:t xml:space="preserve">devoting </w:t>
      </w:r>
      <w:r w:rsidRPr="006507AF">
        <w:rPr>
          <w:rFonts w:eastAsia="Cambria"/>
          <w:iCs/>
          <w:sz w:val="12"/>
          <w:szCs w:val="12"/>
        </w:rPr>
        <w:t xml:space="preserve">at least </w:t>
      </w:r>
      <w:r w:rsidRPr="006507AF">
        <w:rPr>
          <w:rFonts w:eastAsia="Cambria"/>
          <w:b/>
          <w:iCs/>
          <w:highlight w:val="yellow"/>
          <w:u w:val="single"/>
        </w:rPr>
        <w:t xml:space="preserve">some revenue to household rebates improves outcomes for </w:t>
      </w:r>
      <w:proofErr w:type="gramStart"/>
      <w:r w:rsidRPr="006507AF">
        <w:rPr>
          <w:rFonts w:eastAsia="Cambria"/>
          <w:b/>
          <w:iCs/>
          <w:highlight w:val="yellow"/>
          <w:u w:val="single"/>
        </w:rPr>
        <w:t>low income</w:t>
      </w:r>
      <w:proofErr w:type="gramEnd"/>
      <w:r w:rsidRPr="006507AF">
        <w:rPr>
          <w:rFonts w:eastAsia="Cambria"/>
          <w:b/>
          <w:iCs/>
          <w:highlight w:val="yellow"/>
          <w:u w:val="single"/>
        </w:rPr>
        <w:t xml:space="preserve"> households</w:t>
      </w:r>
      <w:r w:rsidRPr="006507AF">
        <w:rPr>
          <w:rFonts w:eastAsia="Cambria"/>
          <w:sz w:val="12"/>
        </w:rPr>
        <w:t xml:space="preserve"> relative to applying all revenue to reductions in other taxes. We focus here on results through 2030, concluding that beyond a </w:t>
      </w:r>
      <w:proofErr w:type="gramStart"/>
      <w:r w:rsidRPr="006507AF">
        <w:rPr>
          <w:rFonts w:eastAsia="Cambria"/>
          <w:sz w:val="12"/>
        </w:rPr>
        <w:t>decade model uncertainties</w:t>
      </w:r>
      <w:proofErr w:type="gramEnd"/>
      <w:r w:rsidRPr="006507AF">
        <w:rPr>
          <w:rFonts w:eastAsia="Cambria"/>
          <w:sz w:val="12"/>
        </w:rPr>
        <w:t xml:space="preserve"> are too large to make quantitative results useful for near-term policy design. Read the full paper here.</w:t>
      </w:r>
    </w:p>
    <w:p w14:paraId="0F02B62E" w14:textId="77777777" w:rsidR="003639D8" w:rsidRPr="006507AF" w:rsidRDefault="003639D8" w:rsidP="003639D8">
      <w:pPr>
        <w:rPr>
          <w:rFonts w:eastAsia="Cambria"/>
        </w:rPr>
      </w:pPr>
    </w:p>
    <w:p w14:paraId="7613C1B4" w14:textId="77777777" w:rsidR="003639D8" w:rsidRPr="006507AF" w:rsidRDefault="003639D8" w:rsidP="003639D8">
      <w:pPr>
        <w:keepNext/>
        <w:keepLines/>
        <w:spacing w:before="40" w:after="0"/>
        <w:outlineLvl w:val="3"/>
        <w:rPr>
          <w:rFonts w:eastAsia="MS Gothic" w:cs="Times New Roman"/>
          <w:b/>
          <w:iCs/>
          <w:sz w:val="26"/>
        </w:rPr>
      </w:pPr>
      <w:r w:rsidRPr="006507AF">
        <w:rPr>
          <w:rFonts w:eastAsia="MS Gothic" w:cs="Times New Roman"/>
          <w:b/>
          <w:iCs/>
          <w:sz w:val="26"/>
        </w:rPr>
        <w:t>Carbon taxes dramatically reduce emissions and save lives from air pollution – international consensus and best studies prove.</w:t>
      </w:r>
    </w:p>
    <w:p w14:paraId="6EFB1539" w14:textId="77777777" w:rsidR="003639D8" w:rsidRPr="006507AF" w:rsidRDefault="003639D8" w:rsidP="003639D8">
      <w:pPr>
        <w:rPr>
          <w:rFonts w:eastAsia="Cambria"/>
        </w:rPr>
      </w:pPr>
      <w:r w:rsidRPr="006507AF">
        <w:rPr>
          <w:rFonts w:eastAsia="Cambria"/>
          <w:b/>
          <w:bCs/>
          <w:sz w:val="26"/>
        </w:rPr>
        <w:t>Barron et. al 5/7</w:t>
      </w:r>
      <w:r w:rsidRPr="006507AF">
        <w:rPr>
          <w:rFonts w:eastAsia="Cambria"/>
        </w:rPr>
        <w:t xml:space="preserve"> - Alexander R. Barron [Assistant Professor of Environmental Science &amp; Policy, Smith College; Alex Barron graduated from Carleton College with a B.A. in chemistry and obtained his Ph.D. in ecology and evolutionary biology from Princeton University], Marc A. C. </w:t>
      </w:r>
      <w:proofErr w:type="spellStart"/>
      <w:r w:rsidRPr="006507AF">
        <w:rPr>
          <w:rFonts w:eastAsia="Cambria"/>
        </w:rPr>
        <w:t>Hafstead</w:t>
      </w:r>
      <w:proofErr w:type="spellEnd"/>
      <w:r w:rsidRPr="006507AF">
        <w:rPr>
          <w:rFonts w:eastAsia="Cambria"/>
        </w:rPr>
        <w:t xml:space="preserve"> [PhD in economics, Stanford University, 2011, BA in mathematical methods in the social sciences &amp; economics, Northwestern University, 2004], and Adele Morris [Adele Morris is a senior fellow and policy director for Climate and Energy Economics at the Brookings </w:t>
      </w:r>
      <w:r w:rsidRPr="006507AF">
        <w:rPr>
          <w:rFonts w:eastAsia="Cambria"/>
        </w:rPr>
        <w:lastRenderedPageBreak/>
        <w:t xml:space="preserve">Institution], “Policy insights from comparing carbon pricing modeling scenarios,” </w:t>
      </w:r>
      <w:r w:rsidRPr="006507AF">
        <w:rPr>
          <w:rFonts w:eastAsia="Cambria"/>
          <w:i/>
        </w:rPr>
        <w:t>Brookings Institute Climate And Energy Economics Discussion Paper</w:t>
      </w:r>
      <w:r w:rsidRPr="006507AF">
        <w:rPr>
          <w:rFonts w:eastAsia="Cambria"/>
        </w:rPr>
        <w:t xml:space="preserve"> (Web). May 7, 2019. Accessed Oct. 19, 2019. &lt;https://www.brookings.edu/wp-content/uploads/2019/05/ES_20190507_Morris_CarbonPricing.pdf&gt; AT</w:t>
      </w:r>
    </w:p>
    <w:p w14:paraId="316A2145" w14:textId="77777777" w:rsidR="003639D8" w:rsidRPr="006507AF" w:rsidRDefault="003639D8" w:rsidP="003639D8">
      <w:pPr>
        <w:ind w:left="720"/>
        <w:rPr>
          <w:rFonts w:eastAsia="Cambria"/>
          <w:sz w:val="12"/>
        </w:rPr>
      </w:pPr>
      <w:r w:rsidRPr="006507AF">
        <w:rPr>
          <w:rFonts w:eastAsia="Cambria"/>
          <w:sz w:val="12"/>
        </w:rPr>
        <w:t xml:space="preserve">An extensive literature supports the economic case for imposing a price on greenhouse gas (GHG) emissions to reduce damages from climatic disruption. </w:t>
      </w:r>
      <w:proofErr w:type="gramStart"/>
      <w:r w:rsidRPr="006507AF">
        <w:rPr>
          <w:rFonts w:eastAsia="Cambria"/>
          <w:sz w:val="12"/>
        </w:rPr>
        <w:t xml:space="preserve">In particular, </w:t>
      </w:r>
      <w:r w:rsidRPr="006507AF">
        <w:rPr>
          <w:rFonts w:eastAsia="Cambria"/>
          <w:b/>
          <w:iCs/>
          <w:highlight w:val="yellow"/>
          <w:u w:val="single"/>
        </w:rPr>
        <w:t>a</w:t>
      </w:r>
      <w:proofErr w:type="gramEnd"/>
      <w:r w:rsidRPr="006507AF">
        <w:rPr>
          <w:rFonts w:eastAsia="Cambria"/>
          <w:b/>
          <w:iCs/>
          <w:highlight w:val="yellow"/>
          <w:u w:val="single"/>
        </w:rPr>
        <w:t xml:space="preserve"> tax on the carbon content of fossil fuels changes the relative prices of </w:t>
      </w:r>
      <w:r w:rsidRPr="006507AF">
        <w:rPr>
          <w:rFonts w:eastAsia="Cambria"/>
          <w:sz w:val="12"/>
        </w:rPr>
        <w:t>different</w:t>
      </w:r>
      <w:r w:rsidRPr="006507AF">
        <w:rPr>
          <w:rFonts w:eastAsia="Cambria"/>
          <w:b/>
          <w:iCs/>
          <w:highlight w:val="yellow"/>
          <w:u w:val="single"/>
        </w:rPr>
        <w:t xml:space="preserve"> energy sources</w:t>
      </w:r>
      <w:r w:rsidRPr="006507AF">
        <w:rPr>
          <w:rFonts w:eastAsia="Cambria"/>
          <w:sz w:val="12"/>
        </w:rPr>
        <w:t>. 1 This approach cost effectively reduces emissions of carbon dioxide (CO2)</w:t>
      </w:r>
      <w:r w:rsidRPr="006507AF">
        <w:rPr>
          <w:rFonts w:eastAsia="Cambria"/>
          <w:b/>
          <w:iCs/>
          <w:highlight w:val="yellow"/>
          <w:u w:val="single"/>
        </w:rPr>
        <w:t>,</w:t>
      </w:r>
      <w:r w:rsidRPr="006507AF">
        <w:rPr>
          <w:rFonts w:eastAsia="Cambria"/>
          <w:sz w:val="12"/>
        </w:rPr>
        <w:t xml:space="preserve"> the largest contributor to the increase in global atmospheric concentrations of GHGs, </w:t>
      </w:r>
      <w:r w:rsidRPr="006507AF">
        <w:rPr>
          <w:rFonts w:eastAsia="Cambria"/>
          <w:b/>
          <w:iCs/>
          <w:highlight w:val="yellow"/>
          <w:u w:val="single"/>
        </w:rPr>
        <w:t xml:space="preserve">by incentivizing </w:t>
      </w:r>
      <w:r w:rsidRPr="006507AF">
        <w:rPr>
          <w:rFonts w:eastAsia="Cambria"/>
          <w:sz w:val="12"/>
        </w:rPr>
        <w:t xml:space="preserve">shifts to lower emission fuels, </w:t>
      </w:r>
      <w:r w:rsidRPr="006507AF">
        <w:rPr>
          <w:rFonts w:eastAsia="Cambria"/>
          <w:b/>
          <w:iCs/>
          <w:highlight w:val="yellow"/>
          <w:u w:val="single"/>
        </w:rPr>
        <w:t>reductions in overall energy use</w:t>
      </w:r>
      <w:r w:rsidRPr="006507AF">
        <w:rPr>
          <w:rFonts w:eastAsia="Cambria"/>
          <w:sz w:val="12"/>
        </w:rPr>
        <w:t>,</w:t>
      </w:r>
      <w:r w:rsidRPr="006507AF">
        <w:rPr>
          <w:rFonts w:eastAsia="Cambria"/>
          <w:b/>
          <w:iCs/>
          <w:highlight w:val="yellow"/>
          <w:u w:val="single"/>
        </w:rPr>
        <w:t xml:space="preserve"> and </w:t>
      </w:r>
      <w:r w:rsidRPr="006507AF">
        <w:rPr>
          <w:rFonts w:eastAsia="Cambria"/>
          <w:sz w:val="12"/>
        </w:rPr>
        <w:t>the</w:t>
      </w:r>
      <w:r w:rsidRPr="006507AF">
        <w:rPr>
          <w:rFonts w:eastAsia="Cambria"/>
          <w:b/>
          <w:iCs/>
          <w:highlight w:val="yellow"/>
          <w:u w:val="single"/>
        </w:rPr>
        <w:t xml:space="preserve"> development and deployment of lower cost lower-carbon technologies.</w:t>
      </w:r>
      <w:r w:rsidRPr="006507AF">
        <w:rPr>
          <w:rFonts w:eastAsia="Cambria"/>
          <w:sz w:val="12"/>
        </w:rPr>
        <w:t xml:space="preserve"> The Intergovernmental Panel on Climate Change, the World Bank, OECD, and the International Monetary Fund have all endorsed carbon pricing as a </w:t>
      </w:r>
      <w:proofErr w:type="gramStart"/>
      <w:r w:rsidRPr="006507AF">
        <w:rPr>
          <w:rFonts w:eastAsia="Cambria"/>
          <w:sz w:val="12"/>
        </w:rPr>
        <w:t>cost effective</w:t>
      </w:r>
      <w:proofErr w:type="gramEnd"/>
      <w:r w:rsidRPr="006507AF">
        <w:rPr>
          <w:rFonts w:eastAsia="Cambria"/>
          <w:sz w:val="12"/>
        </w:rPr>
        <w:t xml:space="preserve"> tool for reducing emissions (Davenport, 2016; IPCC, 2014). Some form of carbon price is in place or under development in 46 national and 28 subnational jurisdictions (World Bank Group, 2018). ¶ Given the complexity of the global energy system and its links to the economy, modeling is one of the best available tools to anticipate possible outcomes of a carbon price and explore tradeoffs between policy design choices. Since all models come with strengths and limitations, one way to obtain a more robust understanding of the likely impacts of a policy is to analyze it with several different models. This helps identify results that are consistent across a range of model types (and their embedded assumptions) and those that are more sensitive to model design and inputs. </w:t>
      </w:r>
      <w:r w:rsidRPr="006507AF">
        <w:rPr>
          <w:rFonts w:eastAsia="Cambria"/>
          <w:b/>
          <w:iCs/>
          <w:highlight w:val="yellow"/>
          <w:u w:val="single"/>
        </w:rPr>
        <w:t>The Stanford Energy Modeling Forum</w:t>
      </w:r>
      <w:r w:rsidRPr="006507AF">
        <w:rPr>
          <w:rFonts w:eastAsia="Cambria"/>
          <w:sz w:val="12"/>
        </w:rPr>
        <w:t xml:space="preserve"> (EMF) </w:t>
      </w:r>
      <w:r w:rsidRPr="006507AF">
        <w:rPr>
          <w:rFonts w:eastAsia="Cambria"/>
          <w:b/>
          <w:iCs/>
          <w:highlight w:val="yellow"/>
          <w:u w:val="single"/>
        </w:rPr>
        <w:t xml:space="preserve">has been analyzing policy-relevant topics with multiple models since the </w:t>
      </w:r>
      <w:r w:rsidRPr="006507AF">
        <w:rPr>
          <w:rFonts w:eastAsia="Cambria"/>
          <w:sz w:val="12"/>
        </w:rPr>
        <w:t>late</w:t>
      </w:r>
      <w:r w:rsidRPr="006507AF">
        <w:rPr>
          <w:rFonts w:eastAsia="Cambria"/>
          <w:b/>
          <w:iCs/>
          <w:highlight w:val="yellow"/>
          <w:u w:val="single"/>
        </w:rPr>
        <w:t xml:space="preserve"> 1970s.</w:t>
      </w:r>
      <w:r w:rsidRPr="006507AF">
        <w:rPr>
          <w:rFonts w:eastAsia="Cambria"/>
          <w:sz w:val="12"/>
        </w:rPr>
        <w:t xml:space="preserve"> Its thirty-second study (EMF 32) convened eleven modeling teams to analyze alternative carbon pricing policies in the United States.2 ¶ The study began with a coordinated reference scenario, which assumes no new climate policies in the United States or other countries. To the extent feasible, modelers calibrated their reference scenarios to the AEO 2016 Early Release No Clean Power Plan case. ¶ Economically speaking, a carbon tax is </w:t>
      </w:r>
      <w:proofErr w:type="gramStart"/>
      <w:r w:rsidRPr="006507AF">
        <w:rPr>
          <w:rFonts w:eastAsia="Cambria"/>
          <w:sz w:val="12"/>
        </w:rPr>
        <w:t>actually two</w:t>
      </w:r>
      <w:proofErr w:type="gramEnd"/>
      <w:r w:rsidRPr="006507AF">
        <w:rPr>
          <w:rFonts w:eastAsia="Cambria"/>
          <w:sz w:val="12"/>
        </w:rPr>
        <w:t xml:space="preserve"> policies that operate in tandem – a price on carbon and the use of the revenue. This study examines twelve core policy variants that vary by price path and revenue use. Four price trajectories begin in 2020 at either $25 or $50 per ton of CO2 and rise at either one percent or five percent over inflation per year, leveling off in 2050. All dollar values are expressed in constant 2010 dollars. The policies apply the revenue either for direct rebates to households or to cuts in capital or labor taxes. All policy scenarios hold the U.S. federal budget deficit constant relative to the reference scenario. Modelers did not analyze new spending or deficit reduction scenarios, which are also options available to policymakers. ¶ 2. EMISSIONS OUTCOMES¶ Annual emissions¶ Figure 1 reports CO2 emissions projections in the reference (no new policy) scenario and four carbon price trajectories across the eleven EMF 32 models. The red lines show the average emissions levels across the models. The blue shaded area shows the range of model results; the individual model trajectories appear as blue lines. For better readability, the vertical axis starts above zero. ¶ Assuming the adoption of no new climate policies in the United States or other countries, most models projected U.S. CO2 emissions to remain flat over the coming decade, continuing their annual contribution to rising atmospheric CO2 concentrations (the first column in Figure 1).3 The policy scenarios, labeled by their initial value in 2020 and the rate at which they escalate each year relative to inflation, appear in the subsequent columns. They show that </w:t>
      </w:r>
      <w:r w:rsidRPr="006507AF">
        <w:rPr>
          <w:rFonts w:eastAsia="Cambria"/>
          <w:b/>
          <w:iCs/>
          <w:highlight w:val="yellow"/>
          <w:u w:val="single"/>
        </w:rPr>
        <w:t>the larger the carbon price, the deeper the projected emissions reductions.</w:t>
      </w:r>
      <w:r w:rsidRPr="006507AF">
        <w:rPr>
          <w:rFonts w:eastAsia="Cambria"/>
          <w:sz w:val="12"/>
        </w:rPr>
        <w:t xml:space="preserve"> A CO2 price of $25 in 2020 that rises at one percent per year reduces CO2 emissions roughly 16 to 28 percent below 2005 CO2 emissions levels4 by 2020 and 17 to 38 percent below 2005 levels by 2030. A CO2 price of $50 in 2020 rising at 5 percent per year reduces emissions 21 to 35% below 2005 levels by 2020 and 26 to 47 percent below 2005 levels by 2030. Doubling the carbon price does not double the reduction in emissions, reflecting an increase in the marginal costs per ton reduced as the policy becomes more ambitious. For example, as the electricity sector becomes decarbonized, further reductions must come from less price-responsive sectors such as transportation and industry. ¶ The range in emissions performance across models reflects both differences in model structure and inherent uncertainty in key economic parameters that drive emissions reductions in these models. Adding the full host of uncertainties around technology futures and economic growth would increase the spread. This suggests that if policymakers want to ensure achieving a specific national emissions target (annual or cumulative), they may need to adjust the price trajectory as policy outcomes evolve (</w:t>
      </w:r>
      <w:proofErr w:type="spellStart"/>
      <w:r w:rsidRPr="006507AF">
        <w:rPr>
          <w:rFonts w:eastAsia="Cambria"/>
          <w:sz w:val="12"/>
        </w:rPr>
        <w:t>Aldy</w:t>
      </w:r>
      <w:proofErr w:type="spellEnd"/>
      <w:r w:rsidRPr="006507AF">
        <w:rPr>
          <w:rFonts w:eastAsia="Cambria"/>
          <w:sz w:val="12"/>
        </w:rPr>
        <w:t xml:space="preserve"> et al., 2017). Conversely, if policymakers want to ensure that a particular carbon price path or range prevails, they must be flexible in the emissions outcomes. ¶ Figure 1 shows only the scenarios in which the carbon tax revenue is returned to households in equal rebates. Importantly, for a given carbon price path, the different uses of revenue have little, if any, impact on emissions. This is good news, as it gives policymakers freedom to address other policy priorities (such impacts on low-income households, the federal deficit, infrastructure, or tax reform) without sacrificing environmental benefits. An approach that uses the revenue to fund additional GHG reduction measures, for example in GHGs outside the taxed sources, could produce greater overall emissions reductions than shown in Figure 1. ¶ </w:t>
      </w:r>
      <w:r w:rsidRPr="006507AF">
        <w:rPr>
          <w:rFonts w:eastAsia="Cambria"/>
          <w:b/>
          <w:iCs/>
          <w:highlight w:val="yellow"/>
          <w:u w:val="single"/>
        </w:rPr>
        <w:t>All four price trajectories appear sufficient to achieve (or exceed) a 26 percent economy-wide emissions reduction</w:t>
      </w:r>
      <w:r w:rsidRPr="006507AF">
        <w:rPr>
          <w:rFonts w:eastAsia="Cambria"/>
          <w:sz w:val="12"/>
        </w:rPr>
        <w:t xml:space="preserve"> below 2005 levels </w:t>
      </w:r>
      <w:r w:rsidRPr="006507AF">
        <w:rPr>
          <w:rFonts w:eastAsia="Cambria"/>
          <w:b/>
          <w:iCs/>
          <w:highlight w:val="yellow"/>
          <w:u w:val="single"/>
        </w:rPr>
        <w:t>by 2025</w:t>
      </w:r>
      <w:r w:rsidRPr="006507AF">
        <w:rPr>
          <w:rFonts w:eastAsia="Cambria"/>
          <w:sz w:val="12"/>
        </w:rPr>
        <w:t xml:space="preserve"> – the low end of the U.S. commitment in Paris.5 In scenarios not shown here, modelers found that a price trajectory to achieve a 26 percent reduction target would begin between $9 and $22 per ton of CO2 in 2020 and rise to between $11 and $28 by 2025. ¶ Cumulative emissions¶ Because CO2’s effect in the atmosphere is long-lived and climate impacts scale with the total CO2 concentration in the atmosphere, cumulative emissions are a better metric of environmental benefits than emissions in any one year. By 2030 the $50 trajectories achieve considerably greater cumulative emissions reductions, with the $50-1% scenario achieving roughly 35 percent more total emissions reductions than the $25- 5% price path. ¶ Reductions in conventional air pollutants¶ </w:t>
      </w:r>
      <w:r w:rsidRPr="006507AF">
        <w:rPr>
          <w:rFonts w:eastAsia="Cambria"/>
          <w:b/>
          <w:iCs/>
          <w:highlight w:val="yellow"/>
          <w:u w:val="single"/>
        </w:rPr>
        <w:t>As carbon prices reduce fossil fuel use</w:t>
      </w:r>
      <w:r w:rsidRPr="006507AF">
        <w:rPr>
          <w:rFonts w:eastAsia="Cambria"/>
          <w:sz w:val="12"/>
        </w:rPr>
        <w:t xml:space="preserve">, especially coal and transportation fuels, </w:t>
      </w:r>
      <w:r w:rsidRPr="006507AF">
        <w:rPr>
          <w:rFonts w:eastAsia="Cambria"/>
          <w:b/>
          <w:iCs/>
          <w:highlight w:val="yellow"/>
          <w:u w:val="single"/>
        </w:rPr>
        <w:t>they also reduce air pollutants</w:t>
      </w:r>
      <w:r w:rsidRPr="006507AF">
        <w:rPr>
          <w:rFonts w:eastAsia="Cambria"/>
          <w:sz w:val="12"/>
        </w:rPr>
        <w:t xml:space="preserve"> like sulfur dioxide (SO2) and nitrogen oxide (NOx). </w:t>
      </w:r>
      <w:r w:rsidRPr="006507AF">
        <w:rPr>
          <w:rFonts w:eastAsia="Cambria"/>
          <w:b/>
          <w:iCs/>
          <w:highlight w:val="yellow"/>
          <w:u w:val="single"/>
        </w:rPr>
        <w:t>Reducing</w:t>
      </w:r>
      <w:r w:rsidRPr="006507AF">
        <w:rPr>
          <w:rFonts w:eastAsia="Cambria"/>
          <w:sz w:val="12"/>
        </w:rPr>
        <w:t xml:space="preserve"> these conventional </w:t>
      </w:r>
      <w:r w:rsidRPr="006507AF">
        <w:rPr>
          <w:rFonts w:eastAsia="Cambria"/>
          <w:b/>
          <w:iCs/>
          <w:highlight w:val="yellow"/>
          <w:u w:val="single"/>
        </w:rPr>
        <w:t>pollutants results in economically significant health benefits</w:t>
      </w:r>
      <w:r w:rsidRPr="006507AF">
        <w:rPr>
          <w:rFonts w:eastAsia="Cambria"/>
          <w:sz w:val="12"/>
        </w:rPr>
        <w:t xml:space="preserve"> -- </w:t>
      </w:r>
      <w:proofErr w:type="spellStart"/>
      <w:r w:rsidRPr="006507AF">
        <w:rPr>
          <w:rFonts w:eastAsia="Cambria"/>
          <w:sz w:val="12"/>
        </w:rPr>
        <w:t>benefits</w:t>
      </w:r>
      <w:proofErr w:type="spellEnd"/>
      <w:r w:rsidRPr="006507AF">
        <w:rPr>
          <w:rFonts w:eastAsia="Cambria"/>
          <w:sz w:val="12"/>
        </w:rPr>
        <w:t xml:space="preserve"> that accrue within the United States to current populations. EMF 32 models that include some of these pollutants6 report significant air quality benefits in the first </w:t>
      </w:r>
      <w:proofErr w:type="gramStart"/>
      <w:r w:rsidRPr="006507AF">
        <w:rPr>
          <w:rFonts w:eastAsia="Cambria"/>
          <w:sz w:val="12"/>
        </w:rPr>
        <w:t>decade;</w:t>
      </w:r>
      <w:proofErr w:type="gramEnd"/>
      <w:r w:rsidRPr="006507AF">
        <w:rPr>
          <w:rFonts w:eastAsia="Cambria"/>
          <w:sz w:val="12"/>
        </w:rPr>
        <w:t xml:space="preserve"> projected SO2 emissions from coal-fired power decline 52 to100 percent relative to reference. The health benefits from the average reduction in SO2 and NOx in 2025 from a $25 CO2 price are on the order of 3,500 to 8,000 avoided cases of premature mortality and 90,000 cases of exacerbated asthma using standard epidemiological estimates (</w:t>
      </w:r>
      <w:proofErr w:type="spellStart"/>
      <w:r w:rsidRPr="006507AF">
        <w:rPr>
          <w:rFonts w:eastAsia="Cambria"/>
          <w:sz w:val="12"/>
        </w:rPr>
        <w:t>Krewski</w:t>
      </w:r>
      <w:proofErr w:type="spellEnd"/>
      <w:r w:rsidRPr="006507AF">
        <w:rPr>
          <w:rFonts w:eastAsia="Cambria"/>
          <w:sz w:val="12"/>
        </w:rPr>
        <w:t xml:space="preserve"> et al., 2009; </w:t>
      </w:r>
      <w:proofErr w:type="spellStart"/>
      <w:r w:rsidRPr="006507AF">
        <w:rPr>
          <w:rFonts w:eastAsia="Cambria"/>
          <w:sz w:val="12"/>
        </w:rPr>
        <w:t>Lepeule</w:t>
      </w:r>
      <w:proofErr w:type="spellEnd"/>
      <w:r w:rsidRPr="006507AF">
        <w:rPr>
          <w:rFonts w:eastAsia="Cambria"/>
          <w:sz w:val="12"/>
        </w:rPr>
        <w:t xml:space="preserve"> et al., 2012) and EPA tools (</w:t>
      </w:r>
      <w:proofErr w:type="spellStart"/>
      <w:r w:rsidRPr="006507AF">
        <w:rPr>
          <w:rFonts w:eastAsia="Cambria"/>
          <w:sz w:val="12"/>
        </w:rPr>
        <w:t>Abt</w:t>
      </w:r>
      <w:proofErr w:type="spellEnd"/>
      <w:r w:rsidRPr="006507AF">
        <w:rPr>
          <w:rFonts w:eastAsia="Cambria"/>
          <w:sz w:val="12"/>
        </w:rPr>
        <w:t>, 2017).</w:t>
      </w:r>
    </w:p>
    <w:p w14:paraId="4F8B2DC1" w14:textId="77777777" w:rsidR="003639D8" w:rsidRPr="00513CD2" w:rsidRDefault="003639D8" w:rsidP="003639D8">
      <w:pPr>
        <w:keepNext/>
        <w:keepLines/>
        <w:spacing w:before="40" w:after="0"/>
        <w:outlineLvl w:val="3"/>
        <w:rPr>
          <w:rFonts w:eastAsia="MS Gothic"/>
          <w:b/>
          <w:iCs/>
          <w:sz w:val="26"/>
        </w:rPr>
      </w:pPr>
      <w:r w:rsidRPr="00513CD2">
        <w:rPr>
          <w:rFonts w:eastAsia="MS Gothic"/>
          <w:b/>
          <w:iCs/>
          <w:sz w:val="26"/>
        </w:rPr>
        <w:t>A carbon tax sparks US manufacturing in clean tech. James ‘13</w:t>
      </w:r>
    </w:p>
    <w:p w14:paraId="29672F37" w14:textId="77777777" w:rsidR="003639D8" w:rsidRPr="00513CD2" w:rsidRDefault="003639D8" w:rsidP="003639D8">
      <w:pPr>
        <w:rPr>
          <w:rFonts w:eastAsia="Cambria"/>
          <w:sz w:val="16"/>
          <w:szCs w:val="16"/>
        </w:rPr>
      </w:pPr>
      <w:r w:rsidRPr="00513CD2">
        <w:rPr>
          <w:rFonts w:eastAsia="Cambria"/>
          <w:sz w:val="16"/>
          <w:szCs w:val="16"/>
        </w:rPr>
        <w:t>Adam James (Research Assistant at the Center for American Progress), Kate Gordon, "Clean Energy Manufacturing Fights Climate Change, Increases U.S. Competitiveness, and Creates Jobs," 6/28/2013, https://www.americanprogress.org/issues/green/report/2013/06/28/68401/clean-energy-manufacturing-fights-climate-change-increases-u-s-competitiveness-and-creates-jobs/</w:t>
      </w:r>
    </w:p>
    <w:p w14:paraId="768B0C3F" w14:textId="77777777" w:rsidR="003639D8" w:rsidRPr="00513CD2" w:rsidRDefault="003639D8" w:rsidP="003639D8">
      <w:pPr>
        <w:ind w:left="720"/>
        <w:rPr>
          <w:rFonts w:eastAsia="Cambria"/>
          <w:sz w:val="12"/>
        </w:rPr>
      </w:pPr>
      <w:r w:rsidRPr="00513CD2">
        <w:rPr>
          <w:rFonts w:eastAsia="Cambria"/>
          <w:sz w:val="12"/>
        </w:rPr>
        <w:lastRenderedPageBreak/>
        <w:t xml:space="preserve">Passing a progressive carbon </w:t>
      </w:r>
      <w:proofErr w:type="gramStart"/>
      <w:r w:rsidRPr="00513CD2">
        <w:rPr>
          <w:rFonts w:eastAsia="Cambria"/>
          <w:sz w:val="12"/>
        </w:rPr>
        <w:t>tax</w:t>
      </w:r>
      <w:proofErr w:type="gramEnd"/>
      <w:r w:rsidRPr="00513CD2">
        <w:rPr>
          <w:rFonts w:eastAsia="Cambria"/>
          <w:sz w:val="12"/>
        </w:rPr>
        <w:t xml:space="preserve"> The economic opportunity from creating clean energy products is clear. But </w:t>
      </w:r>
      <w:r w:rsidRPr="00513CD2">
        <w:rPr>
          <w:rFonts w:eastAsia="Cambria"/>
          <w:b/>
          <w:iCs/>
          <w:highlight w:val="yellow"/>
          <w:u w:val="single"/>
        </w:rPr>
        <w:t>creating</w:t>
      </w:r>
      <w:r w:rsidRPr="00513CD2">
        <w:rPr>
          <w:rFonts w:eastAsia="Cambria"/>
          <w:sz w:val="12"/>
        </w:rPr>
        <w:t xml:space="preserve"> consistent </w:t>
      </w:r>
      <w:r w:rsidRPr="00513CD2">
        <w:rPr>
          <w:rFonts w:eastAsia="Cambria"/>
          <w:b/>
          <w:iCs/>
          <w:highlight w:val="yellow"/>
          <w:u w:val="single"/>
        </w:rPr>
        <w:t>investment</w:t>
      </w:r>
      <w:r w:rsidRPr="00513CD2">
        <w:rPr>
          <w:rFonts w:eastAsia="Cambria"/>
          <w:sz w:val="12"/>
        </w:rPr>
        <w:t xml:space="preserve"> in manufacturing from the private sector also </w:t>
      </w:r>
      <w:r w:rsidRPr="00513CD2">
        <w:rPr>
          <w:rFonts w:eastAsia="Cambria"/>
          <w:b/>
          <w:iCs/>
          <w:highlight w:val="yellow"/>
          <w:u w:val="single"/>
        </w:rPr>
        <w:t>requires</w:t>
      </w:r>
      <w:r w:rsidRPr="00513CD2">
        <w:rPr>
          <w:rFonts w:eastAsia="Cambria"/>
          <w:sz w:val="12"/>
        </w:rPr>
        <w:t xml:space="preserve"> generating </w:t>
      </w:r>
      <w:r w:rsidRPr="00513CD2">
        <w:rPr>
          <w:rFonts w:eastAsia="Cambria"/>
          <w:b/>
          <w:iCs/>
          <w:highlight w:val="yellow"/>
          <w:u w:val="single"/>
        </w:rPr>
        <w:t>new demand.</w:t>
      </w:r>
      <w:r w:rsidRPr="00513CD2">
        <w:rPr>
          <w:rFonts w:eastAsia="Cambria"/>
          <w:sz w:val="12"/>
        </w:rPr>
        <w:t xml:space="preserve"> There are </w:t>
      </w:r>
      <w:proofErr w:type="gramStart"/>
      <w:r w:rsidRPr="00513CD2">
        <w:rPr>
          <w:rFonts w:eastAsia="Cambria"/>
          <w:sz w:val="12"/>
        </w:rPr>
        <w:t>a number of</w:t>
      </w:r>
      <w:proofErr w:type="gramEnd"/>
      <w:r w:rsidRPr="00513CD2">
        <w:rPr>
          <w:rFonts w:eastAsia="Cambria"/>
          <w:sz w:val="12"/>
        </w:rPr>
        <w:t xml:space="preserve"> policies that fit into this category. But passing </w:t>
      </w:r>
      <w:r w:rsidRPr="00513CD2">
        <w:rPr>
          <w:rFonts w:eastAsia="Cambria"/>
          <w:b/>
          <w:iCs/>
          <w:highlight w:val="yellow"/>
          <w:u w:val="single"/>
        </w:rPr>
        <w:t>a</w:t>
      </w:r>
      <w:r w:rsidRPr="00513CD2">
        <w:rPr>
          <w:rFonts w:eastAsia="Cambria"/>
          <w:sz w:val="12"/>
        </w:rPr>
        <w:t xml:space="preserve"> progressive </w:t>
      </w:r>
      <w:r w:rsidRPr="00513CD2">
        <w:rPr>
          <w:rFonts w:eastAsia="Cambria"/>
          <w:b/>
          <w:iCs/>
          <w:highlight w:val="yellow"/>
          <w:u w:val="single"/>
        </w:rPr>
        <w:t>carbon tax is the</w:t>
      </w:r>
      <w:r w:rsidRPr="00513CD2">
        <w:rPr>
          <w:rFonts w:eastAsia="Cambria"/>
          <w:sz w:val="12"/>
        </w:rPr>
        <w:t xml:space="preserve"> simplest, </w:t>
      </w:r>
      <w:r w:rsidRPr="00513CD2">
        <w:rPr>
          <w:rFonts w:eastAsia="Cambria"/>
          <w:b/>
          <w:iCs/>
          <w:highlight w:val="yellow"/>
          <w:u w:val="single"/>
        </w:rPr>
        <w:t>most direct means of creating strong and consistent demand</w:t>
      </w:r>
      <w:r w:rsidRPr="00513CD2">
        <w:rPr>
          <w:rFonts w:eastAsia="Cambria"/>
          <w:sz w:val="12"/>
        </w:rPr>
        <w:t xml:space="preserve"> </w:t>
      </w:r>
      <w:r w:rsidRPr="00513CD2">
        <w:rPr>
          <w:rFonts w:eastAsia="Cambria"/>
          <w:b/>
          <w:iCs/>
          <w:highlight w:val="yellow"/>
          <w:u w:val="single"/>
        </w:rPr>
        <w:t>for low-carbon products</w:t>
      </w:r>
      <w:r w:rsidRPr="00513CD2">
        <w:rPr>
          <w:rFonts w:eastAsia="Cambria"/>
          <w:sz w:val="12"/>
        </w:rPr>
        <w:t xml:space="preserve"> across a variety of energy and transportation sectors while simultaneously fighting climate change</w:t>
      </w:r>
      <w:r w:rsidRPr="00513CD2">
        <w:rPr>
          <w:rFonts w:eastAsia="Cambria"/>
          <w:b/>
          <w:iCs/>
          <w:highlight w:val="yellow"/>
          <w:u w:val="single"/>
        </w:rPr>
        <w:t>.</w:t>
      </w:r>
      <w:r w:rsidRPr="00513CD2">
        <w:rPr>
          <w:rFonts w:eastAsia="Cambria"/>
          <w:sz w:val="12"/>
        </w:rPr>
        <w:t xml:space="preserve"> </w:t>
      </w:r>
      <w:r w:rsidRPr="00513CD2">
        <w:rPr>
          <w:rFonts w:eastAsia="Cambria"/>
          <w:b/>
          <w:iCs/>
          <w:highlight w:val="yellow"/>
          <w:u w:val="single"/>
        </w:rPr>
        <w:t xml:space="preserve">Currently, fossil fuels have a </w:t>
      </w:r>
      <w:r w:rsidRPr="00513CD2">
        <w:rPr>
          <w:rFonts w:eastAsia="Cambria"/>
          <w:sz w:val="12"/>
        </w:rPr>
        <w:t xml:space="preserve">distinct </w:t>
      </w:r>
      <w:r w:rsidRPr="00513CD2">
        <w:rPr>
          <w:rFonts w:eastAsia="Cambria"/>
          <w:b/>
          <w:iCs/>
          <w:highlight w:val="yellow"/>
          <w:u w:val="single"/>
        </w:rPr>
        <w:t>market advantage</w:t>
      </w:r>
      <w:r w:rsidRPr="00513CD2">
        <w:rPr>
          <w:rFonts w:eastAsia="Cambria"/>
          <w:sz w:val="12"/>
        </w:rPr>
        <w:t xml:space="preserve"> over renewable-energy technology </w:t>
      </w:r>
      <w:r w:rsidRPr="00513CD2">
        <w:rPr>
          <w:rFonts w:eastAsia="Cambria"/>
          <w:b/>
          <w:iCs/>
          <w:highlight w:val="yellow"/>
          <w:u w:val="single"/>
        </w:rPr>
        <w:t xml:space="preserve">because they do not pay for </w:t>
      </w:r>
      <w:r w:rsidRPr="00513CD2">
        <w:rPr>
          <w:rFonts w:eastAsia="Cambria"/>
          <w:sz w:val="12"/>
        </w:rPr>
        <w:t xml:space="preserve">the externalities or the </w:t>
      </w:r>
      <w:r w:rsidRPr="00513CD2">
        <w:rPr>
          <w:rFonts w:eastAsia="Cambria"/>
          <w:b/>
          <w:iCs/>
          <w:highlight w:val="yellow"/>
          <w:u w:val="single"/>
        </w:rPr>
        <w:t>social costs</w:t>
      </w:r>
      <w:r w:rsidRPr="00513CD2">
        <w:rPr>
          <w:rFonts w:eastAsia="Cambria"/>
          <w:sz w:val="12"/>
        </w:rPr>
        <w:t>, such as pollution, from their product</w:t>
      </w:r>
      <w:r w:rsidRPr="00513CD2">
        <w:rPr>
          <w:rFonts w:eastAsia="Cambria"/>
          <w:b/>
          <w:iCs/>
          <w:highlight w:val="yellow"/>
          <w:u w:val="single"/>
        </w:rPr>
        <w:t>.</w:t>
      </w:r>
      <w:r w:rsidRPr="00513CD2">
        <w:rPr>
          <w:rFonts w:eastAsia="Cambria"/>
          <w:sz w:val="12"/>
        </w:rPr>
        <w:t xml:space="preserve"> </w:t>
      </w:r>
      <w:r w:rsidRPr="00513CD2">
        <w:rPr>
          <w:rFonts w:eastAsia="Cambria"/>
          <w:b/>
          <w:iCs/>
          <w:highlight w:val="yellow"/>
          <w:u w:val="single"/>
        </w:rPr>
        <w:t>Being permitted to pollute for free provides a massive subsidy</w:t>
      </w:r>
      <w:r w:rsidRPr="00513CD2">
        <w:rPr>
          <w:rFonts w:eastAsia="Cambria"/>
          <w:sz w:val="12"/>
        </w:rPr>
        <w:t xml:space="preserve">, one </w:t>
      </w:r>
      <w:r w:rsidRPr="00513CD2">
        <w:rPr>
          <w:rFonts w:eastAsia="Cambria"/>
          <w:b/>
          <w:iCs/>
          <w:highlight w:val="yellow"/>
          <w:u w:val="single"/>
        </w:rPr>
        <w:t>that creates an unfair playing field against clean energy</w:t>
      </w:r>
      <w:r w:rsidRPr="00513CD2">
        <w:rPr>
          <w:rFonts w:eastAsia="Cambria"/>
          <w:sz w:val="12"/>
        </w:rPr>
        <w:t xml:space="preserve"> because the true costs of fossil fuels are not reflected in the price, whereas the true costs of renewable energy are</w:t>
      </w:r>
      <w:r w:rsidRPr="00513CD2">
        <w:rPr>
          <w:rFonts w:eastAsia="Cambria"/>
          <w:b/>
          <w:iCs/>
          <w:highlight w:val="yellow"/>
          <w:u w:val="single"/>
        </w:rPr>
        <w:t>.</w:t>
      </w:r>
      <w:r w:rsidRPr="00513CD2">
        <w:rPr>
          <w:rFonts w:eastAsia="Cambria"/>
          <w:sz w:val="12"/>
        </w:rPr>
        <w:t xml:space="preserve"> To top it off, fossil fuels directly benefit from the balkanized, centralized structure of the energy grid and its accompanying levels of regulation. This is because the electrical grid has been designed to accommodate fossil fuels, and although technological innovations such as forecasting software, storage, and better energy management have made renewable energy practical, the regulatory structure at the federal and state levels is slower to change. </w:t>
      </w:r>
      <w:r w:rsidRPr="00513CD2">
        <w:rPr>
          <w:rFonts w:eastAsia="Cambria"/>
          <w:b/>
          <w:iCs/>
          <w:highlight w:val="yellow"/>
          <w:u w:val="single"/>
        </w:rPr>
        <w:t xml:space="preserve">A carbon tax would place a cost on pollution and generate new revenue that could be put toward </w:t>
      </w:r>
      <w:r w:rsidRPr="00513CD2">
        <w:rPr>
          <w:rFonts w:eastAsia="Cambria"/>
          <w:sz w:val="12"/>
        </w:rPr>
        <w:t xml:space="preserve">a variety of purposes, including deficit reduction and </w:t>
      </w:r>
      <w:r w:rsidRPr="00513CD2">
        <w:rPr>
          <w:rFonts w:eastAsia="Cambria"/>
          <w:b/>
          <w:iCs/>
          <w:highlight w:val="yellow"/>
          <w:u w:val="single"/>
        </w:rPr>
        <w:t>clean energy investment.</w:t>
      </w:r>
      <w:r w:rsidRPr="00513CD2">
        <w:rPr>
          <w:rFonts w:eastAsia="Cambria"/>
          <w:sz w:val="12"/>
        </w:rPr>
        <w:t xml:space="preserve"> In addition, it would stimulate demand for clean energy products by requiring fossil fuels to internalize their costs. If designed the right way, </w:t>
      </w:r>
      <w:r w:rsidRPr="00513CD2">
        <w:rPr>
          <w:rFonts w:eastAsia="Cambria"/>
          <w:b/>
          <w:iCs/>
          <w:highlight w:val="yellow"/>
          <w:u w:val="single"/>
        </w:rPr>
        <w:t xml:space="preserve">such a tax would </w:t>
      </w:r>
      <w:r w:rsidRPr="00513CD2">
        <w:rPr>
          <w:rFonts w:eastAsia="Cambria"/>
          <w:sz w:val="12"/>
        </w:rPr>
        <w:t>also</w:t>
      </w:r>
      <w:r w:rsidRPr="00513CD2">
        <w:rPr>
          <w:rFonts w:eastAsia="Cambria"/>
          <w:b/>
          <w:iCs/>
          <w:highlight w:val="yellow"/>
          <w:u w:val="single"/>
        </w:rPr>
        <w:t xml:space="preserve"> be progressive</w:t>
      </w:r>
      <w:r w:rsidRPr="00513CD2">
        <w:rPr>
          <w:rFonts w:eastAsia="Cambria"/>
          <w:sz w:val="12"/>
        </w:rPr>
        <w:t xml:space="preserve"> instead of hitting the wallets of middle- and lower-class families. Conclusion </w:t>
      </w:r>
      <w:r w:rsidRPr="00A82D12">
        <w:rPr>
          <w:sz w:val="12"/>
          <w:szCs w:val="12"/>
        </w:rPr>
        <w:t>There is a massive economic opportunity if the clean energy future were to be manufactured in the United States. T</w:t>
      </w:r>
      <w:r w:rsidRPr="00513CD2">
        <w:rPr>
          <w:rFonts w:eastAsia="Cambria"/>
          <w:sz w:val="12"/>
        </w:rPr>
        <w:t>o accomplish this, the Obama administration should continue to prioritize clean energy manufacturing as a central component of its second-term agenda, and Congress should pass supportive legislation that will put America on the cutting edge of competitiveness while creating well-paying jobs at home. Funding National Networks for Manufacturing Innovation that will have a clean energy focus, supportive tax credits, and a progressive carbon tax are the essential elements of spurring economic growth while fighting climate change, and Congress and the administration should work to ensure the passage of all three.</w:t>
      </w:r>
    </w:p>
    <w:p w14:paraId="4F61C0BA" w14:textId="77777777" w:rsidR="003639D8" w:rsidRPr="00B55AD5" w:rsidRDefault="003639D8" w:rsidP="003639D8"/>
    <w:p w14:paraId="742B7283" w14:textId="77777777" w:rsidR="003639D8" w:rsidRDefault="003639D8" w:rsidP="003639D8">
      <w:pPr>
        <w:pStyle w:val="Heading2"/>
      </w:pPr>
      <w:r>
        <w:lastRenderedPageBreak/>
        <w:t>Violence PIC</w:t>
      </w:r>
    </w:p>
    <w:p w14:paraId="41D50EB7" w14:textId="77777777" w:rsidR="003639D8" w:rsidRDefault="003639D8" w:rsidP="003639D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Counterplan: A just government ought to guarantee the right to strike over environmental conditions except for violent strike tactics.</w:t>
      </w:r>
    </w:p>
    <w:p w14:paraId="25A25787" w14:textId="77777777" w:rsidR="003639D8" w:rsidRPr="000E0231" w:rsidRDefault="003639D8" w:rsidP="003639D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Strikes can be violent, South Africa proves. This link turns the AC by harming the affected sector and decking the economy.</w:t>
      </w:r>
    </w:p>
    <w:p w14:paraId="60048FBC" w14:textId="77777777" w:rsidR="003639D8" w:rsidRPr="000E0231" w:rsidRDefault="003639D8" w:rsidP="003639D8">
      <w:pPr>
        <w:rPr>
          <w:rFonts w:asciiTheme="minorHAnsi" w:eastAsia="Cambria" w:hAnsiTheme="minorHAnsi" w:cstheme="minorHAnsi"/>
        </w:rPr>
      </w:pPr>
      <w:proofErr w:type="spellStart"/>
      <w:r>
        <w:rPr>
          <w:rStyle w:val="Style13ptBold"/>
        </w:rPr>
        <w:t>Tenzam</w:t>
      </w:r>
      <w:proofErr w:type="spellEnd"/>
      <w:r>
        <w:rPr>
          <w:rStyle w:val="Style13ptBold"/>
        </w:rPr>
        <w:t xml:space="preserve"> ’20 - </w:t>
      </w:r>
      <w:proofErr w:type="spellStart"/>
      <w:r w:rsidRPr="000E0231">
        <w:rPr>
          <w:rFonts w:asciiTheme="minorHAnsi" w:eastAsia="Cambria" w:hAnsiTheme="minorHAnsi" w:cstheme="minorHAnsi"/>
        </w:rPr>
        <w:t>Mlungisi</w:t>
      </w:r>
      <w:proofErr w:type="spellEnd"/>
      <w:r w:rsidRPr="000E0231">
        <w:rPr>
          <w:rFonts w:asciiTheme="minorHAnsi" w:eastAsia="Cambria" w:hAnsiTheme="minorHAnsi" w:cstheme="minorHAnsi"/>
        </w:rPr>
        <w:t xml:space="preserve"> </w:t>
      </w:r>
      <w:proofErr w:type="spellStart"/>
      <w:r w:rsidRPr="000E0231">
        <w:rPr>
          <w:rFonts w:asciiTheme="minorHAnsi" w:eastAsia="Cambria" w:hAnsiTheme="minorHAnsi" w:cstheme="minorHAnsi"/>
        </w:rPr>
        <w:t>Tenzam</w:t>
      </w:r>
      <w:proofErr w:type="spellEnd"/>
      <w:r w:rsidRPr="000E0231">
        <w:rPr>
          <w:rFonts w:asciiTheme="minorHAnsi" w:eastAsia="Cambria" w:hAnsiTheme="minorHAnsi" w:cstheme="minorHAnsi"/>
        </w:rPr>
        <w:t xml:space="preserve"> LLB LLM LLD Senior Lecturer, University of KwaZulu-Natal, 2020, The effects of violent strikes on the economy of a developing country: a case of South Africa, http://www.scielo.org.za/scielo.php?script=sci_arttext&amp;pid=S1682-58532020000300004</w:t>
      </w:r>
    </w:p>
    <w:p w14:paraId="2A0B1A42" w14:textId="77777777" w:rsidR="003639D8" w:rsidRPr="000E0231" w:rsidRDefault="003639D8" w:rsidP="003639D8">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w:t>
      </w:r>
      <w:proofErr w:type="spellStart"/>
      <w:r w:rsidRPr="000E0231">
        <w:rPr>
          <w:rFonts w:asciiTheme="minorHAnsi" w:eastAsia="Cambria" w:hAnsiTheme="minorHAnsi" w:cstheme="minorHAnsi"/>
          <w:sz w:val="12"/>
        </w:rPr>
        <w:t>programmes</w:t>
      </w:r>
      <w:proofErr w:type="spellEnd"/>
      <w:r w:rsidRPr="000E0231">
        <w:rPr>
          <w:rFonts w:asciiTheme="minorHAnsi" w:eastAsia="Cambria" w:hAnsiTheme="minorHAnsi" w:cstheme="minorHAnsi"/>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Relations Act 66 of 199515 (LRA). The main purpose of the LRA is to "advance economic development, social justice,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peace and the </w:t>
      </w:r>
      <w:proofErr w:type="spellStart"/>
      <w:r w:rsidRPr="000E0231">
        <w:rPr>
          <w:rFonts w:asciiTheme="minorHAnsi" w:eastAsia="Cambria" w:hAnsiTheme="minorHAnsi" w:cstheme="minorHAnsi"/>
          <w:sz w:val="12"/>
        </w:rPr>
        <w:t>democratisation</w:t>
      </w:r>
      <w:proofErr w:type="spellEnd"/>
      <w:r w:rsidRPr="000E0231">
        <w:rPr>
          <w:rFonts w:asciiTheme="minorHAnsi" w:eastAsia="Cambria" w:hAnsiTheme="minorHAnsi" w:cstheme="minorHAnsi"/>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w:t>
      </w:r>
      <w:proofErr w:type="spellStart"/>
      <w:r w:rsidRPr="000E0231">
        <w:rPr>
          <w:rFonts w:asciiTheme="minorHAnsi" w:eastAsia="Cambria" w:hAnsiTheme="minorHAnsi" w:cstheme="minorHAnsi"/>
          <w:sz w:val="12"/>
        </w:rPr>
        <w:t>emphasise</w:t>
      </w:r>
      <w:proofErr w:type="spellEnd"/>
      <w:r w:rsidRPr="000E0231">
        <w:rPr>
          <w:rFonts w:asciiTheme="minorHAnsi" w:eastAsia="Cambria" w:hAnsiTheme="minorHAnsi" w:cstheme="minorHAnsi"/>
          <w:sz w:val="12"/>
        </w:rPr>
        <w:t xml:space="preserv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w:t>
      </w:r>
      <w:proofErr w:type="gramStart"/>
      <w:r w:rsidRPr="000E0231">
        <w:rPr>
          <w:rFonts w:asciiTheme="minorHAnsi" w:eastAsia="Cambria" w:hAnsiTheme="minorHAnsi" w:cstheme="minorHAnsi"/>
          <w:sz w:val="12"/>
        </w:rPr>
        <w:t>follows:¶</w:t>
      </w:r>
      <w:proofErr w:type="gramEnd"/>
      <w:r w:rsidRPr="000E0231">
        <w:rPr>
          <w:rFonts w:asciiTheme="minorHAnsi" w:eastAsia="Cambria" w:hAnsiTheme="minorHAnsi" w:cstheme="minorHAnsi"/>
          <w:sz w:val="12"/>
        </w:rPr>
        <w:t xml:space="preserve"> "[T]here is no sweet strike, there is no Christian strike ... A strike is a strike. [Y]</w:t>
      </w:r>
      <w:proofErr w:type="spellStart"/>
      <w:r w:rsidRPr="000E0231">
        <w:rPr>
          <w:rFonts w:asciiTheme="minorHAnsi" w:eastAsia="Cambria" w:hAnsiTheme="minorHAnsi" w:cstheme="minorHAnsi"/>
          <w:sz w:val="12"/>
        </w:rPr>
        <w:t>ou</w:t>
      </w:r>
      <w:proofErr w:type="spellEnd"/>
      <w:r w:rsidRPr="000E0231">
        <w:rPr>
          <w:rFonts w:asciiTheme="minorHAnsi" w:eastAsia="Cambria" w:hAnsiTheme="minorHAnsi" w:cstheme="minorHAnsi"/>
          <w:sz w:val="12"/>
        </w:rPr>
        <w:t xml:space="preserve">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w:t>
      </w:r>
      <w:proofErr w:type="spellStart"/>
      <w:r w:rsidRPr="000E0231">
        <w:rPr>
          <w:rFonts w:asciiTheme="minorHAnsi" w:eastAsia="Cambria" w:hAnsiTheme="minorHAnsi" w:cstheme="minorHAnsi"/>
          <w:sz w:val="12"/>
        </w:rPr>
        <w:t>Organisation</w:t>
      </w:r>
      <w:proofErr w:type="spellEnd"/>
      <w:r w:rsidRPr="000E0231">
        <w:rPr>
          <w:rFonts w:asciiTheme="minorHAnsi" w:eastAsia="Cambria" w:hAnsiTheme="minorHAnsi" w:cstheme="minorHAnsi"/>
          <w:sz w:val="12"/>
        </w:rPr>
        <w:t xml:space="preserve">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0E0231">
        <w:rPr>
          <w:rFonts w:asciiTheme="minorHAnsi" w:eastAsia="Cambria" w:hAnsiTheme="minorHAnsi" w:cstheme="minorHAnsi"/>
          <w:sz w:val="12"/>
        </w:rPr>
        <w:t>planks</w:t>
      </w:r>
      <w:proofErr w:type="gramEnd"/>
      <w:r w:rsidRPr="000E0231">
        <w:rPr>
          <w:rFonts w:asciiTheme="minorHAnsi" w:eastAsia="Cambria" w:hAnsiTheme="minorHAnsi" w:cstheme="minorHAnsi"/>
          <w:sz w:val="12"/>
        </w:rPr>
        <w:t xml:space="preserve"> and bottles. One of the strikers </w:t>
      </w:r>
      <w:proofErr w:type="spellStart"/>
      <w:r w:rsidRPr="000E0231">
        <w:rPr>
          <w:rFonts w:asciiTheme="minorHAnsi" w:eastAsia="Cambria" w:hAnsiTheme="minorHAnsi" w:cstheme="minorHAnsi"/>
          <w:sz w:val="12"/>
        </w:rPr>
        <w:t>Mr</w:t>
      </w:r>
      <w:proofErr w:type="spellEnd"/>
      <w:r w:rsidRPr="000E0231">
        <w:rPr>
          <w:rFonts w:asciiTheme="minorHAnsi" w:eastAsia="Cambria" w:hAnsiTheme="minorHAnsi" w:cstheme="minorHAnsi"/>
          <w:sz w:val="12"/>
        </w:rPr>
        <w:t xml:space="preserve"> </w:t>
      </w:r>
      <w:proofErr w:type="spellStart"/>
      <w:r w:rsidRPr="000E0231">
        <w:rPr>
          <w:rFonts w:asciiTheme="minorHAnsi" w:eastAsia="Cambria" w:hAnsiTheme="minorHAnsi" w:cstheme="minorHAnsi"/>
          <w:sz w:val="12"/>
        </w:rPr>
        <w:t>Nqoko</w:t>
      </w:r>
      <w:proofErr w:type="spellEnd"/>
      <w:r w:rsidRPr="000E0231">
        <w:rPr>
          <w:rFonts w:asciiTheme="minorHAnsi" w:eastAsia="Cambria" w:hAnsiTheme="minorHAnsi" w:cstheme="minorHAnsi"/>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06FB0C3A" w14:textId="77777777" w:rsidR="003639D8" w:rsidRPr="0020573F" w:rsidRDefault="003639D8" w:rsidP="003639D8"/>
    <w:p w14:paraId="6810D406" w14:textId="77777777" w:rsidR="003639D8" w:rsidRPr="0020573F" w:rsidRDefault="003639D8" w:rsidP="003639D8"/>
    <w:p w14:paraId="68A2EAE8" w14:textId="77777777" w:rsidR="003639D8" w:rsidRDefault="003639D8" w:rsidP="003639D8">
      <w:pPr>
        <w:pStyle w:val="Heading2"/>
      </w:pPr>
      <w:r>
        <w:lastRenderedPageBreak/>
        <w:t>Case</w:t>
      </w:r>
    </w:p>
    <w:p w14:paraId="4D1AA25E" w14:textId="77777777" w:rsidR="003639D8" w:rsidRDefault="003639D8" w:rsidP="003639D8">
      <w:pPr>
        <w:pStyle w:val="Heading4"/>
        <w:numPr>
          <w:ilvl w:val="0"/>
          <w:numId w:val="12"/>
        </w:numPr>
      </w:pPr>
      <w:r>
        <w:t>Solvency</w:t>
      </w:r>
    </w:p>
    <w:p w14:paraId="11D3D30F" w14:textId="77777777" w:rsidR="003639D8" w:rsidRDefault="003639D8" w:rsidP="003639D8">
      <w:pPr>
        <w:pStyle w:val="Heading4"/>
        <w:numPr>
          <w:ilvl w:val="1"/>
          <w:numId w:val="12"/>
        </w:numPr>
      </w:pPr>
      <w:r>
        <w:t xml:space="preserve">PIC solves best: Violent environmental strikes delegitimize the movement </w:t>
      </w:r>
    </w:p>
    <w:p w14:paraId="065490F0" w14:textId="77777777" w:rsidR="003639D8" w:rsidRDefault="003639D8" w:rsidP="003639D8">
      <w:pPr>
        <w:pStyle w:val="Heading4"/>
        <w:numPr>
          <w:ilvl w:val="1"/>
          <w:numId w:val="12"/>
        </w:numPr>
      </w:pPr>
      <w:r>
        <w:t xml:space="preserve">Extra T: any offense predicated on student strikes is extra T because the topic is about “workers” </w:t>
      </w:r>
    </w:p>
    <w:p w14:paraId="7548FA49" w14:textId="77777777" w:rsidR="003639D8" w:rsidRDefault="003639D8" w:rsidP="003639D8">
      <w:pPr>
        <w:pStyle w:val="Heading4"/>
        <w:numPr>
          <w:ilvl w:val="1"/>
          <w:numId w:val="12"/>
        </w:numPr>
      </w:pPr>
      <w:r>
        <w:t xml:space="preserve">Alt solvency – strikes have negligible success for an issue as global and in depth as climate change. Only radical </w:t>
      </w:r>
      <w:proofErr w:type="spellStart"/>
      <w:r>
        <w:t>postwork</w:t>
      </w:r>
      <w:proofErr w:type="spellEnd"/>
      <w:r>
        <w:t xml:space="preserve"> solves. </w:t>
      </w:r>
    </w:p>
    <w:p w14:paraId="10330017" w14:textId="09AF49C0" w:rsidR="000628E6" w:rsidRPr="000628E6" w:rsidRDefault="003639D8" w:rsidP="000628E6">
      <w:pPr>
        <w:pStyle w:val="Heading4"/>
        <w:numPr>
          <w:ilvl w:val="0"/>
          <w:numId w:val="12"/>
        </w:numPr>
      </w:pPr>
      <w:r>
        <w:t xml:space="preserve">Their Monbiot evidence doesn’t talk about </w:t>
      </w:r>
      <w:r w:rsidR="00E84557">
        <w:t xml:space="preserve">workers striking, just students – there’s a dissonance between what their plan could topically cause and what they claim its effects are </w:t>
      </w:r>
      <w:r w:rsidR="000628E6">
        <w:t xml:space="preserve">– the advantage and solvency aren’t about workers, and the only cards that reference actual workers going on strike </w:t>
      </w:r>
    </w:p>
    <w:p w14:paraId="32AB3B2D" w14:textId="77777777" w:rsidR="000628E6" w:rsidRDefault="000628E6" w:rsidP="000628E6">
      <w:pPr>
        <w:pStyle w:val="Heading3"/>
      </w:pPr>
    </w:p>
    <w:p w14:paraId="6A271C43" w14:textId="6D62B3E8" w:rsidR="000628E6" w:rsidRDefault="000628E6" w:rsidP="00C8764F">
      <w:pPr>
        <w:pStyle w:val="Heading3"/>
      </w:pPr>
      <w:r>
        <w:lastRenderedPageBreak/>
        <w:t>Backlash Turn</w:t>
      </w:r>
    </w:p>
    <w:p w14:paraId="65E0C996" w14:textId="77777777" w:rsidR="000628E6" w:rsidRPr="002E25ED" w:rsidRDefault="000628E6" w:rsidP="000628E6">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7BA26E02" w14:textId="77777777" w:rsidR="000628E6" w:rsidRPr="002E25ED" w:rsidRDefault="000628E6" w:rsidP="000628E6">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21633FDC" w14:textId="77777777" w:rsidR="000628E6" w:rsidRPr="002E25ED" w:rsidRDefault="000628E6" w:rsidP="000628E6">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9"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20"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21"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2"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3"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4"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5"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6"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7"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8"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9"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30"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31"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2"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3"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4"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5"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6"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7"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8"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77959B95" w14:textId="77777777" w:rsidR="000628E6" w:rsidRPr="002E25ED" w:rsidRDefault="000628E6" w:rsidP="000628E6">
      <w:pPr>
        <w:spacing w:line="240" w:lineRule="auto"/>
        <w:rPr>
          <w:rFonts w:eastAsia="Cambria"/>
          <w:lang w:val="en-HK"/>
        </w:rPr>
      </w:pPr>
    </w:p>
    <w:p w14:paraId="417E99F7" w14:textId="77777777" w:rsidR="000628E6" w:rsidRPr="002E25ED" w:rsidRDefault="000628E6" w:rsidP="000628E6">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30E575DE" w14:textId="77777777" w:rsidR="000628E6" w:rsidRPr="002E25ED" w:rsidRDefault="000628E6" w:rsidP="000628E6">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6DE79705" w14:textId="77777777" w:rsidR="000628E6" w:rsidRPr="002E25ED" w:rsidRDefault="000628E6" w:rsidP="000628E6">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9"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40"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41"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42"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43"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44"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w:t>
      </w:r>
      <w:r w:rsidRPr="002E25ED">
        <w:rPr>
          <w:rFonts w:eastAsia="Times New Roman"/>
          <w:color w:val="333333"/>
          <w:sz w:val="12"/>
        </w:rPr>
        <w:lastRenderedPageBreak/>
        <w:t>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594BB42" w14:textId="77777777" w:rsidR="000628E6" w:rsidRPr="000628E6" w:rsidRDefault="000628E6" w:rsidP="000628E6"/>
    <w:sectPr w:rsidR="000628E6" w:rsidRPr="000628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556A8F"/>
    <w:multiLevelType w:val="hybridMultilevel"/>
    <w:tmpl w:val="3486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0D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8E6"/>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63"/>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CCC"/>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9D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D3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64F"/>
    <w:rsid w:val="00CA013C"/>
    <w:rsid w:val="00CA6D6D"/>
    <w:rsid w:val="00CC7A4E"/>
    <w:rsid w:val="00CD1359"/>
    <w:rsid w:val="00CD4C83"/>
    <w:rsid w:val="00CE0EE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557"/>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86DC7"/>
  <w14:defaultImageDpi w14:val="300"/>
  <w15:docId w15:val="{5B23247E-9648-0F45-A7E2-2D12D0091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39D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0D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0D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0D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70D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0D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0D3C"/>
  </w:style>
  <w:style w:type="character" w:customStyle="1" w:styleId="Heading1Char">
    <w:name w:val="Heading 1 Char"/>
    <w:aliases w:val="Pocket Char"/>
    <w:basedOn w:val="DefaultParagraphFont"/>
    <w:link w:val="Heading1"/>
    <w:uiPriority w:val="9"/>
    <w:rsid w:val="00470D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0D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0D3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70D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70D3C"/>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470D3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470D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0D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470D3C"/>
    <w:rPr>
      <w:color w:val="auto"/>
      <w:u w:val="none"/>
    </w:rPr>
  </w:style>
  <w:style w:type="paragraph" w:styleId="DocumentMap">
    <w:name w:val="Document Map"/>
    <w:basedOn w:val="Normal"/>
    <w:link w:val="DocumentMapChar"/>
    <w:uiPriority w:val="99"/>
    <w:semiHidden/>
    <w:unhideWhenUsed/>
    <w:rsid w:val="00470D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0D3C"/>
    <w:rPr>
      <w:rFonts w:ascii="Lucida Grande" w:hAnsi="Lucida Grande" w:cs="Lucida Grande"/>
    </w:rPr>
  </w:style>
  <w:style w:type="paragraph" w:customStyle="1" w:styleId="Emphasis1">
    <w:name w:val="Emphasis1"/>
    <w:basedOn w:val="Normal"/>
    <w:link w:val="Emphasis"/>
    <w:autoRedefine/>
    <w:uiPriority w:val="20"/>
    <w:qFormat/>
    <w:rsid w:val="003639D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tandfonline.com/doi/full/10.1080/23251042.2015.1041212" TargetMode="External"/><Relationship Id="rId26" Type="http://schemas.openxmlformats.org/officeDocument/2006/relationships/hyperlink" Target="https://tucson.com/news/local/we-continue-to-worsen-nearly-arizona-teaching-jobs-remain-vacant/article_1c8d665a-a422-5c7b-95b9-98afe0cb0c6f.html"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nytimes.com/2018/05/16/us/teacher-walkout-north-carolina.html" TargetMode="External"/><Relationship Id="rId34" Type="http://schemas.openxmlformats.org/officeDocument/2006/relationships/hyperlink" Target="https://www.apnews.com/883e9d387709112a11ee8901c223294e" TargetMode="External"/><Relationship Id="rId42"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www.latimes.com/nation/la-na-teacher-funding-20180306-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24" Type="http://schemas.openxmlformats.org/officeDocument/2006/relationships/hyperlink" Target="https://www.motherjones.com/politics/2018/01/its-not-just-freezing-classrooms-in-baltimore-americas-schools-are-physically-falling-apart/" TargetMode="External"/><Relationship Id="rId32" Type="http://schemas.openxmlformats.org/officeDocument/2006/relationships/hyperlink" Target="https://thehill.com/homenews/state-watch/426030-states-race-to-prevent-teacher-strikes-by-boosting-pay" TargetMode="External"/><Relationship Id="rId37" Type="http://schemas.openxmlformats.org/officeDocument/2006/relationships/hyperlink" Target="https://www.nytimes.com/aponline/2019/01/28/us/ap-us-education-bill-west-virginia.html"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americanprogress.org/issues/education-k-12/reports/2018/09/20/457750/fixing-chronic-disinvestment-k-12-schools/%5b" TargetMode="External"/><Relationship Id="rId28" Type="http://schemas.openxmlformats.org/officeDocument/2006/relationships/hyperlink" Target="https://www.americanprogressaction.org/issues/education/news/2018/10/09/171813/little-late-many-gubernatorial-candidates-education-funding/" TargetMode="External"/><Relationship Id="rId36" Type="http://schemas.openxmlformats.org/officeDocument/2006/relationships/hyperlink" Target="https://www.vox.com/policy-and-politics/2018/4/23/17270422/colorado-teachers-strike-jail-bill" TargetMode="External"/><Relationship Id="rId10" Type="http://schemas.openxmlformats.org/officeDocument/2006/relationships/hyperlink" Target="https://repository.up.ac.za/bitstream/handle/2263/43163/Malebye_Right_2014.pdf?sequence=1" TargetMode="External"/><Relationship Id="rId19" Type="http://schemas.openxmlformats.org/officeDocument/2006/relationships/hyperlink" Target="https://thehill.com/homenews/state-watch/426030-states-race-to-prevent-teacher-strikes-by-boosting-pay" TargetMode="External"/><Relationship Id="rId31" Type="http://schemas.openxmlformats.org/officeDocument/2006/relationships/hyperlink" Target="https://www.reuters.com/article/us-usa-education-arizona/arizona-governor-signs-bill-to-boost-teachers-wages-amid-strike-idUSKBN1I40N8" TargetMode="External"/><Relationship Id="rId44"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repository.up.ac.za/bitstream/handle/2263/43163/Malebye_Right_2014.pdf?sequence=1"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americanprogress.org/issues/education-k-12/reports/2018/09/20/457750/fixing-chronic-disinvestment-k-12-schools/" TargetMode="External"/><Relationship Id="rId27" Type="http://schemas.openxmlformats.org/officeDocument/2006/relationships/hyperlink" Target="https://morningconsult.com/opinions/americas-teachers-are-at-their-boiling-point/" TargetMode="External"/><Relationship Id="rId30" Type="http://schemas.openxmlformats.org/officeDocument/2006/relationships/hyperlink" Target="https://tucson.com/news/local/gov-ducey-teachers-aren-t-going-to-get-percent-pay/article_75a9b7dc-930b-5374-be12-61fb840e4ced.html" TargetMode="External"/><Relationship Id="rId35" Type="http://schemas.openxmlformats.org/officeDocument/2006/relationships/hyperlink" Target="http://nymag.com/intelligencer/2019/01/teacher-walkouts-gop-lawmakers-push-retaliatory-bills.html" TargetMode="External"/><Relationship Id="rId43"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umu.se/sociologiska-institutionen/"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www.cnn.com/2018/04/03/us/oklahoma-teachers-textbooks-trnd/index.html" TargetMode="External"/><Relationship Id="rId33" Type="http://schemas.openxmlformats.org/officeDocument/2006/relationships/hyperlink" Target="http://www.nea.org/assets/docs/180413-Rankings_And_Estimates_Report_2018.pdf" TargetMode="External"/><Relationship Id="rId38" Type="http://schemas.openxmlformats.org/officeDocument/2006/relationships/hyperlink" Target="https://newsok.com/article/5593286/bill-is-revenge-for-teacher-walkout-unions-say" TargetMode="External"/><Relationship Id="rId46" Type="http://schemas.openxmlformats.org/officeDocument/2006/relationships/theme" Target="theme/theme1.xml"/><Relationship Id="rId20" Type="http://schemas.openxmlformats.org/officeDocument/2006/relationships/hyperlink" Target="http://nymag.com/intelligencer/2019/01/teacher-walkouts-gop-lawmakers-push-retaliatory-bills.html" TargetMode="External"/><Relationship Id="rId4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19</Pages>
  <Words>10726</Words>
  <Characters>61140</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8</cp:revision>
  <dcterms:created xsi:type="dcterms:W3CDTF">2021-12-12T16:01:00Z</dcterms:created>
  <dcterms:modified xsi:type="dcterms:W3CDTF">2021-12-12T17:22:00Z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