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3793F" w14:textId="77777777" w:rsidR="00F0724A" w:rsidRPr="002401A3" w:rsidRDefault="00F0724A" w:rsidP="00F0724A">
      <w:pPr>
        <w:pStyle w:val="Heading3"/>
        <w:rPr>
          <w:rFonts w:cs="Calibri"/>
        </w:rPr>
      </w:pPr>
      <w:r w:rsidRPr="002401A3">
        <w:rPr>
          <w:rFonts w:cs="Calibri"/>
        </w:rPr>
        <w:t>Advantage 1: Space Debris</w:t>
      </w:r>
    </w:p>
    <w:p w14:paraId="009F4859" w14:textId="77777777" w:rsidR="00F0724A" w:rsidRPr="002401A3" w:rsidRDefault="00F0724A" w:rsidP="00F0724A">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79A7255E" w14:textId="77777777" w:rsidR="00F0724A" w:rsidRPr="002401A3" w:rsidRDefault="00F0724A" w:rsidP="00F0724A">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1C517958" w14:textId="77777777" w:rsidR="00F0724A" w:rsidRPr="002401A3" w:rsidRDefault="00F0724A" w:rsidP="00F0724A">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7CA8DD16" w14:textId="77777777" w:rsidR="00F0724A" w:rsidRPr="002401A3" w:rsidRDefault="00F0724A" w:rsidP="00F0724A">
      <w:pPr>
        <w:pStyle w:val="Heading4"/>
        <w:rPr>
          <w:rFonts w:cs="Calibri"/>
        </w:rPr>
      </w:pPr>
      <w:r w:rsidRPr="002401A3">
        <w:rPr>
          <w:rFonts w:cs="Calibri"/>
        </w:rPr>
        <w:t xml:space="preserve">Increasing space debris levels inevitably set off a chain of collisions.  </w:t>
      </w:r>
    </w:p>
    <w:p w14:paraId="75369711" w14:textId="77777777" w:rsidR="00F0724A" w:rsidRPr="002401A3" w:rsidRDefault="00F0724A" w:rsidP="00F0724A">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A4E4D9A" w14:textId="77777777" w:rsidR="00F0724A" w:rsidRPr="002401A3" w:rsidRDefault="00F0724A" w:rsidP="00F0724A">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03F279" w14:textId="77777777" w:rsidR="00F0724A" w:rsidRPr="002401A3" w:rsidRDefault="00F0724A" w:rsidP="00F0724A">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6779EA84" w14:textId="77777777" w:rsidR="00F0724A" w:rsidRPr="002401A3" w:rsidRDefault="00F0724A" w:rsidP="00F0724A">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B26ACA2" w14:textId="77777777" w:rsidR="00F0724A" w:rsidRPr="002401A3" w:rsidRDefault="00F0724A" w:rsidP="00F0724A">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357037">
        <w:rPr>
          <w:rStyle w:val="StyleUnderline"/>
        </w:rPr>
        <w:t>Our military would suddenly become vulnerable in other areas as well. GPS</w:t>
      </w:r>
      <w:r w:rsidRPr="00357037">
        <w:rPr>
          <w:sz w:val="12"/>
        </w:rPr>
        <w:t xml:space="preserve">, a network of 24-32 satellites in medium-Earth orbit, </w:t>
      </w:r>
      <w:r w:rsidRPr="00357037">
        <w:rPr>
          <w:rStyle w:val="StyleUnderline"/>
        </w:rPr>
        <w:t xml:space="preserve">was developed to provide precise position </w:t>
      </w:r>
      <w:r w:rsidRPr="00357037">
        <w:rPr>
          <w:rStyle w:val="Emphasis"/>
        </w:rPr>
        <w:t>info</w:t>
      </w:r>
      <w:r w:rsidRPr="00357037">
        <w:rPr>
          <w:rStyle w:val="StyleUnderline"/>
        </w:rPr>
        <w:t>rmation to the military, and it is now in common use by individuals and industry. The network</w:t>
      </w:r>
      <w:r w:rsidRPr="00357037">
        <w:rPr>
          <w:sz w:val="12"/>
        </w:rPr>
        <w:t xml:space="preserve">, which became fully operational in 1993, </w:t>
      </w:r>
      <w:r w:rsidRPr="00357037">
        <w:rPr>
          <w:rStyle w:val="StyleUnderline"/>
        </w:rPr>
        <w:t>allows</w:t>
      </w:r>
      <w:r w:rsidRPr="00357037">
        <w:rPr>
          <w:sz w:val="12"/>
        </w:rPr>
        <w:t xml:space="preserve"> our </w:t>
      </w:r>
      <w:r w:rsidRPr="00357037">
        <w:rPr>
          <w:rStyle w:val="StyleUnderline"/>
        </w:rPr>
        <w:t>armed forces to know their exact locations anywhere in the world. It is used to guide bombs to</w:t>
      </w:r>
      <w:r w:rsidRPr="00357037">
        <w:rPr>
          <w:sz w:val="12"/>
        </w:rPr>
        <w:t xml:space="preserve"> their </w:t>
      </w:r>
      <w:r w:rsidRPr="00357037">
        <w:rPr>
          <w:rStyle w:val="StyleUnderline"/>
        </w:rPr>
        <w:t>targets with unprecedented accuracy</w:t>
      </w:r>
      <w:r w:rsidRPr="0035703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57037">
        <w:rPr>
          <w:rStyle w:val="StyleUnderline"/>
        </w:rPr>
        <w:t xml:space="preserve">It allows soldiers to navigate in the dark or in adverse weather or sandstorms. Without GPS, our </w:t>
      </w:r>
      <w:r w:rsidRPr="00357037">
        <w:rPr>
          <w:rStyle w:val="Emphasis"/>
        </w:rPr>
        <w:t>military advantage</w:t>
      </w:r>
      <w:r w:rsidRPr="00357037">
        <w:rPr>
          <w:rStyle w:val="StyleUnderline"/>
        </w:rPr>
        <w:t xml:space="preserve"> over</w:t>
      </w:r>
      <w:r w:rsidRPr="00357037">
        <w:rPr>
          <w:sz w:val="12"/>
        </w:rPr>
        <w:t xml:space="preserve"> potential </w:t>
      </w:r>
      <w:r w:rsidRPr="00357037">
        <w:rPr>
          <w:rStyle w:val="StyleUnderline"/>
        </w:rPr>
        <w:t>adversaries would be</w:t>
      </w:r>
      <w:r w:rsidRPr="00357037">
        <w:rPr>
          <w:sz w:val="12"/>
        </w:rPr>
        <w:t xml:space="preserve"> dramatically reduced or </w:t>
      </w:r>
      <w:r w:rsidRPr="00357037">
        <w:rPr>
          <w:rStyle w:val="Emphasis"/>
        </w:rPr>
        <w:t>eliminated</w:t>
      </w:r>
      <w:r w:rsidRPr="00357037">
        <w:rPr>
          <w:sz w:val="12"/>
        </w:rPr>
        <w:t>.</w:t>
      </w:r>
    </w:p>
    <w:p w14:paraId="25B9A529" w14:textId="77777777" w:rsidR="00F0724A" w:rsidRPr="002401A3" w:rsidRDefault="00F0724A" w:rsidP="00F0724A">
      <w:pPr>
        <w:rPr>
          <w:sz w:val="12"/>
        </w:rPr>
      </w:pPr>
    </w:p>
    <w:p w14:paraId="5E01D55B" w14:textId="77777777" w:rsidR="00F0724A" w:rsidRPr="002401A3" w:rsidRDefault="00F0724A" w:rsidP="00F0724A">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0762FE7F" w14:textId="77777777" w:rsidR="00F0724A" w:rsidRPr="002401A3" w:rsidRDefault="00F0724A" w:rsidP="00F0724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BC9F9F7" w14:textId="77777777" w:rsidR="00F0724A" w:rsidRPr="002401A3" w:rsidRDefault="00F0724A" w:rsidP="00F0724A">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E8782E7" w14:textId="77777777" w:rsidR="00F0724A" w:rsidRPr="002401A3" w:rsidRDefault="00F0724A" w:rsidP="00F0724A">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7FB5894B" w14:textId="77777777" w:rsidR="00F0724A" w:rsidRPr="002401A3" w:rsidRDefault="00F0724A" w:rsidP="00F0724A">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7260F6FB" w14:textId="77777777" w:rsidR="00F0724A" w:rsidRPr="002401A3" w:rsidRDefault="00F0724A" w:rsidP="00F0724A">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0CEFFB64" w14:textId="77777777" w:rsidR="00F0724A" w:rsidRPr="002401A3" w:rsidRDefault="00F0724A" w:rsidP="00F0724A">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6D8BD6B6" w14:textId="77777777" w:rsidR="00F0724A" w:rsidRPr="002401A3" w:rsidRDefault="00F0724A" w:rsidP="00F0724A">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28B8E47A" w14:textId="77777777" w:rsidR="00F0724A" w:rsidRPr="002401A3" w:rsidRDefault="00F0724A" w:rsidP="00F0724A">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5821E693" w14:textId="77777777" w:rsidR="00F0724A" w:rsidRDefault="00F0724A" w:rsidP="00F0724A">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7976F78" w14:textId="77777777" w:rsidR="00F0724A" w:rsidRPr="0042059C" w:rsidRDefault="00F0724A" w:rsidP="00F0724A">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779C0ECE" w14:textId="77777777" w:rsidR="00F0724A" w:rsidRPr="0042059C" w:rsidRDefault="00F0724A" w:rsidP="00F0724A">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8F0E83A" w14:textId="77777777" w:rsidR="00F0724A" w:rsidRPr="00C0357D" w:rsidRDefault="00F0724A" w:rsidP="00F0724A">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D09C86C" w14:textId="77777777" w:rsidR="00F0724A" w:rsidRPr="002401A3" w:rsidRDefault="00F0724A" w:rsidP="00F0724A">
      <w:pPr>
        <w:pStyle w:val="Heading3"/>
        <w:rPr>
          <w:rFonts w:cs="Calibri"/>
        </w:rPr>
      </w:pPr>
      <w:r w:rsidRPr="002401A3">
        <w:rPr>
          <w:rFonts w:cs="Calibri"/>
        </w:rPr>
        <w:t>Plan</w:t>
      </w:r>
    </w:p>
    <w:p w14:paraId="4B5A986C" w14:textId="77777777" w:rsidR="00F0724A" w:rsidRPr="002401A3" w:rsidRDefault="00F0724A" w:rsidP="00F0724A">
      <w:pPr>
        <w:pStyle w:val="Heading4"/>
        <w:rPr>
          <w:rFonts w:cs="Calibri"/>
        </w:rPr>
      </w:pPr>
      <w:r w:rsidRPr="002401A3">
        <w:rPr>
          <w:rFonts w:cs="Calibri"/>
        </w:rPr>
        <w:t xml:space="preserve">The appropriation of outer space by private entities is unjust. Thus, the plan. </w:t>
      </w:r>
    </w:p>
    <w:p w14:paraId="6D96421F" w14:textId="77777777" w:rsidR="00F0724A" w:rsidRPr="00596CC4" w:rsidRDefault="00F0724A" w:rsidP="00F0724A">
      <w:pPr>
        <w:pStyle w:val="Heading4"/>
      </w:pPr>
      <w:r w:rsidRPr="00596CC4">
        <w:t>Plan text: Outer space ought to be recognized as a global commons as per the Goehring card. Goehring describes but does not advocate treating space in this way.</w:t>
      </w:r>
    </w:p>
    <w:p w14:paraId="387385C4" w14:textId="77777777" w:rsidR="00F0724A" w:rsidRPr="002401A3" w:rsidRDefault="00F0724A" w:rsidP="00F0724A">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42DF7643" w14:textId="77777777" w:rsidR="00F0724A" w:rsidRPr="002401A3" w:rsidRDefault="00F0724A" w:rsidP="00F0724A">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1C8BBD0" w14:textId="77777777" w:rsidR="00F0724A" w:rsidRPr="002401A3" w:rsidRDefault="00F0724A" w:rsidP="00F0724A">
      <w:pPr>
        <w:pStyle w:val="Heading3"/>
        <w:rPr>
          <w:rFonts w:cs="Calibri"/>
        </w:rPr>
      </w:pPr>
      <w:r w:rsidRPr="002401A3">
        <w:rPr>
          <w:rFonts w:cs="Calibri"/>
        </w:rPr>
        <w:t>Solvency</w:t>
      </w:r>
    </w:p>
    <w:p w14:paraId="5CD9DB60" w14:textId="77777777" w:rsidR="00F0724A" w:rsidRPr="002401A3" w:rsidRDefault="00F0724A" w:rsidP="00F0724A">
      <w:pPr>
        <w:pStyle w:val="Heading4"/>
        <w:rPr>
          <w:rFonts w:cs="Calibri"/>
        </w:rPr>
      </w:pPr>
      <w:r w:rsidRPr="002401A3">
        <w:rPr>
          <w:rFonts w:cs="Calibri"/>
        </w:rPr>
        <w:t>Treating space as a commons solves orbital debris. States already agree to a limited regime of this type.</w:t>
      </w:r>
    </w:p>
    <w:p w14:paraId="2CC1D049" w14:textId="77777777" w:rsidR="00F0724A" w:rsidRPr="00377999" w:rsidRDefault="00F0724A" w:rsidP="00F0724A">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22605544" w14:textId="77777777" w:rsidR="00F0724A" w:rsidRPr="002401A3" w:rsidRDefault="00F0724A" w:rsidP="00F0724A">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4B3D5E3" w14:textId="77777777" w:rsidR="00F0724A" w:rsidRPr="002401A3" w:rsidRDefault="00F0724A" w:rsidP="00F0724A">
      <w:pPr>
        <w:pStyle w:val="Heading4"/>
        <w:rPr>
          <w:rFonts w:cs="Calibri"/>
        </w:rPr>
      </w:pPr>
      <w:r w:rsidRPr="002401A3">
        <w:rPr>
          <w:rFonts w:cs="Calibri"/>
        </w:rPr>
        <w:t>Space resources must be distributed democratically—this requires challenging private control of outer space</w:t>
      </w:r>
      <w:r>
        <w:rPr>
          <w:rFonts w:cs="Calibri"/>
        </w:rPr>
        <w:t>.</w:t>
      </w:r>
    </w:p>
    <w:p w14:paraId="62214A8B" w14:textId="77777777" w:rsidR="00F0724A" w:rsidRPr="002401A3" w:rsidRDefault="00F0724A" w:rsidP="00F0724A">
      <w:pPr>
        <w:rPr>
          <w:rStyle w:val="Style13ptBold"/>
        </w:rPr>
      </w:pPr>
      <w:r w:rsidRPr="002401A3">
        <w:rPr>
          <w:rStyle w:val="Style13ptBold"/>
        </w:rPr>
        <w:t>Levine 15</w:t>
      </w:r>
    </w:p>
    <w:p w14:paraId="3235919C" w14:textId="77777777" w:rsidR="00F0724A" w:rsidRPr="002401A3" w:rsidRDefault="00F0724A" w:rsidP="00F0724A">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4C1FE2B7" w14:textId="77777777" w:rsidR="00F0724A" w:rsidRPr="00BB6CCD" w:rsidRDefault="00F0724A" w:rsidP="00F0724A">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a celestial commons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7E496689" w14:textId="77777777" w:rsidR="00F0724A" w:rsidRPr="002401A3" w:rsidRDefault="00F0724A" w:rsidP="00F0724A">
      <w:pPr>
        <w:pStyle w:val="Heading4"/>
        <w:rPr>
          <w:rFonts w:cs="Calibri"/>
        </w:rPr>
      </w:pPr>
      <w:r w:rsidRPr="002401A3">
        <w:rPr>
          <w:rFonts w:cs="Calibri"/>
        </w:rPr>
        <w:t>States can extend existing models to govern space, but recognition of space as a commons is key.</w:t>
      </w:r>
    </w:p>
    <w:p w14:paraId="60EF90BA" w14:textId="77777777" w:rsidR="00F0724A" w:rsidRPr="002401A3" w:rsidRDefault="00F0724A" w:rsidP="00F0724A">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72101371" w14:textId="77777777" w:rsidR="009A4479" w:rsidRDefault="00F0724A" w:rsidP="00F0724A">
      <w:pPr>
        <w:ind w:left="720"/>
        <w:rPr>
          <w:rStyle w:val="StyleUnderline"/>
          <w:highlight w:val="yellow"/>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w:t>
      </w:r>
    </w:p>
    <w:p w14:paraId="00DCA45E" w14:textId="77777777" w:rsidR="009A4479" w:rsidRDefault="009A4479" w:rsidP="00F0724A">
      <w:pPr>
        <w:ind w:left="720"/>
        <w:rPr>
          <w:rStyle w:val="StyleUnderline"/>
          <w:highlight w:val="yellow"/>
        </w:rPr>
      </w:pPr>
    </w:p>
    <w:p w14:paraId="61900C41" w14:textId="6DC6DB6C" w:rsidR="00F0724A" w:rsidRPr="002401A3" w:rsidRDefault="00F0724A" w:rsidP="00F0724A">
      <w:pPr>
        <w:ind w:left="720"/>
        <w:rPr>
          <w:sz w:val="12"/>
        </w:rPr>
      </w:pPr>
      <w:r w:rsidRPr="002401A3">
        <w:rPr>
          <w:rStyle w:val="StyleUnderline"/>
          <w:highlight w:val="yellow"/>
        </w:rPr>
        <w:t>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5A95D272" w14:textId="77777777" w:rsidR="006B1E40" w:rsidRPr="00AA609F" w:rsidRDefault="006B1E40" w:rsidP="006B1E40">
      <w:pPr>
        <w:pStyle w:val="Heading4"/>
      </w:pPr>
      <w:r w:rsidRPr="00AA609F">
        <w:t xml:space="preserve">Property rights are not necessary to encourage private development. </w:t>
      </w:r>
      <w:r>
        <w:t>Global commons can solve</w:t>
      </w:r>
      <w:r w:rsidRPr="00AA609F">
        <w:t xml:space="preserve"> </w:t>
      </w:r>
    </w:p>
    <w:p w14:paraId="40B73881" w14:textId="77777777" w:rsidR="006B1E40" w:rsidRDefault="006B1E40" w:rsidP="006B1E40">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4FFF8594" w14:textId="77777777" w:rsidR="006B1E40" w:rsidRDefault="006B1E40" w:rsidP="006B1E40">
      <w:pPr>
        <w:rPr>
          <w:sz w:val="16"/>
        </w:rPr>
      </w:pPr>
    </w:p>
    <w:p w14:paraId="18B45B01" w14:textId="77777777" w:rsidR="006B1E40" w:rsidRPr="00D47573" w:rsidRDefault="006B1E40" w:rsidP="006B1E40">
      <w:pPr>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5A13FFD7" w14:textId="77777777" w:rsidR="006B1E40" w:rsidRPr="00AA609F" w:rsidRDefault="006B1E40" w:rsidP="006B1E40">
      <w:pPr>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AA609F">
        <w:rPr>
          <w:rStyle w:val="StyleUnderline"/>
        </w:rPr>
        <w:t>].</w:t>
      </w:r>
      <w:r w:rsidRPr="00AA609F">
        <w:rPr>
          <w:rStyle w:val="Emphasis"/>
        </w:rPr>
        <w:t xml:space="preserve"> The OST</w:t>
      </w:r>
      <w:r w:rsidRPr="00AA609F">
        <w:rPr>
          <w:rStyle w:val="StyleUnderline"/>
        </w:rPr>
        <w:t xml:space="preserve"> expressly </w:t>
      </w:r>
      <w:r w:rsidRPr="00AA609F">
        <w:rPr>
          <w:rStyle w:val="Emphasis"/>
        </w:rPr>
        <w:t>forbids</w:t>
      </w:r>
      <w:r w:rsidRPr="00AA609F">
        <w:rPr>
          <w:rStyle w:val="StyleUnderline"/>
        </w:rPr>
        <w:t xml:space="preserve"> the “national </w:t>
      </w:r>
      <w:r w:rsidRPr="00AA609F">
        <w:rPr>
          <w:rStyle w:val="Emphasis"/>
        </w:rPr>
        <w:t>appropriation</w:t>
      </w:r>
      <w:r w:rsidRPr="00AA609F">
        <w:rPr>
          <w:rStyle w:val="StyleUnderline"/>
        </w:rPr>
        <w:t xml:space="preserve"> by claims of sovereignty, by means of use or occupation, or by other means” [27] </w:t>
      </w:r>
      <w:r w:rsidRPr="00AA609F">
        <w:rPr>
          <w:rStyle w:val="Emphasis"/>
        </w:rPr>
        <w:t>of outer space and celestial bodies.</w:t>
      </w:r>
      <w:r w:rsidRPr="00AA609F">
        <w:rPr>
          <w:rStyle w:val="StyleUnderline"/>
        </w:rPr>
        <w:t xml:space="preserve"> This is frequently interpreted to mean that </w:t>
      </w:r>
      <w:r w:rsidRPr="00AA609F">
        <w:rPr>
          <w:rStyle w:val="Emphasis"/>
        </w:rPr>
        <w:t>the OST denies private property claims in outer space</w:t>
      </w:r>
      <w:r w:rsidRPr="00AA609F">
        <w:rPr>
          <w:rStyle w:val="StyleUnderline"/>
        </w:rPr>
        <w:t>, some authors and individuals</w:t>
      </w:r>
      <w:r w:rsidRPr="00AA609F">
        <w:rPr>
          <w:sz w:val="16"/>
        </w:rPr>
        <w:t xml:space="preserve"> [39–41] </w:t>
      </w:r>
      <w:r w:rsidRPr="00AA609F">
        <w:rPr>
          <w:rStyle w:val="StyleUnderline"/>
        </w:rPr>
        <w:t>have argued that appropriation by non-nationalentities is allowed.</w:t>
      </w:r>
    </w:p>
    <w:p w14:paraId="4C4ACA13" w14:textId="77777777" w:rsidR="006B1E40" w:rsidRPr="00D47573" w:rsidRDefault="006B1E40" w:rsidP="006B1E40">
      <w:pPr>
        <w:rPr>
          <w:sz w:val="16"/>
        </w:rPr>
      </w:pPr>
      <w:r w:rsidRPr="00AA609F">
        <w:rPr>
          <w:rStyle w:val="Emphasis"/>
        </w:rPr>
        <w:t>The Outer Space Treaty</w:t>
      </w:r>
      <w:r w:rsidRPr="00AA609F">
        <w:rPr>
          <w:rStyle w:val="StyleUnderline"/>
        </w:rPr>
        <w:t xml:space="preserve">, and its terrestrial analogues, UN Convention on the Law of the Seas (UNCLOS) and the Antarctica Treaty System (ATS) </w:t>
      </w:r>
      <w:r w:rsidRPr="00AA609F">
        <w:rPr>
          <w:rStyle w:val="Emphasis"/>
        </w:rPr>
        <w:t>are ‘global commons regimes'</w:t>
      </w:r>
      <w:r w:rsidRPr="00895F70">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47573">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6C37151D" w14:textId="77777777" w:rsidR="006B1E40" w:rsidRPr="00895F70" w:rsidRDefault="006B1E40" w:rsidP="006B1E40">
      <w:pPr>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D47573">
        <w:rPr>
          <w:rStyle w:val="Emphasis"/>
          <w:highlight w:val="green"/>
        </w:rPr>
        <w:t>Some have gone so far as to suggest an abrogation of the OST in favor of a treaty</w:t>
      </w:r>
      <w:r w:rsidRPr="00895F70">
        <w:rPr>
          <w:rStyle w:val="StyleUnderline"/>
        </w:rPr>
        <w:t xml:space="preserve"> </w:t>
      </w:r>
      <w:r w:rsidRPr="00D47573">
        <w:rPr>
          <w:rStyle w:val="Emphasis"/>
          <w:highlight w:val="green"/>
        </w:rPr>
        <w:t>that allows</w:t>
      </w:r>
      <w:r w:rsidRPr="00895F70">
        <w:rPr>
          <w:rStyle w:val="StyleUnderline"/>
        </w:rPr>
        <w:t xml:space="preserve"> something like fee-simple </w:t>
      </w:r>
      <w:r w:rsidRPr="00D47573">
        <w:rPr>
          <w:rStyle w:val="Emphasis"/>
          <w:highlight w:val="green"/>
        </w:rPr>
        <w:t>ownership</w:t>
      </w:r>
      <w:r w:rsidRPr="00895F70">
        <w:rPr>
          <w:rStyle w:val="StyleUnderline"/>
        </w:rPr>
        <w:t xml:space="preserve"> and what might best be called </w:t>
      </w:r>
      <w:r w:rsidRPr="00D47573">
        <w:rPr>
          <w:rStyle w:val="Emphasis"/>
          <w:highlight w:val="green"/>
        </w:rPr>
        <w:t>a</w:t>
      </w:r>
      <w:r w:rsidRPr="00895F70">
        <w:rPr>
          <w:rStyle w:val="StyleUnderline"/>
        </w:rPr>
        <w:t xml:space="preserve"> California </w:t>
      </w:r>
      <w:r w:rsidRPr="00D47573">
        <w:rPr>
          <w:rStyle w:val="Emphasis"/>
          <w:highlight w:val="green"/>
        </w:rPr>
        <w:t>gold rush approach to outer space</w:t>
      </w:r>
      <w:r w:rsidRPr="00895F70">
        <w:rPr>
          <w:rStyle w:val="StyleUnderline"/>
        </w:rPr>
        <w:t xml:space="preserv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1831EE0D" w14:textId="77777777" w:rsidR="006B1E40" w:rsidRPr="00D47573" w:rsidRDefault="006B1E40" w:rsidP="006B1E40">
      <w:pPr>
        <w:rPr>
          <w:sz w:val="16"/>
        </w:rPr>
      </w:pPr>
      <w:r w:rsidRPr="00895F70">
        <w:rPr>
          <w:rStyle w:val="StyleUnderline"/>
        </w:rPr>
        <w:t xml:space="preserve">On the other hand, it has also been suggested that </w:t>
      </w:r>
      <w:r w:rsidRPr="00D47573">
        <w:rPr>
          <w:rStyle w:val="Emphasis"/>
          <w:highlight w:val="green"/>
        </w:rPr>
        <w:t>modifications</w:t>
      </w:r>
      <w:r w:rsidRPr="00895F70">
        <w:rPr>
          <w:rStyle w:val="StyleUnderline"/>
        </w:rPr>
        <w:t xml:space="preserve"> and </w:t>
      </w:r>
      <w:r w:rsidRPr="00D47573">
        <w:rPr>
          <w:rStyle w:val="Emphasis"/>
          <w:highlight w:val="green"/>
        </w:rPr>
        <w:t>additions to the OST based on terrestrial models will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do not stand in the face of</w:t>
      </w:r>
      <w:r w:rsidRPr="00D47573">
        <w:rPr>
          <w:rStyle w:val="Emphasis"/>
        </w:rPr>
        <w:t xml:space="preserve"> </w:t>
      </w:r>
      <w:r w:rsidRPr="00895F70">
        <w:rPr>
          <w:rStyle w:val="StyleUnderline"/>
        </w:rPr>
        <w:t xml:space="preserve">contrary </w:t>
      </w:r>
      <w:r w:rsidRPr="00D47573">
        <w:rPr>
          <w:rStyle w:val="Emphasis"/>
          <w:highlight w:val="green"/>
        </w:rPr>
        <w:t>evidence from numerous terrestrial examples.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4E862D95" w14:textId="77777777" w:rsidR="006B1E40" w:rsidRPr="00D47573" w:rsidRDefault="006B1E40" w:rsidP="006B1E40">
      <w:pPr>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seeking to increase their own bottom line by</w:t>
      </w:r>
      <w:r w:rsidRPr="00895F70">
        <w:rPr>
          <w:rStyle w:val="StyleUnderline"/>
        </w:rPr>
        <w:t xml:space="preserve"> disingenuous and </w:t>
      </w:r>
      <w:r w:rsidRPr="00D47573">
        <w:rPr>
          <w:rStyle w:val="Emphasis"/>
          <w:highlight w:val="green"/>
        </w:rPr>
        <w:t>deceptive constructs</w:t>
      </w:r>
      <w:r w:rsidRPr="00895F70">
        <w:rPr>
          <w:rStyle w:val="StyleUnderline"/>
        </w:rPr>
        <w:t>, or lack an appropriate appreciation and respect for international processes</w:t>
      </w:r>
      <w:r w:rsidRPr="00D47573">
        <w:rPr>
          <w:sz w:val="16"/>
        </w:rPr>
        <w:t xml:space="preserve"> [[44], p. 2439]”.</w:t>
      </w:r>
    </w:p>
    <w:p w14:paraId="0C8F8433" w14:textId="77777777" w:rsidR="006B1E40" w:rsidRPr="00D47573" w:rsidRDefault="006B1E40" w:rsidP="006B1E40">
      <w:pPr>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D47573">
        <w:rPr>
          <w:rStyle w:val="Emphasis"/>
          <w:highlight w:val="green"/>
        </w:rPr>
        <w:t>. Nor would a system based on</w:t>
      </w:r>
      <w:r w:rsidRPr="00895F70">
        <w:rPr>
          <w:rStyle w:val="StyleUnderline"/>
        </w:rPr>
        <w:t xml:space="preserve"> fee simple </w:t>
      </w:r>
      <w:r w:rsidRPr="00D47573">
        <w:rPr>
          <w:rStyle w:val="Emphasis"/>
          <w:highlight w:val="green"/>
        </w:rPr>
        <w:t>ownership be likely to tangibly benefit more than a small proportion of the world's population.</w:t>
      </w:r>
      <w:r w:rsidRPr="00895F70">
        <w:rPr>
          <w:rStyle w:val="StyleUnderline"/>
        </w:rPr>
        <w:t xml:space="preserve"> Instead, </w:t>
      </w:r>
      <w:r w:rsidRPr="00D47573">
        <w:rPr>
          <w:rStyle w:val="Emphasis"/>
          <w:highlight w:val="green"/>
        </w:rPr>
        <w:t>the eventual wealth</w:t>
      </w:r>
      <w:r w:rsidRPr="00895F70">
        <w:rPr>
          <w:rStyle w:val="StyleUnderline"/>
        </w:rPr>
        <w:t xml:space="preserve"> from exploiting celestial </w:t>
      </w:r>
      <w:r w:rsidRPr="00D47573">
        <w:rPr>
          <w:rStyle w:val="Emphasis"/>
          <w:highlight w:val="green"/>
        </w:rPr>
        <w:t>bodies would be concentrated in the hands of a few, exacerbating</w:t>
      </w:r>
      <w:r w:rsidRPr="00895F70">
        <w:rPr>
          <w:rStyle w:val="StyleUnderline"/>
        </w:rPr>
        <w:t xml:space="preserve"> rather than alleviating </w:t>
      </w:r>
      <w:r w:rsidRPr="00D47573">
        <w:rPr>
          <w:rStyle w:val="Emphasis"/>
          <w:highlight w:val="green"/>
        </w:rPr>
        <w:t>existing problems for humanity and</w:t>
      </w:r>
      <w:r w:rsidRPr="00895F70">
        <w:rPr>
          <w:rStyle w:val="StyleUnderline"/>
        </w:rPr>
        <w:t xml:space="preserve"> global </w:t>
      </w:r>
      <w:r w:rsidRPr="00D47573">
        <w:rPr>
          <w:rStyle w:val="Emphasis"/>
          <w:highlight w:val="green"/>
        </w:rPr>
        <w:t>sustainable development.</w:t>
      </w:r>
    </w:p>
    <w:p w14:paraId="78CF4E8C" w14:textId="77777777" w:rsidR="006B1E40" w:rsidRPr="00D47573" w:rsidRDefault="006B1E40" w:rsidP="006B1E40">
      <w:pPr>
        <w:rPr>
          <w:sz w:val="16"/>
        </w:rPr>
      </w:pPr>
      <w:r w:rsidRPr="00C67EF1">
        <w:rPr>
          <w:rStyle w:val="Emphasis"/>
          <w:highlight w:val="green"/>
        </w:rPr>
        <w:t>The Outer Space Treaty has provided an effective legal framework for the exploration of outer space</w:t>
      </w:r>
      <w:r w:rsidRPr="00895F70">
        <w:rPr>
          <w:rStyle w:val="StyleUnderline"/>
        </w:rPr>
        <w:t xml:space="preserve"> for over 50 years. Based on the history of treaty regimes governing other international spaces, UNCLOS and the ATS, it seems likely that, </w:t>
      </w:r>
      <w:r w:rsidRPr="00C67EF1">
        <w:rPr>
          <w:rStyle w:val="Emphasis"/>
          <w:highlight w:val="green"/>
        </w:rPr>
        <w:t>in future, additional protocols and agreements will be layered onto the OST</w:t>
      </w:r>
      <w:r w:rsidRPr="00895F70">
        <w:rPr>
          <w:rStyle w:val="StyleUnderline"/>
        </w:rPr>
        <w:t xml:space="preserve"> and that </w:t>
      </w:r>
      <w:r w:rsidRPr="00C67EF1">
        <w:rPr>
          <w:rStyle w:val="Emphasis"/>
          <w:highlight w:val="green"/>
        </w:rPr>
        <w:t>calls to abrogate and to negotiate a wholly new treaty system are unlikely to succee</w:t>
      </w:r>
      <w:r w:rsidRPr="00C67EF1">
        <w:rPr>
          <w:rStyle w:val="Emphasis"/>
        </w:rPr>
        <w:t>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4054FA3" w14:textId="77777777" w:rsidR="006B1E40" w:rsidRPr="00895F70" w:rsidRDefault="006B1E40" w:rsidP="006B1E40">
      <w:pPr>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67EF1">
        <w:rPr>
          <w:rStyle w:val="Emphasis"/>
          <w:highlight w:val="green"/>
        </w:rPr>
        <w:t>an international regime built upon this existing regime will need to be constructed</w:t>
      </w:r>
      <w:r w:rsidRPr="00895F70">
        <w:rPr>
          <w:rStyle w:val="StyleUnderline"/>
        </w:rPr>
        <w:t xml:space="preserve"> </w:t>
      </w:r>
      <w:r w:rsidRPr="00C67EF1">
        <w:rPr>
          <w:rStyle w:val="Emphasis"/>
          <w:highlight w:val="green"/>
        </w:rPr>
        <w:t>which takes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58313A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2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03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E4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447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24A"/>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F9D18"/>
  <w14:defaultImageDpi w14:val="300"/>
  <w15:docId w15:val="{64F04059-3FDA-D94C-83B7-C92F6867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1E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1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1E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B1E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B1E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1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E40"/>
  </w:style>
  <w:style w:type="character" w:customStyle="1" w:styleId="Heading1Char">
    <w:name w:val="Heading 1 Char"/>
    <w:aliases w:val="Pocket Char"/>
    <w:basedOn w:val="DefaultParagraphFont"/>
    <w:link w:val="Heading1"/>
    <w:uiPriority w:val="9"/>
    <w:rsid w:val="006B1E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1E4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B1E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B1E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1E4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B1E4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B1E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1E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B1E40"/>
    <w:rPr>
      <w:color w:val="auto"/>
      <w:u w:val="none"/>
    </w:rPr>
  </w:style>
  <w:style w:type="paragraph" w:styleId="DocumentMap">
    <w:name w:val="Document Map"/>
    <w:basedOn w:val="Normal"/>
    <w:link w:val="DocumentMapChar"/>
    <w:uiPriority w:val="99"/>
    <w:semiHidden/>
    <w:unhideWhenUsed/>
    <w:rsid w:val="006B1E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1E40"/>
    <w:rPr>
      <w:rFonts w:ascii="Lucida Grande" w:hAnsi="Lucida Grande" w:cs="Lucida Grande"/>
    </w:rPr>
  </w:style>
  <w:style w:type="paragraph" w:customStyle="1" w:styleId="Emphasis1">
    <w:name w:val="Emphasis1"/>
    <w:basedOn w:val="Normal"/>
    <w:link w:val="Emphasis"/>
    <w:autoRedefine/>
    <w:uiPriority w:val="20"/>
    <w:qFormat/>
    <w:rsid w:val="00F072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072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18809</Words>
  <Characters>107214</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2022-01-15T15:53:00Z</dcterms:created>
  <dcterms:modified xsi:type="dcterms:W3CDTF">2022-01-16T20:04:00Z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