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4755" w14:textId="04B83EC6" w:rsidR="001961C3" w:rsidRDefault="001961C3" w:rsidP="001961C3">
      <w:pPr>
        <w:pStyle w:val="Heading2"/>
      </w:pPr>
      <w:r>
        <w:t xml:space="preserve">1AR Cards: </w:t>
      </w:r>
    </w:p>
    <w:p w14:paraId="42AFF9EF" w14:textId="77777777" w:rsidR="001961C3" w:rsidRDefault="001961C3" w:rsidP="001961C3">
      <w:pPr>
        <w:pStyle w:val="Heading4"/>
      </w:pPr>
      <w:r>
        <w:t>Reduce just means to lessen something. Merriam Webster ND.</w:t>
      </w:r>
    </w:p>
    <w:p w14:paraId="741411B9" w14:textId="77777777" w:rsidR="001961C3" w:rsidRPr="00CE3F76" w:rsidRDefault="001961C3" w:rsidP="001961C3">
      <w:r>
        <w:t xml:space="preserve">Merriam-Webster </w:t>
      </w:r>
      <w:r w:rsidRPr="00CE3F76">
        <w:t>, xx-xx-xxxx, "Definition of REDUCE," No Publication, https://www.merriam-webster.com/dictionary/reduce</w:t>
      </w:r>
    </w:p>
    <w:p w14:paraId="40F8E67C" w14:textId="77777777" w:rsidR="001961C3" w:rsidRPr="00CE3F76" w:rsidRDefault="001961C3" w:rsidP="001961C3">
      <w:pPr>
        <w:rPr>
          <w:sz w:val="14"/>
        </w:rPr>
      </w:pPr>
      <w:r w:rsidRPr="00CE3F76">
        <w:rPr>
          <w:rStyle w:val="Emphasis"/>
          <w:highlight w:val="yellow"/>
        </w:rPr>
        <w:t>Definition of reduce</w:t>
      </w:r>
      <w:r w:rsidRPr="00CE3F76">
        <w:rPr>
          <w:sz w:val="14"/>
        </w:rPr>
        <w:t xml:space="preserve"> </w:t>
      </w:r>
      <w:hyperlink r:id="rId9" w:history="1">
        <w:r w:rsidRPr="00CE3F76">
          <w:rPr>
            <w:rStyle w:val="Hyperlink"/>
            <w:sz w:val="14"/>
          </w:rPr>
          <w:t>transitive verb</w:t>
        </w:r>
      </w:hyperlink>
      <w:r w:rsidRPr="00CE3F76">
        <w:rPr>
          <w:sz w:val="14"/>
        </w:rPr>
        <w:t xml:space="preserve"> 1a: to draw together or cause to converge : </w:t>
      </w:r>
      <w:hyperlink r:id="rId10" w:history="1">
        <w:r w:rsidRPr="00CE3F76">
          <w:rPr>
            <w:rStyle w:val="Hyperlink"/>
            <w:sz w:val="14"/>
          </w:rPr>
          <w:t>CONSOLIDATE</w:t>
        </w:r>
      </w:hyperlink>
      <w:r w:rsidRPr="00CE3F76">
        <w:rPr>
          <w:sz w:val="14"/>
        </w:rPr>
        <w:t>reduce all the questions to one b(1): </w:t>
      </w:r>
      <w:r w:rsidRPr="00CE3F76">
        <w:rPr>
          <w:rStyle w:val="Emphasis"/>
          <w:highlight w:val="yellow"/>
        </w:rPr>
        <w:t>to diminish in size, amount, extent, or number</w:t>
      </w:r>
    </w:p>
    <w:p w14:paraId="0924B7A0" w14:textId="77777777" w:rsidR="001961C3" w:rsidRPr="001A2D5D" w:rsidRDefault="001961C3" w:rsidP="001961C3">
      <w:pPr>
        <w:pStyle w:val="Heading4"/>
        <w:rPr>
          <w:rStyle w:val="Style13ptBold"/>
          <w:rFonts w:cs="Calibri"/>
          <w:b/>
          <w:bCs w:val="0"/>
        </w:rPr>
      </w:pPr>
      <w:r w:rsidRPr="001A2D5D">
        <w:t>Counterinterpretation</w:t>
      </w:r>
      <w:r>
        <w:t>—</w:t>
      </w:r>
      <w:r>
        <w:rPr>
          <w:rStyle w:val="Style13ptBold"/>
          <w:rFonts w:cs="Calibri"/>
          <w:b/>
          <w:bCs w:val="0"/>
        </w:rPr>
        <w:t>Vaccines are a form of medication</w:t>
      </w:r>
      <w:r w:rsidRPr="001A2D5D">
        <w:rPr>
          <w:rStyle w:val="Style13ptBold"/>
          <w:rFonts w:cs="Calibri"/>
          <w:b/>
          <w:bCs w:val="0"/>
        </w:rPr>
        <w:t>. Reading text from chart. WTO 20</w:t>
      </w:r>
    </w:p>
    <w:p w14:paraId="60A522AE" w14:textId="77777777" w:rsidR="001961C3" w:rsidRPr="000A7202" w:rsidRDefault="001961C3" w:rsidP="001961C3">
      <w:r w:rsidRPr="000A7202">
        <w:t xml:space="preserve">World Trade Organization, 20 - ("Trade in Medical Goods in the Context of COVID-19," WTO4/3/2020, </w:t>
      </w:r>
      <w:hyperlink r:id="rId11" w:history="1">
        <w:r w:rsidRPr="000A7202">
          <w:rPr>
            <w:rStyle w:val="Hyperlink"/>
          </w:rPr>
          <w:t>https://www.wto.org/english/news_e/news20_e/rese_03apr20_e.pdf)//ML</w:t>
        </w:r>
      </w:hyperlink>
    </w:p>
    <w:p w14:paraId="3A3057D6" w14:textId="77777777" w:rsidR="001961C3" w:rsidRPr="000A7202" w:rsidRDefault="001961C3" w:rsidP="001961C3">
      <w:r w:rsidRPr="000A7202">
        <w:t>&lt;text of chart&gt;</w:t>
      </w:r>
    </w:p>
    <w:p w14:paraId="6BA6726C" w14:textId="77777777" w:rsidR="001961C3" w:rsidRPr="000A7202" w:rsidRDefault="001961C3" w:rsidP="001961C3">
      <w:pPr>
        <w:rPr>
          <w:sz w:val="12"/>
        </w:rPr>
      </w:pPr>
      <w:r w:rsidRPr="000A7202">
        <w:rPr>
          <w:rStyle w:val="StyleUnderline"/>
          <w:highlight w:val="yellow"/>
        </w:rPr>
        <w:t>Medicines</w:t>
      </w:r>
      <w:r w:rsidRPr="000A7202">
        <w:rPr>
          <w:sz w:val="12"/>
        </w:rPr>
        <w:t xml:space="preserve"> (Pharmaceuticals) HS 2017 Short product description ITAExp Pharma WCO 300213 Immunological products, unmixed, ... not for retail sale X 300214 Immunological products, mixed, ... not for retail sale X 300215 Immunological products, ... for retail sale X X 300219 Immunological products, n.e.s. X </w:t>
      </w:r>
      <w:r w:rsidRPr="000A7202">
        <w:rPr>
          <w:rStyle w:val="StyleUnderline"/>
        </w:rPr>
        <w:t xml:space="preserve">300220 </w:t>
      </w:r>
      <w:r w:rsidRPr="000A7202">
        <w:rPr>
          <w:rStyle w:val="StyleUnderline"/>
          <w:highlight w:val="yellow"/>
        </w:rPr>
        <w:t>Vaccines for human medicine</w:t>
      </w:r>
      <w:r w:rsidRPr="000A7202">
        <w:rPr>
          <w:sz w:val="12"/>
        </w:rPr>
        <w:t xml:space="preserve"> X 300310 Medicaments containing penicillins … not for retail sale X 300320 Medicaments containing antibiotics, … not for retail sale X 300331 Medicaments containing insulin, … not for retail sale X 300339 Medicaments containing hormones … not for retail sale X 300341 Medicaments containing ephedrine … not for retail sale X 300342 Medicaments containing pseudoephedrine "INN" or its salts, … not for retail sale X 300343 Medicaments containing norephedrine or its salts, … not for retail sale X 300349 Medicaments containing alkaloids or derivatives thereof, … not for retail sale X 300360 Medicaments containing any of the following antimalarial active principles: … not put up for retail sale X 300390 Medicaments consisting of two or more constituents mixed together for therapeutic or prophylactic uses, not for retail sale X 300410 Medicaments containing penicillins or derivatives thereof … for retail sale X 300420 Medicaments containing antibiotics, ... for retail sale X 300431 Medicaments containing insulin but not antibiotics, ... for retail sale X 300432 Medicaments containing corticosteroid hormones, ... for retail sale X 300439 Medicaments containing hormones or steroids ... for retail sale X 300441 Medicaments containing ephedrine or its salts, ... for retail sale X 300442 Medicaments containing pseudoephedrine "INN" or its salts, ... for retail sale X 300443 Medicaments containing norephedrine or its salts, ... for retail sale X 300449 Medicaments containing alkaloids or derivatives thereof... for retail sale X 300450 Medicaments containing provitamins, vitamins,... for retail sale X 300460 Medicaments containing any of the following antimalarial active principles ... for retail sale X 300490 Medicaments consisting of mixed or unmixed products ... for retail sale X X</w:t>
      </w:r>
    </w:p>
    <w:p w14:paraId="6B809696" w14:textId="77777777" w:rsidR="001961C3" w:rsidRPr="000A7202" w:rsidRDefault="001961C3" w:rsidP="001961C3">
      <w:r w:rsidRPr="000A7202">
        <w:t>&lt;chart below&gt;</w:t>
      </w:r>
    </w:p>
    <w:p w14:paraId="3F1DF459" w14:textId="77777777" w:rsidR="001961C3" w:rsidRPr="000A7202" w:rsidRDefault="001961C3" w:rsidP="001961C3">
      <w:pPr>
        <w:rPr>
          <w:rStyle w:val="Style13ptBold"/>
        </w:rPr>
      </w:pPr>
      <w:r w:rsidRPr="000A7202">
        <w:rPr>
          <w:b/>
          <w:noProof/>
          <w:sz w:val="26"/>
        </w:rPr>
        <w:drawing>
          <wp:inline distT="0" distB="0" distL="0" distR="0" wp14:anchorId="58F77AD1" wp14:editId="292F98BE">
            <wp:extent cx="4390123" cy="3951111"/>
            <wp:effectExtent l="0" t="0" r="4445" b="0"/>
            <wp:docPr id="30" name="Picture 30"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Graphical user interface, table&#10;&#10;Description automatically generated"/>
                    <pic:cNvPicPr/>
                  </pic:nvPicPr>
                  <pic:blipFill>
                    <a:blip r:embed="rId12"/>
                    <a:stretch>
                      <a:fillRect/>
                    </a:stretch>
                  </pic:blipFill>
                  <pic:spPr>
                    <a:xfrm>
                      <a:off x="0" y="0"/>
                      <a:ext cx="4396170" cy="3956553"/>
                    </a:xfrm>
                    <a:prstGeom prst="rect">
                      <a:avLst/>
                    </a:prstGeom>
                  </pic:spPr>
                </pic:pic>
              </a:graphicData>
            </a:graphic>
          </wp:inline>
        </w:drawing>
      </w:r>
    </w:p>
    <w:p w14:paraId="7B33DDE9" w14:textId="77777777" w:rsidR="001961C3" w:rsidRPr="000A7202" w:rsidRDefault="001961C3" w:rsidP="001961C3">
      <w:pPr>
        <w:pStyle w:val="Heading4"/>
        <w:rPr>
          <w:rFonts w:cs="Calibri"/>
        </w:rPr>
      </w:pPr>
      <w:r>
        <w:rPr>
          <w:rFonts w:cs="Calibri"/>
        </w:rPr>
        <w:t xml:space="preserve">The CDC also considers vaccines medicine. </w:t>
      </w:r>
    </w:p>
    <w:p w14:paraId="0FD51CD9" w14:textId="77777777" w:rsidR="001961C3" w:rsidRPr="000A7202" w:rsidRDefault="001961C3" w:rsidP="001961C3">
      <w:r w:rsidRPr="000A7202">
        <w:rPr>
          <w:rStyle w:val="Style13ptBold"/>
        </w:rPr>
        <w:t>CDC 12</w:t>
      </w:r>
      <w:r w:rsidRPr="000A7202">
        <w:t xml:space="preserve"> - ("Basics of Vaccines," CDC, last reviewed 3/14.2012, https://www.cdc.gov/vaccines/vpd/vpd-vac-basics.html)//ML</w:t>
      </w:r>
    </w:p>
    <w:p w14:paraId="7DC06534" w14:textId="77777777" w:rsidR="001961C3" w:rsidRPr="000A7202" w:rsidRDefault="001961C3" w:rsidP="001961C3">
      <w:pPr>
        <w:rPr>
          <w:rStyle w:val="StyleUnderline"/>
        </w:rPr>
      </w:pPr>
      <w:r w:rsidRPr="000A7202">
        <w:rPr>
          <w:sz w:val="12"/>
        </w:rPr>
        <w:t xml:space="preserve">Vaccines contain the same germs that cause disease. (For example, measles vaccine contains measles virus, and Hib vaccine contains Hib bacteria.) But they have been either killed or weakened to the point that they don’t make you sick. Some vaccines contain only a part of the disease germ.¶ </w:t>
      </w:r>
      <w:r w:rsidRPr="000A7202">
        <w:rPr>
          <w:rStyle w:val="StyleUnderline"/>
          <w:highlight w:val="yellow"/>
        </w:rPr>
        <w:t>A vaccine stimulates your immune system to produce antibodies</w:t>
      </w:r>
      <w:r w:rsidRPr="000A7202">
        <w:rPr>
          <w:sz w:val="12"/>
        </w:rPr>
        <w:t xml:space="preserve">, exactly like it would if you were exposed to the disease. </w:t>
      </w:r>
      <w:r w:rsidRPr="000A7202">
        <w:rPr>
          <w:rStyle w:val="StyleUnderline"/>
        </w:rPr>
        <w:t xml:space="preserve">After getting vaccinated, you develop immunity to that disease, without having to get the disease first.¶ </w:t>
      </w:r>
      <w:r w:rsidRPr="000A7202">
        <w:rPr>
          <w:rStyle w:val="StyleUnderline"/>
          <w:highlight w:val="yellow"/>
        </w:rPr>
        <w:t>This</w:t>
      </w:r>
      <w:r w:rsidRPr="000A7202">
        <w:rPr>
          <w:rStyle w:val="StyleUnderline"/>
        </w:rPr>
        <w:t xml:space="preserve"> is </w:t>
      </w:r>
      <w:r w:rsidRPr="000A7202">
        <w:rPr>
          <w:rStyle w:val="StyleUnderline"/>
          <w:highlight w:val="yellow"/>
        </w:rPr>
        <w:t>what makes vaccines</w:t>
      </w:r>
      <w:r w:rsidRPr="000A7202">
        <w:rPr>
          <w:rStyle w:val="StyleUnderline"/>
        </w:rPr>
        <w:t xml:space="preserve"> such </w:t>
      </w:r>
      <w:r w:rsidRPr="000A7202">
        <w:rPr>
          <w:rStyle w:val="StyleUnderline"/>
          <w:highlight w:val="yellow"/>
        </w:rPr>
        <w:t>powerful medicine</w:t>
      </w:r>
      <w:r w:rsidRPr="000A7202">
        <w:rPr>
          <w:rStyle w:val="StyleUnderline"/>
        </w:rPr>
        <w:t xml:space="preserve">. </w:t>
      </w:r>
      <w:r w:rsidRPr="000A7202">
        <w:rPr>
          <w:rStyle w:val="StyleUnderline"/>
          <w:highlight w:val="yellow"/>
        </w:rPr>
        <w:t>Unlike most medicines, which treat</w:t>
      </w:r>
      <w:r w:rsidRPr="000A7202">
        <w:rPr>
          <w:sz w:val="12"/>
        </w:rPr>
        <w:t xml:space="preserve"> or cure </w:t>
      </w:r>
      <w:r w:rsidRPr="000A7202">
        <w:rPr>
          <w:rStyle w:val="StyleUnderline"/>
          <w:highlight w:val="yellow"/>
        </w:rPr>
        <w:t>diseases</w:t>
      </w:r>
      <w:r w:rsidRPr="000A7202">
        <w:rPr>
          <w:sz w:val="12"/>
          <w:highlight w:val="yellow"/>
        </w:rPr>
        <w:t xml:space="preserve">, </w:t>
      </w:r>
      <w:r w:rsidRPr="000A7202">
        <w:rPr>
          <w:rStyle w:val="StyleUnderline"/>
          <w:highlight w:val="yellow"/>
        </w:rPr>
        <w:t>vaccines prevent them</w:t>
      </w:r>
      <w:r w:rsidRPr="000A7202">
        <w:rPr>
          <w:rStyle w:val="StyleUnderline"/>
        </w:rPr>
        <w:t>.</w:t>
      </w:r>
    </w:p>
    <w:p w14:paraId="2B4CF717" w14:textId="77777777" w:rsidR="001961C3" w:rsidRPr="001961C3" w:rsidRDefault="001961C3" w:rsidP="001961C3"/>
    <w:p w14:paraId="78FBD5CD" w14:textId="69788C96" w:rsidR="001961C3" w:rsidRDefault="001961C3" w:rsidP="001961C3">
      <w:pPr>
        <w:pStyle w:val="Heading2"/>
      </w:pPr>
      <w:r>
        <w:t>I. Vaccine Apartheid</w:t>
      </w:r>
    </w:p>
    <w:p w14:paraId="70462523" w14:textId="77777777" w:rsidR="001961C3" w:rsidRPr="00BB588A" w:rsidRDefault="001961C3" w:rsidP="001961C3">
      <w:pPr>
        <w:pStyle w:val="Heading4"/>
        <w:rPr>
          <w:rFonts w:cs="Calibri"/>
          <w:color w:val="FF0000"/>
        </w:rPr>
      </w:pPr>
      <w:r w:rsidRPr="00BB588A">
        <w:rPr>
          <w:rFonts w:cs="Calibri"/>
        </w:rPr>
        <w:t xml:space="preserve">A TRIPS waiver for covid vaccines will not pass in the squo. Baschuk 7/26 </w:t>
      </w:r>
    </w:p>
    <w:p w14:paraId="4E0B9FBB" w14:textId="77777777" w:rsidR="001961C3" w:rsidRPr="00BB588A" w:rsidRDefault="001961C3" w:rsidP="001961C3">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2EFBB80E" w14:textId="77777777" w:rsidR="001961C3" w:rsidRPr="003C7242" w:rsidRDefault="001961C3" w:rsidP="001961C3">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13"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4"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5"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6"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7"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8" w:tooltip="Company Overview" w:history="1">
        <w:r w:rsidRPr="00BB588A">
          <w:rPr>
            <w:rStyle w:val="Hyperlink"/>
            <w:rFonts w:eastAsiaTheme="majorEastAsia"/>
            <w:sz w:val="12"/>
          </w:rPr>
          <w:t>Moderna Inc.</w:t>
        </w:r>
      </w:hyperlink>
      <w:r w:rsidRPr="00BB588A">
        <w:rPr>
          <w:sz w:val="12"/>
        </w:rPr>
        <w:t xml:space="preserve">, </w:t>
      </w:r>
      <w:hyperlink r:id="rId19" w:tooltip="Company Overview" w:history="1">
        <w:r w:rsidRPr="00BB588A">
          <w:rPr>
            <w:rStyle w:val="Hyperlink"/>
            <w:rFonts w:eastAsiaTheme="majorEastAsia"/>
            <w:sz w:val="12"/>
          </w:rPr>
          <w:t>Pfizer Inc.</w:t>
        </w:r>
      </w:hyperlink>
      <w:r w:rsidRPr="00BB588A">
        <w:rPr>
          <w:sz w:val="12"/>
        </w:rPr>
        <w:t xml:space="preserve">, and </w:t>
      </w:r>
      <w:hyperlink r:id="rId20"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21" w:tooltip="Company Overview" w:history="1">
        <w:r w:rsidRPr="00BB588A">
          <w:rPr>
            <w:rStyle w:val="Hyperlink"/>
            <w:rFonts w:eastAsiaTheme="majorEastAsia"/>
            <w:sz w:val="12"/>
          </w:rPr>
          <w:t>Knowledge Ecology International</w:t>
        </w:r>
      </w:hyperlink>
      <w:r w:rsidRPr="00BB588A">
        <w:rPr>
          <w:sz w:val="12"/>
        </w:rPr>
        <w:t xml:space="preserve"> in Europe.</w:t>
      </w:r>
    </w:p>
    <w:p w14:paraId="09D0B2E0" w14:textId="77777777" w:rsidR="001961C3" w:rsidRPr="00161F0C" w:rsidRDefault="001961C3" w:rsidP="001961C3">
      <w:pPr>
        <w:pStyle w:val="Heading4"/>
      </w:pPr>
      <w:r>
        <w:t>The only way to solve the pandemic is global vaccination, but current production is woefully short.</w:t>
      </w:r>
    </w:p>
    <w:p w14:paraId="266B0149" w14:textId="77777777" w:rsidR="001961C3" w:rsidRPr="00E16557" w:rsidRDefault="001961C3" w:rsidP="001961C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721D130D" w14:textId="77777777" w:rsidR="001961C3" w:rsidRPr="002C3011" w:rsidRDefault="001961C3" w:rsidP="001961C3">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6070C924" w14:textId="77777777" w:rsidR="001961C3" w:rsidRPr="00161F0C" w:rsidRDefault="001961C3" w:rsidP="001961C3">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61E147D0" w14:textId="77777777" w:rsidR="001961C3" w:rsidRPr="00161F0C" w:rsidRDefault="001961C3" w:rsidP="001961C3">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22" w:history="1">
        <w:r w:rsidRPr="00161F0C">
          <w:rPr>
            <w:rFonts w:eastAsia="Cambria"/>
          </w:rPr>
          <w:t>https://gh.bmj.com/content/6/6/e006504)//ML</w:t>
        </w:r>
      </w:hyperlink>
    </w:p>
    <w:p w14:paraId="1A8CD952" w14:textId="77777777" w:rsidR="001961C3" w:rsidRPr="00161F0C" w:rsidRDefault="001961C3" w:rsidP="001961C3">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23"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4"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5"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6"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7"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8"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9"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30"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31"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32"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33"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4"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5"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6"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7"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8"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9"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40"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41"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42"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43"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4"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5"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6"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7"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8"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2879E1B4" w14:textId="77777777" w:rsidR="001961C3" w:rsidRPr="00E16557" w:rsidRDefault="001961C3" w:rsidP="001961C3">
      <w:pPr>
        <w:pStyle w:val="Heading4"/>
      </w:pPr>
      <w:r w:rsidRPr="00E16557">
        <w:t>Compulsory licensing is not sufficient – drug company resistance, IP thickets, and devolved decision-making.</w:t>
      </w:r>
    </w:p>
    <w:p w14:paraId="66D471BB" w14:textId="77777777" w:rsidR="001961C3" w:rsidRPr="00E16557" w:rsidRDefault="001961C3" w:rsidP="001961C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7F1C0DBD" w14:textId="77777777" w:rsidR="001961C3" w:rsidRPr="002F264B" w:rsidRDefault="001961C3" w:rsidP="001961C3">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724800B2" w14:textId="77777777" w:rsidR="001961C3" w:rsidRPr="007108BA" w:rsidRDefault="001961C3" w:rsidP="001961C3">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4F4FA260" w14:textId="77777777" w:rsidR="001961C3" w:rsidRPr="007108BA" w:rsidRDefault="001961C3" w:rsidP="001961C3">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3D152480" w14:textId="77777777" w:rsidR="001961C3" w:rsidRPr="00DC78EB" w:rsidRDefault="001961C3" w:rsidP="001961C3">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6F26245B" w14:textId="77777777" w:rsidR="001961C3" w:rsidRDefault="001961C3" w:rsidP="001961C3">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254D9971" w14:textId="77777777" w:rsidR="001961C3" w:rsidRPr="00076CD9" w:rsidRDefault="001961C3" w:rsidP="001961C3">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2D044A8F" w14:textId="77777777" w:rsidR="001961C3" w:rsidRPr="00076CD9" w:rsidRDefault="001961C3" w:rsidP="001961C3">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18AD26DE" w14:textId="77777777" w:rsidR="001961C3" w:rsidRPr="00076CD9" w:rsidRDefault="001961C3" w:rsidP="001961C3">
      <w:pPr>
        <w:ind w:left="720"/>
        <w:rPr>
          <w:sz w:val="12"/>
          <w:szCs w:val="12"/>
        </w:rPr>
      </w:pPr>
      <w:r w:rsidRPr="22DF304D">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r w:rsidRPr="22DF304D">
        <w:rPr>
          <w:rStyle w:val="Emphasis"/>
          <w:highlight w:val="yellow"/>
        </w:rPr>
        <w:t>.</w:t>
      </w:r>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nutritionrelated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45B8E119" w14:textId="77777777" w:rsidR="001961C3" w:rsidRPr="00DC78EB" w:rsidRDefault="001961C3" w:rsidP="001961C3">
      <w:pPr>
        <w:rPr>
          <w:sz w:val="12"/>
        </w:rPr>
      </w:pPr>
    </w:p>
    <w:p w14:paraId="60A05CBD" w14:textId="77777777" w:rsidR="001961C3" w:rsidRDefault="001961C3" w:rsidP="001961C3">
      <w:pPr>
        <w:pStyle w:val="Heading2"/>
      </w:pPr>
      <w:r>
        <w:t>II. Solvency</w:t>
      </w:r>
    </w:p>
    <w:p w14:paraId="0312A4A4" w14:textId="77777777" w:rsidR="001961C3" w:rsidRPr="00E16557" w:rsidRDefault="001961C3" w:rsidP="001961C3">
      <w:pPr>
        <w:pStyle w:val="Heading4"/>
      </w:pPr>
      <w:r>
        <w:t>Plan text: The member nations of the World Trade Organization ought to waive intellectual property protections for Covid-19 related medicines.</w:t>
      </w:r>
    </w:p>
    <w:p w14:paraId="7D42E338" w14:textId="77777777" w:rsidR="001961C3" w:rsidRPr="00E16557" w:rsidRDefault="001961C3" w:rsidP="001961C3">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9" w:anchor="new_tab" w:history="1">
        <w:r w:rsidRPr="00E16557">
          <w:rPr>
            <w:rStyle w:val="Hyperlink"/>
          </w:rPr>
          <w:t>https://www.citizenstrade.org/ctc/wp-content/uploads/2021/06/COVIDTRIPSWaiver_SignOnLtr2_062221.pdf#new_tab</w:t>
        </w:r>
      </w:hyperlink>
      <w:r w:rsidRPr="00E16557">
        <w:t>&gt; AT</w:t>
      </w:r>
    </w:p>
    <w:p w14:paraId="0A13CBAB" w14:textId="77777777" w:rsidR="001961C3" w:rsidRPr="00DC5CFA" w:rsidRDefault="001961C3" w:rsidP="001961C3">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34790DF4" w14:textId="77777777" w:rsidR="001961C3" w:rsidRPr="00E16557" w:rsidRDefault="001961C3" w:rsidP="001961C3">
      <w:pPr>
        <w:pStyle w:val="Heading4"/>
      </w:pPr>
      <w:r w:rsidRPr="00E16557">
        <w:t>A waiver would increase leverage over pharma and provide legal certainty needed to spur critical production.</w:t>
      </w:r>
    </w:p>
    <w:p w14:paraId="23191146" w14:textId="77777777" w:rsidR="001961C3" w:rsidRPr="00E16557" w:rsidRDefault="001961C3" w:rsidP="001961C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13B876C9" w14:textId="77777777" w:rsidR="001961C3" w:rsidRPr="00D308C4" w:rsidRDefault="001961C3" w:rsidP="001961C3">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26B1B405" w14:textId="77777777" w:rsidR="001961C3" w:rsidRPr="00E16557" w:rsidRDefault="001961C3" w:rsidP="001961C3">
      <w:pPr>
        <w:pStyle w:val="Heading4"/>
      </w:pPr>
      <w:r>
        <w:t>Legal certainty unlocks global production.</w:t>
      </w:r>
    </w:p>
    <w:p w14:paraId="0A53E3BC" w14:textId="77777777" w:rsidR="001961C3" w:rsidRPr="00E16557" w:rsidRDefault="001961C3" w:rsidP="001961C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4F545473" w14:textId="77777777" w:rsidR="001961C3" w:rsidRPr="0061477E" w:rsidRDefault="001961C3" w:rsidP="001961C3">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71389F9C" w14:textId="77777777" w:rsidR="001961C3" w:rsidRPr="007108BA" w:rsidRDefault="001961C3" w:rsidP="001961C3">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245009BA" w14:textId="77777777" w:rsidR="001961C3" w:rsidRPr="007108BA" w:rsidRDefault="001961C3" w:rsidP="001961C3">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2D91E755" w14:textId="77777777" w:rsidR="001961C3" w:rsidRPr="00F828E6" w:rsidRDefault="001961C3" w:rsidP="001961C3">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51647BA6" w14:textId="77777777" w:rsidR="001961C3" w:rsidRDefault="001961C3" w:rsidP="001961C3">
      <w:pPr>
        <w:pStyle w:val="Heading2"/>
      </w:pPr>
      <w:r>
        <w:t>III. Framing</w:t>
      </w:r>
    </w:p>
    <w:p w14:paraId="16E86BFE" w14:textId="77777777" w:rsidR="001961C3" w:rsidRDefault="001961C3" w:rsidP="001961C3">
      <w:pPr>
        <w:pStyle w:val="Heading4"/>
      </w:pPr>
      <w:r>
        <w:t>The Aff challenges dehumanizing cultural frames that allow us to ignore human suffering. Recognition of common vulnerability is key to a politics that rejects violence, oppression, and indifference.</w:t>
      </w:r>
    </w:p>
    <w:p w14:paraId="6D83BD32" w14:textId="77777777" w:rsidR="001961C3" w:rsidRPr="00896404" w:rsidRDefault="001961C3" w:rsidP="001961C3">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71FE23C4" w14:textId="77777777" w:rsidR="001961C3" w:rsidRPr="005F464B" w:rsidRDefault="001961C3" w:rsidP="001961C3">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3DAF191A" w14:textId="77777777" w:rsidR="001961C3" w:rsidRDefault="001961C3" w:rsidP="001961C3">
      <w:pPr>
        <w:spacing w:after="0" w:line="240" w:lineRule="auto"/>
        <w:ind w:left="720" w:right="720"/>
        <w:rPr>
          <w:rFonts w:eastAsia="Times New Roman" w:cs="Times New Roman"/>
          <w:sz w:val="24"/>
        </w:rPr>
      </w:pPr>
    </w:p>
    <w:p w14:paraId="0162E0E0" w14:textId="77777777" w:rsidR="001961C3" w:rsidRPr="003C5A91" w:rsidRDefault="001961C3" w:rsidP="001961C3">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4959B077" w14:textId="77777777" w:rsidR="001961C3" w:rsidRPr="003C5A91" w:rsidRDefault="001961C3" w:rsidP="001961C3">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10D39CD3" w14:textId="77777777" w:rsidR="001961C3" w:rsidRPr="003C5A91" w:rsidRDefault="001961C3" w:rsidP="001961C3">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2134168F" w14:textId="77777777" w:rsidR="001961C3" w:rsidRDefault="001961C3" w:rsidP="001961C3">
      <w:pPr>
        <w:pStyle w:val="Heading2"/>
        <w:rPr>
          <w:rFonts w:eastAsia="MS Gothic"/>
        </w:rPr>
      </w:pPr>
      <w:r>
        <w:rPr>
          <w:rFonts w:eastAsia="MS Gothic"/>
        </w:rPr>
        <w:t>Underview 1</w:t>
      </w:r>
    </w:p>
    <w:p w14:paraId="66521F7F" w14:textId="77777777" w:rsidR="001961C3" w:rsidRPr="006213BA" w:rsidRDefault="001961C3" w:rsidP="001961C3">
      <w:pPr>
        <w:pStyle w:val="Heading4"/>
      </w:pPr>
      <w:r w:rsidRPr="006213BA">
        <w:t>Scholarly discourse and engagement with politics is key to effective structural reform - critique is insufficient.</w:t>
      </w:r>
    </w:p>
    <w:p w14:paraId="778F4A23" w14:textId="77777777" w:rsidR="001961C3" w:rsidRPr="00AD1EE8" w:rsidRDefault="001961C3" w:rsidP="001961C3">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4F1C1C59" w14:textId="77777777" w:rsidR="001961C3" w:rsidRDefault="001961C3" w:rsidP="001961C3">
      <w:pPr>
        <w:ind w:left="720"/>
        <w:rPr>
          <w:rFonts w:eastAsia="Cambria"/>
          <w:sz w:val="8"/>
        </w:rPr>
      </w:pPr>
    </w:p>
    <w:p w14:paraId="04785116" w14:textId="77777777" w:rsidR="001961C3" w:rsidRPr="00AD1EE8" w:rsidRDefault="001961C3" w:rsidP="001961C3">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16CB68CD" w14:textId="77777777" w:rsidR="001961C3" w:rsidRPr="006213BA" w:rsidRDefault="001961C3" w:rsidP="001961C3">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14802F9B" w14:textId="77777777" w:rsidR="001961C3" w:rsidRPr="006213BA" w:rsidRDefault="001961C3" w:rsidP="001961C3">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14AF0A74" w14:textId="77777777" w:rsidR="001961C3" w:rsidRDefault="001961C3" w:rsidP="001961C3">
      <w:pPr>
        <w:ind w:left="720"/>
        <w:rPr>
          <w:rFonts w:eastAsia="Cambria"/>
          <w:b/>
          <w:iCs/>
          <w:highlight w:val="yellow"/>
          <w:u w:val="single"/>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and ideological apparatuses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w:t>
      </w:r>
    </w:p>
    <w:p w14:paraId="1A30C003" w14:textId="77777777" w:rsidR="001961C3" w:rsidRDefault="001961C3" w:rsidP="001961C3">
      <w:pPr>
        <w:ind w:left="720"/>
        <w:rPr>
          <w:rFonts w:eastAsia="Cambria"/>
          <w:b/>
          <w:iCs/>
          <w:highlight w:val="yellow"/>
          <w:u w:val="single"/>
        </w:rPr>
      </w:pPr>
    </w:p>
    <w:p w14:paraId="5B42EB96" w14:textId="77777777" w:rsidR="001961C3" w:rsidRDefault="001961C3" w:rsidP="001961C3">
      <w:pPr>
        <w:ind w:left="720"/>
        <w:rPr>
          <w:rFonts w:eastAsia="Cambria"/>
          <w:sz w:val="8"/>
          <w:szCs w:val="16"/>
        </w:rPr>
      </w:pPr>
      <w:r w:rsidRPr="00542864">
        <w:rPr>
          <w:rFonts w:eastAsia="Cambria"/>
          <w:b/>
          <w:iCs/>
          <w:highlight w:val="yellow"/>
          <w:u w:val="single"/>
        </w:rPr>
        <w:t xml:space="preserve">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3154B1AF" w14:textId="77777777" w:rsidR="001961C3" w:rsidRPr="00542864" w:rsidRDefault="001961C3" w:rsidP="001961C3">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19315866" w14:textId="77777777" w:rsidR="001961C3" w:rsidRPr="00542864" w:rsidRDefault="001961C3" w:rsidP="001961C3">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15190205" w14:textId="77777777" w:rsidR="001961C3" w:rsidRPr="00542864" w:rsidRDefault="001961C3" w:rsidP="001961C3">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7B6F3FCC" w14:textId="77777777" w:rsidR="001961C3" w:rsidRPr="00542864" w:rsidRDefault="001961C3" w:rsidP="001961C3">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75EF67F9" w14:textId="77777777" w:rsidR="001961C3" w:rsidRPr="00542864" w:rsidRDefault="001961C3" w:rsidP="001961C3">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 xml:space="preserve">misses these possibilities, </w:t>
      </w:r>
      <w:r w:rsidRPr="00BD7667">
        <w:rPr>
          <w:rFonts w:eastAsia="Times New Roman"/>
          <w:b/>
          <w:bCs/>
          <w:u w:val="single"/>
        </w:rPr>
        <w:t>and neglects the question of whether total change, when it comes, will be what we want</w:t>
      </w:r>
      <w:r w:rsidRPr="00542864">
        <w:rPr>
          <w:rFonts w:eastAsia="Times New Roman"/>
          <w:b/>
          <w:bCs/>
          <w:highlight w:val="yellow"/>
          <w:u w:val="single"/>
        </w:rPr>
        <w:t>.</w:t>
      </w:r>
    </w:p>
    <w:p w14:paraId="7C74A6D3" w14:textId="77777777" w:rsidR="001961C3" w:rsidRPr="006213BA" w:rsidRDefault="001961C3" w:rsidP="001961C3">
      <w:pPr>
        <w:rPr>
          <w:rFonts w:eastAsia="Cambria"/>
          <w:sz w:val="8"/>
          <w:szCs w:val="16"/>
        </w:rPr>
      </w:pPr>
    </w:p>
    <w:p w14:paraId="2230F819" w14:textId="77777777" w:rsidR="001961C3" w:rsidRPr="006213BA" w:rsidRDefault="001961C3" w:rsidP="001961C3">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4BAA8BE8" w14:textId="77777777" w:rsidR="001961C3" w:rsidRPr="006213BA" w:rsidRDefault="001961C3" w:rsidP="001961C3">
      <w:pPr>
        <w:rPr>
          <w:rFonts w:eastAsia="Cambria"/>
          <w:sz w:val="18"/>
          <w:szCs w:val="18"/>
        </w:rPr>
      </w:pPr>
      <w:r>
        <w:rPr>
          <w:rStyle w:val="Style13ptBold"/>
        </w:rPr>
        <w:t xml:space="preserve">Zannoti ’13 - </w:t>
      </w:r>
      <w:r w:rsidRPr="006213BA">
        <w:rPr>
          <w:rFonts w:eastAsia="Cambria"/>
          <w:sz w:val="18"/>
          <w:szCs w:val="18"/>
        </w:rPr>
        <w:t>Zannoti,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68C61F4B" w14:textId="77777777" w:rsidR="001961C3" w:rsidRPr="00724829" w:rsidRDefault="001961C3" w:rsidP="001961C3">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It invites historically situated explorations and careful differentiations rather than overarching demonizations of ‘‘power,’’ romanticizations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w:t>
      </w:r>
    </w:p>
    <w:p w14:paraId="4886880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61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1C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43EB45"/>
  <w14:defaultImageDpi w14:val="300"/>
  <w15:docId w15:val="{56399FBD-79B5-3048-A82F-70B30602E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61C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61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61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61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a"/>
    <w:basedOn w:val="Normal"/>
    <w:next w:val="Normal"/>
    <w:link w:val="Heading4Char"/>
    <w:uiPriority w:val="99"/>
    <w:unhideWhenUsed/>
    <w:qFormat/>
    <w:rsid w:val="001961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61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61C3"/>
  </w:style>
  <w:style w:type="character" w:customStyle="1" w:styleId="Heading1Char">
    <w:name w:val="Heading 1 Char"/>
    <w:aliases w:val="Pocket Char"/>
    <w:basedOn w:val="DefaultParagraphFont"/>
    <w:link w:val="Heading1"/>
    <w:uiPriority w:val="9"/>
    <w:rsid w:val="001961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61C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61C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961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61C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1961C3"/>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1961C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61C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1961C3"/>
    <w:rPr>
      <w:color w:val="auto"/>
      <w:u w:val="none"/>
    </w:rPr>
  </w:style>
  <w:style w:type="paragraph" w:styleId="DocumentMap">
    <w:name w:val="Document Map"/>
    <w:basedOn w:val="Normal"/>
    <w:link w:val="DocumentMapChar"/>
    <w:uiPriority w:val="99"/>
    <w:semiHidden/>
    <w:unhideWhenUsed/>
    <w:rsid w:val="001961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61C3"/>
    <w:rPr>
      <w:rFonts w:ascii="Lucida Grande" w:hAnsi="Lucida Grande" w:cs="Lucida Grande"/>
    </w:rPr>
  </w:style>
  <w:style w:type="paragraph" w:customStyle="1" w:styleId="textbold">
    <w:name w:val="text bold"/>
    <w:basedOn w:val="Normal"/>
    <w:link w:val="Emphasis"/>
    <w:uiPriority w:val="20"/>
    <w:qFormat/>
    <w:rsid w:val="001961C3"/>
    <w:pPr>
      <w:ind w:left="720"/>
      <w:jc w:val="both"/>
    </w:pPr>
    <w:rPr>
      <w:b/>
      <w:iCs/>
      <w:u w:val="single"/>
    </w:rPr>
  </w:style>
  <w:style w:type="paragraph" w:customStyle="1" w:styleId="Emphasis1">
    <w:name w:val="Emphasis1"/>
    <w:basedOn w:val="Normal"/>
    <w:autoRedefine/>
    <w:uiPriority w:val="20"/>
    <w:qFormat/>
    <w:rsid w:val="001961C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8" Type="http://schemas.openxmlformats.org/officeDocument/2006/relationships/hyperlink" Target="https://www.bloomberg.com/quote/MRNA:US"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www.bloomberg.com/quote/0746610D:US"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hyperlink" Target="https://gh.bmj.com/content/6/6/e006504"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news/articles/2021-06-03/eu-s-trade-response-to-pandemic-stops-short-of-vaccine-ip-waiver" TargetMode="External"/><Relationship Id="rId29" Type="http://schemas.openxmlformats.org/officeDocument/2006/relationships/hyperlink" Target="https://gh.bmj.com/content/6/6/e006504" TargetMode="External"/><Relationship Id="rId11" Type="http://schemas.openxmlformats.org/officeDocument/2006/relationships/hyperlink" Target="https://www.wto.org/english/news_e/news20_e/rese_03apr20_e.pdf)//ML"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gh.bmj.com/content/6/6/e006504" TargetMode="External"/><Relationship Id="rId5" Type="http://schemas.openxmlformats.org/officeDocument/2006/relationships/numbering" Target="numbering.xml"/><Relationship Id="rId15" Type="http://schemas.openxmlformats.org/officeDocument/2006/relationships/hyperlink" Target="https://ec.europa.eu/commission/presscorner/detail/en/STATEMENT_21_2361"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49" Type="http://schemas.openxmlformats.org/officeDocument/2006/relationships/hyperlink" Target="https://www.citizenstrade.org/ctc/wp-content/uploads/2021/06/COVIDTRIPSWaiver_SignOnLtr2_062221.pdf" TargetMode="External"/><Relationship Id="rId10" Type="http://schemas.openxmlformats.org/officeDocument/2006/relationships/hyperlink" Target="https://www.merriam-webster.com/dictionary/consolidate" TargetMode="External"/><Relationship Id="rId19" Type="http://schemas.openxmlformats.org/officeDocument/2006/relationships/hyperlink" Target="https://www.bloomberg.com/quote/PFE:US"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merriam-webster.com/dictionary/transitive" TargetMode="External"/><Relationship Id="rId14" Type="http://schemas.openxmlformats.org/officeDocument/2006/relationships/hyperlink" Target="https://pmindiaun.gov.in/public_files/assets/pdf/Statement_as_delivered_on_Waiver_Proposal.pdf" TargetMode="External"/><Relationship Id="rId22" Type="http://schemas.openxmlformats.org/officeDocument/2006/relationships/hyperlink" Target="https://gh.bmj.com/content/6/6/e006504)//ML"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48" Type="http://schemas.openxmlformats.org/officeDocument/2006/relationships/hyperlink" Target="https://gh.bmj.com/content/6/6/e006504"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twitter.com/AmbassadorTai/status/1390021205974003720?s=20"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hyperlink" Target="https://gh.bmj.com/content/6/6/e006504" TargetMode="External"/><Relationship Id="rId20" Type="http://schemas.openxmlformats.org/officeDocument/2006/relationships/hyperlink" Target="https://www.bloomberg.com/quote/BNTX:US" TargetMode="External"/><Relationship Id="rId41"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11443</Words>
  <Characters>65227</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1</cp:revision>
  <dcterms:created xsi:type="dcterms:W3CDTF">2021-09-18T20:05:00Z</dcterms:created>
  <dcterms:modified xsi:type="dcterms:W3CDTF">2021-09-18T20:07:00Z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