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18AD0" w14:textId="12B42882" w:rsidR="00E42E4C" w:rsidRDefault="00756855" w:rsidP="00756855">
      <w:pPr>
        <w:pStyle w:val="Heading1"/>
      </w:pPr>
      <w:r>
        <w:t>1NC</w:t>
      </w:r>
    </w:p>
    <w:p w14:paraId="2482C65D" w14:textId="5D215759" w:rsidR="00756855" w:rsidRDefault="00756855" w:rsidP="00756855">
      <w:pPr>
        <w:pStyle w:val="Heading2"/>
      </w:pPr>
      <w:r>
        <w:lastRenderedPageBreak/>
        <w:t>1</w:t>
      </w:r>
    </w:p>
    <w:p w14:paraId="6320E77E" w14:textId="65011607" w:rsidR="00756855" w:rsidRDefault="00756855" w:rsidP="00756855">
      <w:pPr>
        <w:pStyle w:val="Heading3"/>
      </w:pPr>
      <w:r>
        <w:lastRenderedPageBreak/>
        <w:t>1NC – T</w:t>
      </w:r>
    </w:p>
    <w:p w14:paraId="359B95D6" w14:textId="77777777" w:rsidR="00190D6E" w:rsidRDefault="00190D6E" w:rsidP="00190D6E">
      <w:pPr>
        <w:pStyle w:val="Heading4"/>
      </w:pPr>
      <w:proofErr w:type="spellStart"/>
      <w:r>
        <w:t>Interp</w:t>
      </w:r>
      <w:proofErr w:type="spellEnd"/>
      <w:r>
        <w:t>: Reductions exclude changing terms</w:t>
      </w:r>
    </w:p>
    <w:p w14:paraId="2CD012A7" w14:textId="77777777" w:rsidR="00190D6E" w:rsidRPr="0057095C" w:rsidRDefault="00190D6E" w:rsidP="00190D6E">
      <w:r w:rsidRPr="00450819">
        <w:rPr>
          <w:rStyle w:val="Emphasis"/>
        </w:rPr>
        <w:t>Supreme Court of Missouri 73</w:t>
      </w:r>
      <w:r>
        <w:t xml:space="preserve"> – (State ex rel. Cason v. Bond, 495 S.W.2d 385, Lexis)//BB</w:t>
      </w:r>
    </w:p>
    <w:p w14:paraId="45685753" w14:textId="5D5AA904" w:rsidR="00190D6E" w:rsidRDefault="00190D6E" w:rsidP="00190D6E">
      <w:pPr>
        <w:rPr>
          <w:sz w:val="14"/>
        </w:rPr>
      </w:pPr>
      <w:r w:rsidRPr="0084117D">
        <w:rPr>
          <w:sz w:val="14"/>
        </w:rPr>
        <w:t>"* * * The fact that this section relates solely to appropriation bills, in conjunction</w:t>
      </w:r>
      <w:r w:rsidRPr="006B6DC0">
        <w:rPr>
          <w:rStyle w:val="StyleUnderline"/>
        </w:rPr>
        <w:t xml:space="preserve"> </w:t>
      </w:r>
      <w:r w:rsidRPr="00F058BC">
        <w:rPr>
          <w:rStyle w:val="StyleUnderline"/>
          <w:highlight w:val="green"/>
        </w:rPr>
        <w:t>with the word 'reduce,'</w:t>
      </w:r>
      <w:r w:rsidRPr="0084117D">
        <w:rPr>
          <w:sz w:val="14"/>
        </w:rPr>
        <w:t xml:space="preserve"> indicates clearly that the expression 'items or parts of items' refers to separable fiscal units. They are appropriations of sums of money. </w:t>
      </w:r>
      <w:r w:rsidRPr="0084117D">
        <w:rPr>
          <w:rStyle w:val="StyleUnderline"/>
        </w:rPr>
        <w:t>Power is conferred</w:t>
      </w:r>
      <w:r w:rsidRPr="0084117D">
        <w:rPr>
          <w:sz w:val="14"/>
        </w:rPr>
        <w:t xml:space="preserve"> upon the Governor </w:t>
      </w:r>
      <w:r w:rsidRPr="0084117D">
        <w:rPr>
          <w:rStyle w:val="StyleUnderline"/>
        </w:rPr>
        <w:t xml:space="preserve">to reduce a sum </w:t>
      </w:r>
      <w:r w:rsidRPr="0084117D">
        <w:rPr>
          <w:sz w:val="14"/>
        </w:rPr>
        <w:t>of money appropriated,</w:t>
      </w:r>
      <w:r w:rsidRPr="0084117D">
        <w:rPr>
          <w:rStyle w:val="StyleUnderline"/>
        </w:rPr>
        <w:t xml:space="preserve"> or to disapprove </w:t>
      </w:r>
      <w:r w:rsidRPr="0084117D">
        <w:rPr>
          <w:sz w:val="14"/>
        </w:rPr>
        <w:t>the appropriation</w:t>
      </w:r>
      <w:r w:rsidRPr="0084117D">
        <w:rPr>
          <w:rStyle w:val="StyleUnderline"/>
        </w:rPr>
        <w:t xml:space="preserve"> entirely</w:t>
      </w:r>
      <w:r w:rsidRPr="0084117D">
        <w:rPr>
          <w:sz w:val="14"/>
        </w:rPr>
        <w:t xml:space="preserve">. </w:t>
      </w:r>
      <w:r w:rsidRPr="00F058BC">
        <w:rPr>
          <w:rStyle w:val="StyleUnderline"/>
          <w:highlight w:val="green"/>
        </w:rPr>
        <w:t xml:space="preserve">No power is conferred to </w:t>
      </w:r>
      <w:r w:rsidRPr="00F058BC">
        <w:rPr>
          <w:rStyle w:val="Emphasis"/>
          <w:highlight w:val="green"/>
        </w:rPr>
        <w:t>change the terms of an appropriation</w:t>
      </w:r>
      <w:r w:rsidRPr="0084117D">
        <w:rPr>
          <w:rStyle w:val="Emphasis"/>
        </w:rPr>
        <w:t xml:space="preserve"> </w:t>
      </w:r>
      <w:r w:rsidRPr="0084117D">
        <w:rPr>
          <w:sz w:val="14"/>
        </w:rPr>
        <w:t xml:space="preserve">except by reducing the amount thereof. Words or phrases are not 'items or parts of items.' </w:t>
      </w:r>
      <w:r w:rsidRPr="0084117D">
        <w:rPr>
          <w:rStyle w:val="StyleUnderline"/>
        </w:rPr>
        <w:t>This principle applies to the condition</w:t>
      </w:r>
      <w:r w:rsidRPr="0084117D">
        <w:rPr>
          <w:sz w:val="14"/>
        </w:rPr>
        <w:t xml:space="preserve"> [**14</w:t>
      </w:r>
      <w:proofErr w:type="gramStart"/>
      <w:r w:rsidRPr="0084117D">
        <w:rPr>
          <w:sz w:val="14"/>
        </w:rPr>
        <w:t>]  attached</w:t>
      </w:r>
      <w:proofErr w:type="gramEnd"/>
      <w:r w:rsidRPr="0084117D">
        <w:rPr>
          <w:sz w:val="14"/>
        </w:rPr>
        <w:t xml:space="preserve"> to the appropriation now </w:t>
      </w:r>
      <w:r w:rsidRPr="0084117D">
        <w:rPr>
          <w:rStyle w:val="StyleUnderline"/>
        </w:rPr>
        <w:t>in question</w:t>
      </w:r>
      <w:r w:rsidRPr="0084117D">
        <w:rPr>
          <w:sz w:val="14"/>
        </w:rPr>
        <w:t>. That condition is not an item or a part of an item. The veto power conferred upon the Governor was designed to enable him to recommend the striking out or reduction of any item or part of an item. In the present instance His Excellency the Governor did not undertake to veto the appropriation of $100,000 made by item 101, or any part of it, nor to reduce that amount or any part of it apportioned to a specific purpose. He sought, rather, as shown by his message, to enlarge the appropriation made by the General Court by throwing the $100,000 into a common fund to be used for any one of several different purposes. We are of opinion that the power conferred upon him by said article 63 does not extend to the removal of restrictions imposed upon the use of the items appropriated."</w:t>
      </w:r>
    </w:p>
    <w:p w14:paraId="7A12EBFF" w14:textId="42F484E8" w:rsidR="003D66CF" w:rsidRDefault="003D66CF" w:rsidP="00190D6E">
      <w:pPr>
        <w:rPr>
          <w:sz w:val="14"/>
        </w:rPr>
      </w:pPr>
    </w:p>
    <w:p w14:paraId="399B8815" w14:textId="473DF1DB" w:rsidR="003D66CF" w:rsidRDefault="003D66CF" w:rsidP="003D66CF">
      <w:pPr>
        <w:pStyle w:val="Heading4"/>
      </w:pPr>
      <w:r>
        <w:t xml:space="preserve">Violation: </w:t>
      </w:r>
      <w:r w:rsidR="00590666">
        <w:t xml:space="preserve">The </w:t>
      </w:r>
      <w:proofErr w:type="spellStart"/>
      <w:r w:rsidR="00590666">
        <w:t>aff</w:t>
      </w:r>
      <w:proofErr w:type="spellEnd"/>
      <w:r w:rsidR="00590666">
        <w:t xml:space="preserve"> doesn’t </w:t>
      </w:r>
      <w:proofErr w:type="gramStart"/>
      <w:r w:rsidR="00590666">
        <w:t>actually reduce</w:t>
      </w:r>
      <w:proofErr w:type="gramEnd"/>
      <w:r w:rsidR="00590666">
        <w:t xml:space="preserve"> *protections* conferred by trade secrets but just changes the terms around burden of proof. </w:t>
      </w:r>
    </w:p>
    <w:p w14:paraId="4EEAF001" w14:textId="77777777" w:rsidR="00190D6E" w:rsidRDefault="00190D6E" w:rsidP="00190D6E">
      <w:pPr>
        <w:rPr>
          <w:sz w:val="14"/>
        </w:rPr>
      </w:pPr>
    </w:p>
    <w:p w14:paraId="260642F0" w14:textId="01710CA2" w:rsidR="00190D6E" w:rsidRDefault="004979E5" w:rsidP="00190D6E">
      <w:pPr>
        <w:pStyle w:val="Heading4"/>
      </w:pPr>
      <w:r>
        <w:t>Vote neg</w:t>
      </w:r>
      <w:r w:rsidR="00190D6E">
        <w:t>:</w:t>
      </w:r>
    </w:p>
    <w:p w14:paraId="75B6F9A9" w14:textId="12D4B297" w:rsidR="00756855" w:rsidRDefault="00190D6E" w:rsidP="00190D6E">
      <w:pPr>
        <w:pStyle w:val="Heading4"/>
      </w:pPr>
      <w:r>
        <w:t xml:space="preserve">1] Limits and ground – </w:t>
      </w:r>
      <w:r w:rsidR="00BB58ED">
        <w:t>their model</w:t>
      </w:r>
      <w:r>
        <w:t xml:space="preserve"> explodes the topic </w:t>
      </w:r>
      <w:r w:rsidR="00C54BE8">
        <w:t>due to infinite small changes to laws</w:t>
      </w:r>
      <w:r>
        <w:t>. Also kills topic ed and ground by shifting the debate towards obscure legal jargon and away from generics like innovation and access which is the core controversy.</w:t>
      </w:r>
    </w:p>
    <w:p w14:paraId="2CC023C2" w14:textId="77777777" w:rsidR="006F06D0" w:rsidRDefault="006F06D0" w:rsidP="006F06D0">
      <w:pPr>
        <w:pStyle w:val="Heading4"/>
        <w:rPr>
          <w:color w:val="000000" w:themeColor="text1"/>
        </w:rPr>
      </w:pPr>
      <w:bookmarkStart w:id="0" w:name="_Hlk80686537"/>
      <w:r>
        <w:rPr>
          <w:color w:val="000000" w:themeColor="text1"/>
        </w:rPr>
        <w:t xml:space="preserve">2] Extra T is a voter – means the </w:t>
      </w:r>
      <w:proofErr w:type="spellStart"/>
      <w:r>
        <w:rPr>
          <w:color w:val="000000" w:themeColor="text1"/>
        </w:rPr>
        <w:t>res</w:t>
      </w:r>
      <w:proofErr w:type="spellEnd"/>
      <w:r>
        <w:rPr>
          <w:color w:val="000000" w:themeColor="text1"/>
        </w:rPr>
        <w:t xml:space="preserve"> is no longer a stable basis and they can defend whatever they want. Also means you don’t have jurisdiction to vote for them </w:t>
      </w:r>
      <w:proofErr w:type="spellStart"/>
      <w:r>
        <w:rPr>
          <w:color w:val="000000" w:themeColor="text1"/>
        </w:rPr>
        <w:t>cuz</w:t>
      </w:r>
      <w:proofErr w:type="spellEnd"/>
      <w:r>
        <w:rPr>
          <w:color w:val="000000" w:themeColor="text1"/>
        </w:rPr>
        <w:t xml:space="preserve"> they haven’t affirmed the res.</w:t>
      </w:r>
    </w:p>
    <w:p w14:paraId="20E70F8E" w14:textId="77777777" w:rsidR="006F06D0" w:rsidRDefault="006F06D0" w:rsidP="006F06D0"/>
    <w:p w14:paraId="29197921" w14:textId="77777777" w:rsidR="006F06D0" w:rsidRDefault="006F06D0" w:rsidP="006F06D0">
      <w:pPr>
        <w:pStyle w:val="Heading4"/>
      </w:pPr>
      <w:r>
        <w:t xml:space="preserve">Use Competing </w:t>
      </w:r>
      <w:proofErr w:type="spellStart"/>
      <w:r>
        <w:t>Interps</w:t>
      </w:r>
      <w:proofErr w:type="spellEnd"/>
      <w:r>
        <w:t xml:space="preserve"> for T:</w:t>
      </w:r>
    </w:p>
    <w:p w14:paraId="5148B896" w14:textId="77777777" w:rsidR="006F06D0" w:rsidRDefault="006F06D0" w:rsidP="006F06D0">
      <w:pPr>
        <w:pStyle w:val="Heading4"/>
      </w:pPr>
      <w:r>
        <w:t>1] There’s no way to be “reasonably” topical, it’s a yes/no binary</w:t>
      </w:r>
    </w:p>
    <w:p w14:paraId="76ED9523" w14:textId="0AB90163" w:rsidR="00D111B0" w:rsidRPr="00C54BE8" w:rsidRDefault="006F06D0" w:rsidP="00C54BE8">
      <w:pPr>
        <w:pStyle w:val="Heading4"/>
        <w:rPr>
          <w:color w:val="000000" w:themeColor="text1"/>
        </w:rPr>
      </w:pPr>
      <w:r w:rsidRPr="00921EE6">
        <w:rPr>
          <w:color w:val="000000" w:themeColor="text1"/>
        </w:rPr>
        <w:t>2] Reasonability collapses since we use offense defense to determine what’s reasonable</w:t>
      </w:r>
      <w:bookmarkEnd w:id="0"/>
    </w:p>
    <w:p w14:paraId="23F170CF" w14:textId="257A6F2A" w:rsidR="00E01980" w:rsidRDefault="00E01980" w:rsidP="00E01980">
      <w:pPr>
        <w:pStyle w:val="Heading2"/>
      </w:pPr>
      <w:r>
        <w:lastRenderedPageBreak/>
        <w:t>2</w:t>
      </w:r>
    </w:p>
    <w:p w14:paraId="650753B8" w14:textId="13542589" w:rsidR="00E01980" w:rsidRDefault="00955ADE" w:rsidP="00955ADE">
      <w:pPr>
        <w:pStyle w:val="Heading3"/>
      </w:pPr>
      <w:r>
        <w:lastRenderedPageBreak/>
        <w:t>1NC – T</w:t>
      </w:r>
    </w:p>
    <w:p w14:paraId="4C6F3D02" w14:textId="104219E7" w:rsidR="00955ADE" w:rsidRDefault="00955ADE" w:rsidP="00955ADE">
      <w:pPr>
        <w:pStyle w:val="Heading4"/>
      </w:pPr>
      <w:proofErr w:type="spellStart"/>
      <w:r>
        <w:t>Interp</w:t>
      </w:r>
      <w:proofErr w:type="spellEnd"/>
      <w:r>
        <w:t xml:space="preserve">: The </w:t>
      </w:r>
      <w:proofErr w:type="spellStart"/>
      <w:r>
        <w:t>aff</w:t>
      </w:r>
      <w:proofErr w:type="spellEnd"/>
      <w:r>
        <w:t xml:space="preserve"> must only defend reducing intellectual property protections for medicines.</w:t>
      </w:r>
    </w:p>
    <w:p w14:paraId="3A7EAD6A" w14:textId="77777777" w:rsidR="00955ADE" w:rsidRDefault="00955ADE" w:rsidP="00955ADE"/>
    <w:p w14:paraId="62844406" w14:textId="52E87288" w:rsidR="00955ADE" w:rsidRDefault="00955ADE" w:rsidP="00955ADE">
      <w:pPr>
        <w:pStyle w:val="Heading4"/>
      </w:pPr>
      <w:r>
        <w:t>Three types of IP specific to medicines</w:t>
      </w:r>
    </w:p>
    <w:p w14:paraId="07329345" w14:textId="77777777" w:rsidR="00955ADE" w:rsidRDefault="00955ADE" w:rsidP="00955ADE">
      <w:pPr>
        <w:widowControl w:val="0"/>
      </w:pPr>
      <w:r w:rsidRPr="00955ADE">
        <w:rPr>
          <w:rStyle w:val="Emphasis"/>
        </w:rPr>
        <w:t>Wilbur 19</w:t>
      </w:r>
      <w:r>
        <w:t xml:space="preserve"> [</w:t>
      </w:r>
      <w:hyperlink r:id="rId9">
        <w:r>
          <w:rPr>
            <w:color w:val="1155CC"/>
            <w:u w:val="single"/>
          </w:rPr>
          <w:t>Tom Wilbur</w:t>
        </w:r>
      </w:hyperlink>
      <w:r>
        <w:t xml:space="preserve">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Masters in Communications from </w:t>
      </w:r>
      <w:proofErr w:type="spellStart"/>
      <w:r>
        <w:t>Mich</w:t>
      </w:r>
      <w:proofErr w:type="spellEnd"/>
      <w:r>
        <w:t xml:space="preserve"> State U.] “IP Explained: </w:t>
      </w:r>
      <w:r w:rsidRPr="00F058BC">
        <w:rPr>
          <w:highlight w:val="green"/>
          <w:u w:val="single"/>
        </w:rPr>
        <w:t>Three forms of IP protections for medicines</w:t>
      </w:r>
      <w:r>
        <w:t>,” PhRMA, August 27, 2019,</w:t>
      </w:r>
      <w:hyperlink r:id="rId10">
        <w:r>
          <w:t xml:space="preserve"> </w:t>
        </w:r>
      </w:hyperlink>
      <w:hyperlink r:id="rId11">
        <w:r>
          <w:rPr>
            <w:color w:val="1155CC"/>
            <w:u w:val="single"/>
          </w:rPr>
          <w:t>https://catalyst.phrma.org/ip-explained-three-forms-of-ip-protections-for-medicines</w:t>
        </w:r>
      </w:hyperlink>
      <w:r>
        <w:t xml:space="preserve"> TG</w:t>
      </w:r>
    </w:p>
    <w:p w14:paraId="3A485F8F" w14:textId="77777777" w:rsidR="00955ADE" w:rsidRDefault="00955ADE" w:rsidP="00955ADE">
      <w:pPr>
        <w:widowControl w:val="0"/>
        <w:rPr>
          <w:b/>
          <w:sz w:val="26"/>
          <w:szCs w:val="26"/>
        </w:rPr>
      </w:pPr>
      <w:r>
        <w:rPr>
          <w:u w:val="single"/>
        </w:rPr>
        <w:t>Intellectual property (IP) protections for the biopharmaceutical sector</w:t>
      </w:r>
      <w:r>
        <w:rPr>
          <w:sz w:val="16"/>
          <w:szCs w:val="16"/>
        </w:rPr>
        <w:t xml:space="preserve"> provide incentives that help to promote the discovery and development of life-saving medicines for patients and foster a competitive market for generic and biosimilar medicines. </w:t>
      </w:r>
      <w:r>
        <w:rPr>
          <w:u w:val="single"/>
        </w:rPr>
        <w:t>There are three forms of IP protections critical to biopharmaceutical development</w:t>
      </w:r>
      <w:r>
        <w:rPr>
          <w:sz w:val="16"/>
          <w:szCs w:val="16"/>
        </w:rPr>
        <w:t xml:space="preserve">, and although they work together in a complementary fashion, </w:t>
      </w:r>
      <w:r>
        <w:rPr>
          <w:u w:val="single"/>
        </w:rPr>
        <w:t>each is distinct</w:t>
      </w:r>
      <w:r>
        <w:rPr>
          <w:sz w:val="16"/>
          <w:szCs w:val="16"/>
        </w:rPr>
        <w:t xml:space="preserve"> and governed by different statutory provisions. In today’s IP Explained, we unpack the differences between each protection and consider how they work together to balance innovation and competition.  </w:t>
      </w:r>
      <w:r w:rsidRPr="00F058BC">
        <w:rPr>
          <w:highlight w:val="green"/>
          <w:u w:val="single"/>
        </w:rPr>
        <w:t>Patents</w:t>
      </w:r>
      <w:r>
        <w:rPr>
          <w:u w:val="single"/>
        </w:rPr>
        <w:t xml:space="preserve"> are unique</w:t>
      </w:r>
      <w:r>
        <w:rPr>
          <w:sz w:val="16"/>
          <w:szCs w:val="16"/>
        </w:rPr>
        <w:t xml:space="preserve"> in that they are property rights granted by the United States Patent and Trademark Office and can be issued or expire independent of a drug’s regulatory approval status. Patents provide inventors in all industries the exclusive right to sell an invention for a set </w:t>
      </w:r>
      <w:proofErr w:type="gramStart"/>
      <w:r>
        <w:rPr>
          <w:sz w:val="16"/>
          <w:szCs w:val="16"/>
        </w:rPr>
        <w:t>period of time</w:t>
      </w:r>
      <w:proofErr w:type="gramEnd"/>
      <w:r>
        <w:rPr>
          <w:sz w:val="16"/>
          <w:szCs w:val="16"/>
        </w:rPr>
        <w:t xml:space="preserve"> before others may copy and sell it. They both foster invention and promote competition by requiring detailed public disclosure of a new technology. However, patents alone do not grant authorization to market new drugs; manufacturers must still seek Food and Drug Administration (FDA) approval to bring a new drug to market. Although patents are important to all technology-intensive industries, </w:t>
      </w:r>
      <w:hyperlink r:id="rId12">
        <w:r>
          <w:rPr>
            <w:color w:val="1155CC"/>
            <w:u w:val="single"/>
          </w:rPr>
          <w:t>they are particularly vital to the biopharmaceutical industry</w:t>
        </w:r>
      </w:hyperlink>
      <w:r>
        <w:rPr>
          <w:sz w:val="16"/>
          <w:szCs w:val="16"/>
        </w:rPr>
        <w:t xml:space="preserve">, given the lengthy, costly and highly uncertain research and development (R&amp;D) process that leads to new and improved medicines. While patents may prevent a competitor from bringing an exact duplicate of a medicine to market, they do not act as an absolute bar against bringing similar, non-infringing, products to market. And once the patent has expired, the invention can be freely used by anyone. </w:t>
      </w:r>
      <w:r w:rsidRPr="00F058BC">
        <w:rPr>
          <w:highlight w:val="green"/>
          <w:u w:val="single"/>
        </w:rPr>
        <w:t>Data exclusivity</w:t>
      </w:r>
      <w:r>
        <w:rPr>
          <w:sz w:val="16"/>
          <w:szCs w:val="16"/>
        </w:rPr>
        <w:t xml:space="preserve">, also referred to as data protection, </w:t>
      </w:r>
      <w:r>
        <w:rPr>
          <w:u w:val="single"/>
        </w:rPr>
        <w:t>prohibits third parties, for a limited time, from using or relying upon an innovator’s valuable clinical data to obtain FDA approval for their product</w:t>
      </w:r>
      <w:r>
        <w:rPr>
          <w:sz w:val="16"/>
          <w:szCs w:val="16"/>
        </w:rPr>
        <w:t xml:space="preserve">. Data protection does not prevent third parties from conducting their own R&amp;D and clinical trials to seek and obtain regulatory approval for a competing product. In this way, it operates very differently than a “market exclusivity,” which is described below. </w:t>
      </w:r>
      <w:r w:rsidRPr="00F058BC">
        <w:rPr>
          <w:highlight w:val="green"/>
          <w:u w:val="single"/>
        </w:rPr>
        <w:t>Market exclusivity</w:t>
      </w:r>
      <w:r>
        <w:rPr>
          <w:u w:val="single"/>
        </w:rPr>
        <w:t xml:space="preserve"> is often confused with data exclusivity but they’re actually very different</w:t>
      </w:r>
      <w:r>
        <w:rPr>
          <w:sz w:val="16"/>
          <w:szCs w:val="16"/>
        </w:rPr>
        <w:t xml:space="preserve">. Market exclusivity prohibits a third party from obtaining FDA approval for a particular pharmaceutical product and entering the market, for a set </w:t>
      </w:r>
      <w:proofErr w:type="gramStart"/>
      <w:r>
        <w:rPr>
          <w:sz w:val="16"/>
          <w:szCs w:val="16"/>
        </w:rPr>
        <w:t>period of time</w:t>
      </w:r>
      <w:proofErr w:type="gramEnd"/>
      <w:r>
        <w:rPr>
          <w:sz w:val="16"/>
          <w:szCs w:val="16"/>
        </w:rPr>
        <w:t xml:space="preserve">, even with its own data. This form of IP protection is intended to encourage investment in R&amp;D when market-based incentives are insufficient such as with </w:t>
      </w:r>
      <w:hyperlink r:id="rId13">
        <w:r>
          <w:rPr>
            <w:color w:val="1155CC"/>
            <w:u w:val="single"/>
          </w:rPr>
          <w:t>orphan drugs</w:t>
        </w:r>
      </w:hyperlink>
      <w:r>
        <w:rPr>
          <w:sz w:val="16"/>
          <w:szCs w:val="16"/>
        </w:rPr>
        <w:t xml:space="preserve">. The Orphan Drug Act (ODA) incentivizes the development of new medicines to treat diseases affecting small patient populations, often referred to as rare diseases. Specifically, the ODA blocks third parties from obtaining approval of a product that is the same as an orphan drug, for the same use, for seven years. </w:t>
      </w:r>
    </w:p>
    <w:p w14:paraId="0586D236" w14:textId="0B54B120" w:rsidR="00955ADE" w:rsidRDefault="00955ADE" w:rsidP="00955ADE">
      <w:pPr>
        <w:widowControl w:val="0"/>
        <w:rPr>
          <w:b/>
          <w:sz w:val="26"/>
          <w:szCs w:val="26"/>
        </w:rPr>
      </w:pPr>
    </w:p>
    <w:p w14:paraId="4B1BBE50" w14:textId="403125CA" w:rsidR="00527443" w:rsidRDefault="00527443" w:rsidP="00527443">
      <w:pPr>
        <w:pStyle w:val="Heading4"/>
      </w:pPr>
      <w:r>
        <w:t>Violation:</w:t>
      </w:r>
    </w:p>
    <w:p w14:paraId="203B0C41" w14:textId="777AEC45" w:rsidR="00955ADE" w:rsidRDefault="00955ADE" w:rsidP="00955ADE">
      <w:pPr>
        <w:pStyle w:val="Heading4"/>
      </w:pPr>
      <w:r>
        <w:t xml:space="preserve">Trade secrets are not </w:t>
      </w:r>
      <w:r w:rsidR="00633B22">
        <w:t>IPP</w:t>
      </w:r>
    </w:p>
    <w:p w14:paraId="1451DAA7" w14:textId="77777777" w:rsidR="00955ADE" w:rsidRPr="00955ADE" w:rsidRDefault="00955ADE" w:rsidP="00955ADE">
      <w:pPr>
        <w:widowControl w:val="0"/>
        <w:rPr>
          <w:sz w:val="16"/>
        </w:rPr>
      </w:pPr>
      <w:proofErr w:type="spellStart"/>
      <w:r w:rsidRPr="00955ADE">
        <w:rPr>
          <w:rStyle w:val="Emphasis"/>
        </w:rPr>
        <w:t>Gutfleisch</w:t>
      </w:r>
      <w:proofErr w:type="spellEnd"/>
      <w:r w:rsidRPr="00955ADE">
        <w:rPr>
          <w:rStyle w:val="Emphasis"/>
        </w:rPr>
        <w:t xml:space="preserve"> 18</w:t>
      </w:r>
      <w:r w:rsidRPr="00955ADE">
        <w:rPr>
          <w:b/>
          <w:sz w:val="16"/>
          <w:szCs w:val="26"/>
        </w:rPr>
        <w:t xml:space="preserve"> </w:t>
      </w:r>
      <w:r w:rsidRPr="00955ADE">
        <w:rPr>
          <w:sz w:val="16"/>
        </w:rPr>
        <w:t xml:space="preserve">Georg </w:t>
      </w:r>
      <w:proofErr w:type="spellStart"/>
      <w:r w:rsidRPr="00955ADE">
        <w:rPr>
          <w:sz w:val="16"/>
        </w:rPr>
        <w:t>Gutfleisch</w:t>
      </w:r>
      <w:proofErr w:type="spellEnd"/>
      <w:r w:rsidRPr="00955ADE">
        <w:rPr>
          <w:sz w:val="16"/>
        </w:rPr>
        <w:t xml:space="preserve"> (attorney-at-law in the Corporate Transactions/M&amp;A Department. He advises national and international clients in all areas of corporate and company law, private equity transactions as well as national and international restructurings, </w:t>
      </w:r>
      <w:proofErr w:type="gramStart"/>
      <w:r w:rsidRPr="00955ADE">
        <w:rPr>
          <w:sz w:val="16"/>
        </w:rPr>
        <w:t>reorganizations</w:t>
      </w:r>
      <w:proofErr w:type="gramEnd"/>
      <w:r w:rsidRPr="00955ADE">
        <w:rPr>
          <w:sz w:val="16"/>
        </w:rPr>
        <w:t xml:space="preserve"> and M&amp;A transactions. He also has extensive expertise in the areas of intellectual property and IT law) "Employment issues under the European Trade Secrets Directive: Promising opportunity or burden for European companies." European Company Law Journal 15 (2018): 175-181</w:t>
      </w:r>
    </w:p>
    <w:p w14:paraId="233E059F" w14:textId="77777777" w:rsidR="00955ADE" w:rsidRDefault="00955ADE" w:rsidP="00955ADE">
      <w:pPr>
        <w:widowControl w:val="0"/>
      </w:pPr>
      <w:r>
        <w:rPr>
          <w:sz w:val="16"/>
          <w:szCs w:val="16"/>
        </w:rPr>
        <w:t xml:space="preserve">The protection of trade secrets can be considered as a prerequisite for the continuous growth and success of European companies as well as the general (technological) advancement and competitiveness of the European economy.7 Trade secrets can basically be described as </w:t>
      </w:r>
      <w:r>
        <w:rPr>
          <w:sz w:val="16"/>
          <w:szCs w:val="16"/>
        </w:rPr>
        <w:lastRenderedPageBreak/>
        <w:t xml:space="preserve">secret information that is of value for its owner because of its secrecy. </w:t>
      </w:r>
      <w:r w:rsidRPr="00F058BC">
        <w:rPr>
          <w:highlight w:val="green"/>
          <w:u w:val="single"/>
        </w:rPr>
        <w:t>Trade secrets must be differentiated from</w:t>
      </w:r>
      <w:r>
        <w:rPr>
          <w:u w:val="single"/>
        </w:rPr>
        <w:t xml:space="preserve"> other (registered) </w:t>
      </w:r>
      <w:r w:rsidRPr="00F058BC">
        <w:rPr>
          <w:highlight w:val="green"/>
          <w:u w:val="single"/>
        </w:rPr>
        <w:t>i</w:t>
      </w:r>
      <w:r>
        <w:rPr>
          <w:u w:val="single"/>
        </w:rPr>
        <w:t xml:space="preserve">ntellectual </w:t>
      </w:r>
      <w:r w:rsidRPr="00F058BC">
        <w:rPr>
          <w:highlight w:val="green"/>
          <w:u w:val="single"/>
        </w:rPr>
        <w:t>p</w:t>
      </w:r>
      <w:r>
        <w:rPr>
          <w:u w:val="single"/>
        </w:rPr>
        <w:t xml:space="preserve">roperty rights, such as patents, designs or trademarks. </w:t>
      </w:r>
      <w:r w:rsidRPr="00F058BC">
        <w:rPr>
          <w:highlight w:val="green"/>
          <w:u w:val="single"/>
        </w:rPr>
        <w:t>They are not publicly registered and do not grant the</w:t>
      </w:r>
      <w:r>
        <w:rPr>
          <w:u w:val="single"/>
        </w:rPr>
        <w:t xml:space="preserve"> trade secret </w:t>
      </w:r>
      <w:r w:rsidRPr="00F058BC">
        <w:rPr>
          <w:highlight w:val="green"/>
          <w:u w:val="single"/>
        </w:rPr>
        <w:t>owner an exclusive right against third parties</w:t>
      </w:r>
      <w:r>
        <w:rPr>
          <w:u w:val="single"/>
        </w:rPr>
        <w:t>.</w:t>
      </w:r>
      <w:r>
        <w:rPr>
          <w:sz w:val="16"/>
          <w:szCs w:val="16"/>
        </w:rPr>
        <w:t xml:space="preserve"> </w:t>
      </w:r>
      <w:r>
        <w:rPr>
          <w:u w:val="single"/>
        </w:rPr>
        <w:t xml:space="preserve">Most </w:t>
      </w:r>
      <w:r w:rsidRPr="00F058BC">
        <w:rPr>
          <w:highlight w:val="green"/>
          <w:u w:val="single"/>
        </w:rPr>
        <w:t>legal systems rank trade secret protection as part of unfair-competition law rather than i</w:t>
      </w:r>
      <w:r>
        <w:rPr>
          <w:u w:val="single"/>
        </w:rPr>
        <w:t xml:space="preserve">ntellectual </w:t>
      </w:r>
      <w:r w:rsidRPr="00F058BC">
        <w:rPr>
          <w:highlight w:val="green"/>
          <w:u w:val="single"/>
        </w:rPr>
        <w:t>p</w:t>
      </w:r>
      <w:r>
        <w:rPr>
          <w:u w:val="single"/>
        </w:rPr>
        <w:t>roperty law</w:t>
      </w:r>
      <w:r>
        <w:rPr>
          <w:sz w:val="16"/>
          <w:szCs w:val="16"/>
        </w:rPr>
        <w:t xml:space="preserve">.8 However, trade secrets are nevertheless related to intellectual property rights. </w:t>
      </w:r>
      <w:proofErr w:type="gramStart"/>
      <w:r>
        <w:rPr>
          <w:sz w:val="16"/>
          <w:szCs w:val="16"/>
        </w:rPr>
        <w:t>In particular, they</w:t>
      </w:r>
      <w:proofErr w:type="gramEnd"/>
      <w:r>
        <w:rPr>
          <w:sz w:val="16"/>
          <w:szCs w:val="16"/>
        </w:rPr>
        <w:t xml:space="preserve"> could be considered as a preliminary step or by-product to the intellectual property rights creation. </w:t>
      </w:r>
      <w:r>
        <w:rPr>
          <w:u w:val="single"/>
        </w:rPr>
        <w:t>Further, trade secrets could also be maintained as permanent alternative to (registered) intellectual property rights</w:t>
      </w:r>
      <w:r>
        <w:rPr>
          <w:sz w:val="16"/>
          <w:szCs w:val="16"/>
        </w:rPr>
        <w:t>. They do not involve costs for the application or subsequent prolongations with the competent authorities and do not impose risks of disclosure during such proceedings.9 Especially small- and medium-sized enterprises and start-ups in the research and engineering business often rely on the confidentiality of sensitive information as basis of their existence.1</w:t>
      </w:r>
    </w:p>
    <w:p w14:paraId="1D6A6D25" w14:textId="77777777" w:rsidR="00955ADE" w:rsidRDefault="00955ADE" w:rsidP="00955ADE">
      <w:pPr>
        <w:widowControl w:val="0"/>
      </w:pPr>
    </w:p>
    <w:p w14:paraId="16E9E9C1" w14:textId="77777777" w:rsidR="00955ADE" w:rsidRDefault="00955ADE" w:rsidP="00955ADE">
      <w:pPr>
        <w:pStyle w:val="Heading4"/>
      </w:pPr>
      <w:r>
        <w:t xml:space="preserve">The violation is obvious and the counter </w:t>
      </w:r>
      <w:proofErr w:type="spellStart"/>
      <w:r>
        <w:t>interp</w:t>
      </w:r>
      <w:proofErr w:type="spellEnd"/>
      <w:r>
        <w:t xml:space="preserve"> explodes limits to literally any small thing related to the medicine.</w:t>
      </w:r>
    </w:p>
    <w:p w14:paraId="26B94544" w14:textId="77777777" w:rsidR="00955ADE" w:rsidRPr="00955ADE" w:rsidRDefault="00955ADE" w:rsidP="00955ADE">
      <w:pPr>
        <w:widowControl w:val="0"/>
        <w:rPr>
          <w:sz w:val="16"/>
        </w:rPr>
      </w:pPr>
      <w:r w:rsidRPr="00955ADE">
        <w:rPr>
          <w:rStyle w:val="Emphasis"/>
        </w:rPr>
        <w:t>Farkas ND</w:t>
      </w:r>
      <w:r w:rsidRPr="00955ADE">
        <w:rPr>
          <w:sz w:val="16"/>
        </w:rPr>
        <w:t xml:space="preserve"> Brian Farkas [associate attorney at Goetz Fitzpatrick LLP in New York, focusing his practice on commercial litigation, </w:t>
      </w:r>
      <w:proofErr w:type="gramStart"/>
      <w:r w:rsidRPr="00955ADE">
        <w:rPr>
          <w:sz w:val="16"/>
        </w:rPr>
        <w:t>arbitration</w:t>
      </w:r>
      <w:proofErr w:type="gramEnd"/>
      <w:r w:rsidRPr="00955ADE">
        <w:rPr>
          <w:sz w:val="16"/>
        </w:rPr>
        <w:t xml:space="preserve"> and intellectual property. Brian earned his B.A. from Vassar College and J.D. from Cardozo School of </w:t>
      </w:r>
      <w:proofErr w:type="gramStart"/>
      <w:r w:rsidRPr="00955ADE">
        <w:rPr>
          <w:sz w:val="16"/>
        </w:rPr>
        <w:t>Law ]</w:t>
      </w:r>
      <w:proofErr w:type="gramEnd"/>
      <w:r w:rsidRPr="00955ADE">
        <w:rPr>
          <w:sz w:val="16"/>
        </w:rPr>
        <w:t xml:space="preserve"> “Trade Secret Basics FAQ” No Date https://www.nolo.com/legal-encyclopedia/trade-secret-basics-faq.html#1743223 SM</w:t>
      </w:r>
    </w:p>
    <w:p w14:paraId="2CA3055D" w14:textId="77777777" w:rsidR="00955ADE" w:rsidRDefault="00955ADE" w:rsidP="00955ADE">
      <w:pPr>
        <w:widowControl w:val="0"/>
      </w:pPr>
      <w:r>
        <w:rPr>
          <w:u w:val="single"/>
        </w:rPr>
        <w:t xml:space="preserve">What is a trade secret? </w:t>
      </w:r>
      <w:r>
        <w:rPr>
          <w:sz w:val="16"/>
          <w:szCs w:val="16"/>
        </w:rPr>
        <w:t xml:space="preserve">Trade secrets are a form of intellectual property. According to the law of most U.S. states, </w:t>
      </w:r>
      <w:r>
        <w:rPr>
          <w:u w:val="single"/>
        </w:rPr>
        <w:t xml:space="preserve">a </w:t>
      </w:r>
      <w:r w:rsidRPr="00F058BC">
        <w:rPr>
          <w:highlight w:val="green"/>
          <w:u w:val="single"/>
        </w:rPr>
        <w:t>trade secret</w:t>
      </w:r>
      <w:r>
        <w:rPr>
          <w:u w:val="single"/>
        </w:rPr>
        <w:t xml:space="preserve"> may </w:t>
      </w:r>
      <w:r w:rsidRPr="00F058BC">
        <w:rPr>
          <w:highlight w:val="green"/>
          <w:u w:val="single"/>
        </w:rPr>
        <w:t xml:space="preserve">consist of any formula, pattern, physical device, idea, </w:t>
      </w:r>
      <w:proofErr w:type="gramStart"/>
      <w:r w:rsidRPr="00F058BC">
        <w:rPr>
          <w:highlight w:val="green"/>
          <w:u w:val="single"/>
        </w:rPr>
        <w:t>process</w:t>
      </w:r>
      <w:proofErr w:type="gramEnd"/>
      <w:r w:rsidRPr="00F058BC">
        <w:rPr>
          <w:highlight w:val="green"/>
          <w:u w:val="single"/>
        </w:rPr>
        <w:t xml:space="preserve"> </w:t>
      </w:r>
      <w:r w:rsidRPr="00311E0B">
        <w:rPr>
          <w:u w:val="single"/>
        </w:rPr>
        <w:t xml:space="preserve">or compilation of information that both: </w:t>
      </w:r>
      <w:r w:rsidRPr="00311E0B">
        <w:rPr>
          <w:sz w:val="16"/>
          <w:szCs w:val="16"/>
        </w:rPr>
        <w:t xml:space="preserve">1. </w:t>
      </w:r>
      <w:r w:rsidRPr="00311E0B">
        <w:rPr>
          <w:sz w:val="16"/>
          <w:szCs w:val="16"/>
        </w:rPr>
        <w:tab/>
      </w:r>
      <w:r w:rsidRPr="00311E0B">
        <w:rPr>
          <w:u w:val="single"/>
        </w:rPr>
        <w:t>provides the owner of the information with</w:t>
      </w:r>
      <w:r>
        <w:rPr>
          <w:u w:val="single"/>
        </w:rPr>
        <w:t xml:space="preserve"> a competitive advantage in the marketplace, and </w:t>
      </w:r>
      <w:r>
        <w:rPr>
          <w:sz w:val="16"/>
          <w:szCs w:val="16"/>
        </w:rPr>
        <w:t xml:space="preserve">2. </w:t>
      </w:r>
      <w:r>
        <w:rPr>
          <w:sz w:val="16"/>
          <w:szCs w:val="16"/>
        </w:rPr>
        <w:tab/>
      </w:r>
      <w:r>
        <w:rPr>
          <w:u w:val="single"/>
        </w:rPr>
        <w:t>is treated in a way that can reasonably be expected to prevent the public or competitors from learning about it</w:t>
      </w:r>
      <w:r>
        <w:rPr>
          <w:sz w:val="16"/>
          <w:szCs w:val="16"/>
        </w:rPr>
        <w:t xml:space="preserve">, absent improper acquisition or theft. Some examples of potential trade secrets include: </w:t>
      </w:r>
      <w:r>
        <w:rPr>
          <w:u w:val="single"/>
        </w:rPr>
        <w:t xml:space="preserve">the formula for an energy drink survey methods used by professional political </w:t>
      </w:r>
      <w:proofErr w:type="gramStart"/>
      <w:r>
        <w:rPr>
          <w:u w:val="single"/>
        </w:rPr>
        <w:t>pollsters</w:t>
      </w:r>
      <w:proofErr w:type="gramEnd"/>
      <w:r>
        <w:rPr>
          <w:u w:val="single"/>
        </w:rPr>
        <w:t xml:space="preserve"> </w:t>
      </w:r>
      <w:r w:rsidRPr="00F058BC">
        <w:rPr>
          <w:highlight w:val="green"/>
          <w:u w:val="single"/>
        </w:rPr>
        <w:t>recipes</w:t>
      </w:r>
      <w:r>
        <w:rPr>
          <w:u w:val="single"/>
        </w:rPr>
        <w:t xml:space="preserve"> for cookies a new invention for which a patent application has not yet been filed </w:t>
      </w:r>
      <w:r w:rsidRPr="00F058BC">
        <w:rPr>
          <w:highlight w:val="green"/>
          <w:u w:val="single"/>
        </w:rPr>
        <w:t xml:space="preserve">marketing </w:t>
      </w:r>
      <w:r w:rsidRPr="008721FA">
        <w:rPr>
          <w:u w:val="single"/>
        </w:rPr>
        <w:t>strategies</w:t>
      </w:r>
      <w:r>
        <w:rPr>
          <w:u w:val="single"/>
        </w:rPr>
        <w:t xml:space="preserve"> manufacturing techniques</w:t>
      </w:r>
      <w:r>
        <w:rPr>
          <w:sz w:val="16"/>
          <w:szCs w:val="16"/>
        </w:rPr>
        <w:t xml:space="preserve">, and </w:t>
      </w:r>
      <w:r>
        <w:rPr>
          <w:u w:val="single"/>
        </w:rPr>
        <w:t xml:space="preserve">computer </w:t>
      </w:r>
      <w:r w:rsidRPr="00F058BC">
        <w:rPr>
          <w:highlight w:val="green"/>
          <w:u w:val="single"/>
        </w:rPr>
        <w:t>algorithms</w:t>
      </w:r>
      <w:r>
        <w:rPr>
          <w:u w:val="single"/>
        </w:rPr>
        <w:t xml:space="preserve">. </w:t>
      </w:r>
      <w:r>
        <w:rPr>
          <w:sz w:val="16"/>
          <w:szCs w:val="16"/>
        </w:rPr>
        <w:t xml:space="preserve">Unlike other forms of intellectual property, such as patents, copyrights, and trademarks, which generally require registration </w:t>
      </w:r>
      <w:proofErr w:type="gramStart"/>
      <w:r>
        <w:rPr>
          <w:sz w:val="16"/>
          <w:szCs w:val="16"/>
        </w:rPr>
        <w:t>in order to</w:t>
      </w:r>
      <w:proofErr w:type="gramEnd"/>
      <w:r>
        <w:rPr>
          <w:sz w:val="16"/>
          <w:szCs w:val="16"/>
        </w:rPr>
        <w:t xml:space="preserve"> be fully effective, trade secrets are essentially a "do-it-yourself" form of protection. You do not register with the government to secure your trade secret; you most simply keep the information under wraps. Trade secret protection lasts for as long as the secret is kept confidential without any statutory limitations period. However, once a trade secret is made available to the public, trade secret protection ends. What types of information can trade secrets protect? Copyright, patents, and trademarks are </w:t>
      </w:r>
      <w:proofErr w:type="gramStart"/>
      <w:r>
        <w:rPr>
          <w:sz w:val="16"/>
          <w:szCs w:val="16"/>
        </w:rPr>
        <w:t>fairly well-known</w:t>
      </w:r>
      <w:proofErr w:type="gramEnd"/>
      <w:r>
        <w:rPr>
          <w:sz w:val="16"/>
          <w:szCs w:val="16"/>
        </w:rPr>
        <w:t xml:space="preserve"> forms of intellectual property protection. But trade secrets are another extremely useful form of protection that often protects valuable technical or confidential information. Here's a sampling of what </w:t>
      </w:r>
      <w:r>
        <w:rPr>
          <w:u w:val="single"/>
        </w:rPr>
        <w:t>trade secrets can protect: Ideas</w:t>
      </w:r>
      <w:r>
        <w:rPr>
          <w:sz w:val="16"/>
          <w:szCs w:val="16"/>
        </w:rPr>
        <w:t xml:space="preserve"> that offer a business a competitive advantage, thereby enabling a company or individual to get a "head start" on the competition. This might include, for example, </w:t>
      </w:r>
      <w:r>
        <w:rPr>
          <w:u w:val="single"/>
        </w:rPr>
        <w:t xml:space="preserve">an idea for a new type of product or marketing approach. Competitors' knowledge that a product or service is under development </w:t>
      </w:r>
      <w:r>
        <w:rPr>
          <w:sz w:val="16"/>
          <w:szCs w:val="16"/>
        </w:rPr>
        <w:t xml:space="preserve">and its functional or technical attributes including, for example, the workings of a new software program. </w:t>
      </w:r>
      <w:r>
        <w:rPr>
          <w:u w:val="single"/>
        </w:rPr>
        <w:t xml:space="preserve">Valuable business information such as </w:t>
      </w:r>
      <w:r w:rsidRPr="00F4454E">
        <w:rPr>
          <w:u w:val="single"/>
        </w:rPr>
        <w:t xml:space="preserve">marketing </w:t>
      </w:r>
      <w:r w:rsidRPr="00F058BC">
        <w:rPr>
          <w:highlight w:val="green"/>
          <w:u w:val="single"/>
        </w:rPr>
        <w:t>plans</w:t>
      </w:r>
      <w:r>
        <w:rPr>
          <w:u w:val="single"/>
        </w:rPr>
        <w:t xml:space="preserve">, </w:t>
      </w:r>
      <w:r w:rsidRPr="00F058BC">
        <w:rPr>
          <w:highlight w:val="green"/>
          <w:u w:val="single"/>
        </w:rPr>
        <w:t>cost</w:t>
      </w:r>
      <w:r>
        <w:rPr>
          <w:u w:val="single"/>
        </w:rPr>
        <w:t xml:space="preserve"> and price </w:t>
      </w:r>
      <w:r w:rsidRPr="00F058BC">
        <w:rPr>
          <w:highlight w:val="green"/>
          <w:u w:val="single"/>
        </w:rPr>
        <w:t>info</w:t>
      </w:r>
      <w:r>
        <w:rPr>
          <w:u w:val="single"/>
        </w:rPr>
        <w:t xml:space="preserve">rmation, and </w:t>
      </w:r>
      <w:r w:rsidRPr="00F058BC">
        <w:rPr>
          <w:highlight w:val="green"/>
          <w:u w:val="single"/>
        </w:rPr>
        <w:t>customer lists</w:t>
      </w:r>
      <w:r>
        <w:rPr>
          <w:u w:val="single"/>
        </w:rPr>
        <w:t xml:space="preserve">. So-called "negative know-how," </w:t>
      </w:r>
      <w:r>
        <w:rPr>
          <w:sz w:val="16"/>
          <w:szCs w:val="16"/>
        </w:rPr>
        <w:t xml:space="preserve">meaning information learned </w:t>
      </w:r>
      <w:proofErr w:type="gramStart"/>
      <w:r>
        <w:rPr>
          <w:sz w:val="16"/>
          <w:szCs w:val="16"/>
        </w:rPr>
        <w:t>during the course of</w:t>
      </w:r>
      <w:proofErr w:type="gramEnd"/>
      <w:r>
        <w:rPr>
          <w:sz w:val="16"/>
          <w:szCs w:val="16"/>
        </w:rPr>
        <w:t xml:space="preserve"> research and development on what not to do or what does not work optimally. Often, this information is almost as valuable as the products or techniques that do work. </w:t>
      </w:r>
      <w:r w:rsidRPr="00F058BC">
        <w:rPr>
          <w:highlight w:val="green"/>
          <w:u w:val="single"/>
        </w:rPr>
        <w:t>Virtually any</w:t>
      </w:r>
      <w:r>
        <w:rPr>
          <w:u w:val="single"/>
        </w:rPr>
        <w:t xml:space="preserve"> other </w:t>
      </w:r>
      <w:r w:rsidRPr="00F058BC">
        <w:rPr>
          <w:highlight w:val="green"/>
          <w:u w:val="single"/>
        </w:rPr>
        <w:t>info</w:t>
      </w:r>
      <w:r w:rsidRPr="00955ADE">
        <w:rPr>
          <w:u w:val="single"/>
        </w:rPr>
        <w:t>rmation that</w:t>
      </w:r>
      <w:r>
        <w:rPr>
          <w:u w:val="single"/>
        </w:rPr>
        <w:t xml:space="preserve"> has some value and is </w:t>
      </w:r>
      <w:r w:rsidRPr="00F058BC">
        <w:rPr>
          <w:highlight w:val="green"/>
          <w:u w:val="single"/>
        </w:rPr>
        <w:t>not</w:t>
      </w:r>
      <w:r>
        <w:rPr>
          <w:u w:val="single"/>
        </w:rPr>
        <w:t xml:space="preserve"> generally </w:t>
      </w:r>
      <w:r w:rsidRPr="00F058BC">
        <w:rPr>
          <w:highlight w:val="green"/>
          <w:u w:val="single"/>
        </w:rPr>
        <w:t>known by competitors</w:t>
      </w:r>
      <w:r>
        <w:rPr>
          <w:sz w:val="16"/>
          <w:szCs w:val="16"/>
        </w:rPr>
        <w:t xml:space="preserve">. This might include, for example, a list of customers ranked by the profitability of their business. </w:t>
      </w:r>
    </w:p>
    <w:p w14:paraId="05119B74" w14:textId="77777777" w:rsidR="00955ADE" w:rsidRDefault="00955ADE" w:rsidP="00955ADE">
      <w:pPr>
        <w:widowControl w:val="0"/>
        <w:rPr>
          <w:b/>
          <w:sz w:val="26"/>
          <w:szCs w:val="26"/>
        </w:rPr>
      </w:pPr>
    </w:p>
    <w:p w14:paraId="1E30AD26" w14:textId="2C486629" w:rsidR="00955ADE" w:rsidRDefault="00955ADE" w:rsidP="00B3239F">
      <w:pPr>
        <w:pStyle w:val="Heading4"/>
      </w:pPr>
      <w:r>
        <w:lastRenderedPageBreak/>
        <w:t>Vote neg for limits</w:t>
      </w:r>
      <w:r>
        <w:t xml:space="preserve"> – explodes the topic to anything from random </w:t>
      </w:r>
      <w:r w:rsidR="001A1535">
        <w:t xml:space="preserve">recipes </w:t>
      </w:r>
      <w:r>
        <w:t>to trademark pictures and symbols to copyrights which destroys core generics like counterfeit</w:t>
      </w:r>
      <w:r w:rsidR="00C30BD2">
        <w:t>s and innovation</w:t>
      </w:r>
      <w:r>
        <w:t xml:space="preserve"> that obviously don’t link to </w:t>
      </w:r>
      <w:r w:rsidR="005F0DDB">
        <w:t xml:space="preserve">these </w:t>
      </w:r>
      <w:proofErr w:type="spellStart"/>
      <w:r w:rsidR="005F0DDB">
        <w:t>affs</w:t>
      </w:r>
      <w:proofErr w:type="spellEnd"/>
      <w:r>
        <w:t xml:space="preserve"> – a big case list with no unifying generics </w:t>
      </w:r>
      <w:proofErr w:type="gramStart"/>
      <w:r>
        <w:t>destroy</w:t>
      </w:r>
      <w:proofErr w:type="gramEnd"/>
      <w:r>
        <w:t xml:space="preserve"> neg prep – disincentivizes in depth topic research and leaves the neg behind and unfair research burdens</w:t>
      </w:r>
    </w:p>
    <w:p w14:paraId="1E1C254C" w14:textId="38CF86BD" w:rsidR="00245F7D" w:rsidRDefault="00245F7D" w:rsidP="00955ADE">
      <w:pPr>
        <w:widowControl w:val="0"/>
        <w:rPr>
          <w:b/>
          <w:sz w:val="26"/>
          <w:szCs w:val="26"/>
        </w:rPr>
      </w:pPr>
    </w:p>
    <w:p w14:paraId="0C70C7FF" w14:textId="16459D57" w:rsidR="00245F7D" w:rsidRDefault="00245F7D" w:rsidP="00B3239F">
      <w:pPr>
        <w:pStyle w:val="Heading4"/>
      </w:pPr>
      <w:proofErr w:type="gramStart"/>
      <w:r>
        <w:t>Cross</w:t>
      </w:r>
      <w:proofErr w:type="gramEnd"/>
      <w:r>
        <w:t xml:space="preserve"> apply the paradigm issues from the previous shell</w:t>
      </w:r>
    </w:p>
    <w:p w14:paraId="4F9968AD" w14:textId="182B273B" w:rsidR="00E964E0" w:rsidRDefault="00E964E0" w:rsidP="00E964E0">
      <w:pPr>
        <w:pStyle w:val="Heading2"/>
      </w:pPr>
      <w:r>
        <w:lastRenderedPageBreak/>
        <w:t>3</w:t>
      </w:r>
    </w:p>
    <w:p w14:paraId="4A8CC2DF" w14:textId="47E543FC" w:rsidR="00487976" w:rsidRDefault="00487976" w:rsidP="00487976">
      <w:pPr>
        <w:pStyle w:val="Heading3"/>
      </w:pPr>
      <w:r>
        <w:lastRenderedPageBreak/>
        <w:t>1NC – CP</w:t>
      </w:r>
    </w:p>
    <w:p w14:paraId="416E0851" w14:textId="55A4EAE7" w:rsidR="00430AB4" w:rsidRDefault="0024316C" w:rsidP="0024316C">
      <w:pPr>
        <w:pStyle w:val="Heading4"/>
      </w:pPr>
      <w:r>
        <w:t>Text: The member states of the EU should:</w:t>
      </w:r>
    </w:p>
    <w:p w14:paraId="47FA7600" w14:textId="2C403F07" w:rsidR="0024316C" w:rsidRDefault="0024316C" w:rsidP="0024316C">
      <w:pPr>
        <w:pStyle w:val="Heading4"/>
        <w:numPr>
          <w:ilvl w:val="0"/>
          <w:numId w:val="15"/>
        </w:numPr>
      </w:pPr>
      <w:r>
        <w:t>Provide financial rewards for medicine whistleblowers modeled after the US Dodd-Frank Act</w:t>
      </w:r>
    </w:p>
    <w:p w14:paraId="0AE4140E" w14:textId="18BDAF81" w:rsidR="00C379E6" w:rsidRDefault="00C379E6" w:rsidP="00C379E6">
      <w:pPr>
        <w:pStyle w:val="Heading4"/>
        <w:numPr>
          <w:ilvl w:val="0"/>
          <w:numId w:val="15"/>
        </w:numPr>
      </w:pPr>
      <w:r>
        <w:t>Harmonize trade secret law</w:t>
      </w:r>
      <w:r w:rsidR="0024316C">
        <w:t xml:space="preserve"> as per Brant and Lohse</w:t>
      </w:r>
    </w:p>
    <w:p w14:paraId="4002A2D5" w14:textId="77777777" w:rsidR="00863C75" w:rsidRPr="00863C75" w:rsidRDefault="00863C75" w:rsidP="00863C75"/>
    <w:p w14:paraId="0F21D34A" w14:textId="1F738304" w:rsidR="00DB0744" w:rsidRDefault="00DB0744" w:rsidP="00DB0744">
      <w:pPr>
        <w:pStyle w:val="Heading4"/>
      </w:pPr>
      <w:r>
        <w:t>First plank s</w:t>
      </w:r>
      <w:r>
        <w:t xml:space="preserve">olves </w:t>
      </w:r>
      <w:r w:rsidRPr="009B4097">
        <w:rPr>
          <w:u w:val="single"/>
        </w:rPr>
        <w:t>better</w:t>
      </w:r>
      <w:r>
        <w:rPr>
          <w:i/>
        </w:rPr>
        <w:t xml:space="preserve"> </w:t>
      </w:r>
      <w:r>
        <w:t xml:space="preserve">than the </w:t>
      </w:r>
      <w:proofErr w:type="spellStart"/>
      <w:r>
        <w:t>aff</w:t>
      </w:r>
      <w:proofErr w:type="spellEnd"/>
      <w:r>
        <w:t xml:space="preserve">, </w:t>
      </w:r>
      <w:r>
        <w:t>empirics</w:t>
      </w:r>
      <w:r>
        <w:t>. The problem isn’t disputes, but whistleblowers not coming forward</w:t>
      </w:r>
    </w:p>
    <w:p w14:paraId="00505A69" w14:textId="77777777" w:rsidR="00DB0744" w:rsidRPr="00DB0744" w:rsidRDefault="00DB0744" w:rsidP="00DB0744">
      <w:pPr>
        <w:rPr>
          <w:sz w:val="16"/>
        </w:rPr>
      </w:pPr>
      <w:r w:rsidRPr="00DB0744">
        <w:rPr>
          <w:rStyle w:val="Emphasis"/>
        </w:rPr>
        <w:t>Maslen 2018</w:t>
      </w:r>
      <w:r w:rsidRPr="00DB0744">
        <w:rPr>
          <w:sz w:val="16"/>
        </w:rPr>
        <w:t xml:space="preserve"> </w:t>
      </w:r>
      <w:r w:rsidRPr="00DB0744">
        <w:rPr>
          <w:sz w:val="16"/>
          <w:szCs w:val="18"/>
        </w:rPr>
        <w:t xml:space="preserve">(Caitlin, Research Associate at Transparency International. MA in Corruption and Governance from the University of Sussex.  “Whistleblower Reward Programs” (Anti-Corruption Helpdesk, Transparency International, </w:t>
      </w:r>
      <w:hyperlink r:id="rId14" w:history="1">
        <w:r w:rsidRPr="00DB0744">
          <w:rPr>
            <w:rStyle w:val="Hyperlink"/>
            <w:sz w:val="16"/>
            <w:szCs w:val="18"/>
          </w:rPr>
          <w:t>https://knowledgehub.transparency.org/assets/uploads/helpdesk/Whistleblower-Reward-Programmes-2018.pdf</w:t>
        </w:r>
      </w:hyperlink>
      <w:r w:rsidRPr="00DB0744">
        <w:rPr>
          <w:sz w:val="16"/>
          <w:szCs w:val="18"/>
        </w:rPr>
        <w:t xml:space="preserve"> 27 September 2018)DR 21</w:t>
      </w:r>
    </w:p>
    <w:p w14:paraId="25A920A6" w14:textId="77777777" w:rsidR="00DB0744" w:rsidRPr="00073A8B" w:rsidRDefault="00DB0744" w:rsidP="00DB0744">
      <w:pPr>
        <w:rPr>
          <w:b/>
          <w:bCs/>
          <w:u w:val="single"/>
        </w:rPr>
      </w:pPr>
      <w:r w:rsidRPr="00073A8B">
        <w:rPr>
          <w:b/>
          <w:bCs/>
          <w:u w:val="single"/>
        </w:rPr>
        <w:t xml:space="preserve">Increasing the quantity of disclosures </w:t>
      </w:r>
    </w:p>
    <w:p w14:paraId="6456441D" w14:textId="77777777" w:rsidR="00DB0744" w:rsidRPr="00073A8B" w:rsidRDefault="00DB0744" w:rsidP="00DB0744">
      <w:r w:rsidRPr="00FF7B6D">
        <w:rPr>
          <w:u w:val="single"/>
        </w:rPr>
        <w:t xml:space="preserve">Whilst </w:t>
      </w:r>
      <w:r w:rsidRPr="00F058BC">
        <w:rPr>
          <w:highlight w:val="green"/>
          <w:u w:val="single"/>
        </w:rPr>
        <w:t xml:space="preserve">protection </w:t>
      </w:r>
      <w:r w:rsidRPr="00FF7B6D">
        <w:rPr>
          <w:u w:val="single"/>
        </w:rPr>
        <w:t>schemes</w:t>
      </w:r>
      <w:r w:rsidRPr="00F058BC">
        <w:rPr>
          <w:highlight w:val="green"/>
          <w:u w:val="single"/>
        </w:rPr>
        <w:t xml:space="preserve"> may negate </w:t>
      </w:r>
      <w:r w:rsidRPr="00FF7B6D">
        <w:rPr>
          <w:u w:val="single"/>
        </w:rPr>
        <w:t xml:space="preserve">the severity of </w:t>
      </w:r>
      <w:r w:rsidRPr="00DC128C">
        <w:rPr>
          <w:u w:val="single"/>
        </w:rPr>
        <w:t xml:space="preserve">personal </w:t>
      </w:r>
      <w:r w:rsidRPr="00F058BC">
        <w:rPr>
          <w:highlight w:val="green"/>
          <w:u w:val="single"/>
        </w:rPr>
        <w:t>risks</w:t>
      </w:r>
      <w:r w:rsidRPr="00073A8B">
        <w:rPr>
          <w:u w:val="single"/>
        </w:rPr>
        <w:t xml:space="preserve"> caused by </w:t>
      </w:r>
      <w:r w:rsidRPr="00073A8B">
        <w:rPr>
          <w:rStyle w:val="Emphasis"/>
        </w:rPr>
        <w:t>whistleblowing</w:t>
      </w:r>
      <w:r w:rsidRPr="00073A8B">
        <w:t xml:space="preserve">, some </w:t>
      </w:r>
      <w:r w:rsidRPr="00073A8B">
        <w:rPr>
          <w:b/>
          <w:bCs/>
          <w:u w:val="single"/>
        </w:rPr>
        <w:t>research contends that</w:t>
      </w:r>
      <w:r w:rsidRPr="00073A8B">
        <w:t xml:space="preserve"> </w:t>
      </w:r>
      <w:r w:rsidRPr="00F058BC">
        <w:rPr>
          <w:rStyle w:val="Emphasis"/>
          <w:highlight w:val="green"/>
        </w:rPr>
        <w:t xml:space="preserve">reward </w:t>
      </w:r>
      <w:proofErr w:type="spellStart"/>
      <w:r w:rsidRPr="00F058BC">
        <w:rPr>
          <w:rStyle w:val="Emphasis"/>
          <w:highlight w:val="green"/>
        </w:rPr>
        <w:t>programmes</w:t>
      </w:r>
      <w:proofErr w:type="spellEnd"/>
      <w:r w:rsidRPr="00F058BC">
        <w:rPr>
          <w:rStyle w:val="Emphasis"/>
          <w:highlight w:val="green"/>
        </w:rPr>
        <w:t xml:space="preserve"> are </w:t>
      </w:r>
      <w:r w:rsidRPr="00FF7B6D">
        <w:rPr>
          <w:rStyle w:val="Emphasis"/>
        </w:rPr>
        <w:t>even</w:t>
      </w:r>
      <w:r w:rsidRPr="00F058BC">
        <w:rPr>
          <w:rStyle w:val="Emphasis"/>
          <w:highlight w:val="green"/>
        </w:rPr>
        <w:t xml:space="preserve"> more effective</w:t>
      </w:r>
      <w:r w:rsidRPr="00073A8B">
        <w:t xml:space="preserve"> at counter-balancing the possible dangers. </w:t>
      </w:r>
      <w:r w:rsidRPr="00C50589">
        <w:rPr>
          <w:rStyle w:val="Emphasis"/>
        </w:rPr>
        <w:t xml:space="preserve">Rewards </w:t>
      </w:r>
      <w:r w:rsidRPr="00FF7B6D">
        <w:rPr>
          <w:rStyle w:val="Emphasis"/>
        </w:rPr>
        <w:t>go further</w:t>
      </w:r>
      <w:r w:rsidRPr="00073A8B">
        <w:rPr>
          <w:u w:val="single"/>
        </w:rPr>
        <w:t xml:space="preserve"> than compensation for damages </w:t>
      </w:r>
      <w:r w:rsidRPr="00C50589">
        <w:rPr>
          <w:highlight w:val="green"/>
          <w:u w:val="single"/>
        </w:rPr>
        <w:t>and</w:t>
      </w:r>
      <w:r w:rsidRPr="00073A8B">
        <w:rPr>
          <w:u w:val="single"/>
        </w:rPr>
        <w:t xml:space="preserve"> instead </w:t>
      </w:r>
      <w:r w:rsidRPr="00F058BC">
        <w:rPr>
          <w:rStyle w:val="Emphasis"/>
          <w:highlight w:val="green"/>
        </w:rPr>
        <w:t>motivate whistleblowers</w:t>
      </w:r>
      <w:r w:rsidRPr="00073A8B">
        <w:rPr>
          <w:u w:val="single"/>
        </w:rPr>
        <w:t xml:space="preserve"> through awards of funds</w:t>
      </w:r>
      <w:r w:rsidRPr="00073A8B">
        <w:t xml:space="preserve">. Research into the </w:t>
      </w:r>
      <w:proofErr w:type="spellStart"/>
      <w:r w:rsidRPr="00073A8B">
        <w:t>behaviour</w:t>
      </w:r>
      <w:proofErr w:type="spellEnd"/>
      <w:r w:rsidRPr="00073A8B">
        <w:t xml:space="preserve"> of managers and employees induced by the U.S. bounty scheme, the Dodd-Frank Wall Street Reform and Consumer Protection Act of 2010 (Dodd-Frank Act), has demonstrated that </w:t>
      </w:r>
      <w:r w:rsidRPr="00073A8B">
        <w:rPr>
          <w:u w:val="single"/>
        </w:rPr>
        <w:t xml:space="preserve">employees will perform a </w:t>
      </w:r>
      <w:proofErr w:type="spellStart"/>
      <w:r w:rsidRPr="00073A8B">
        <w:rPr>
          <w:u w:val="single"/>
        </w:rPr>
        <w:t>costbenefit</w:t>
      </w:r>
      <w:proofErr w:type="spellEnd"/>
      <w:r w:rsidRPr="00073A8B">
        <w:rPr>
          <w:u w:val="single"/>
        </w:rPr>
        <w:t xml:space="preserve"> analysis when considering whistleblowin</w:t>
      </w:r>
      <w:r w:rsidRPr="00073A8B">
        <w:t xml:space="preserve">g (Franke, </w:t>
      </w:r>
      <w:proofErr w:type="gramStart"/>
      <w:r w:rsidRPr="00073A8B">
        <w:t>Moser</w:t>
      </w:r>
      <w:proofErr w:type="gramEnd"/>
      <w:r w:rsidRPr="00073A8B">
        <w:t xml:space="preserve"> and Simons 2016). </w:t>
      </w:r>
      <w:proofErr w:type="gramStart"/>
      <w:r w:rsidRPr="00073A8B">
        <w:rPr>
          <w:u w:val="single"/>
        </w:rPr>
        <w:t>In order for</w:t>
      </w:r>
      <w:proofErr w:type="gramEnd"/>
      <w:r w:rsidRPr="00073A8B">
        <w:rPr>
          <w:u w:val="single"/>
        </w:rPr>
        <w:t xml:space="preserve"> incentives to be effective, the rewards must be high enough to compensate for retaliation charges</w:t>
      </w:r>
      <w:r w:rsidRPr="00073A8B">
        <w:t xml:space="preserve"> (Franke, Moser and Simons 2016). The study concluded that </w:t>
      </w:r>
      <w:r w:rsidRPr="00073A8B">
        <w:rPr>
          <w:u w:val="single"/>
        </w:rPr>
        <w:t xml:space="preserve">if rewards </w:t>
      </w:r>
      <w:proofErr w:type="gramStart"/>
      <w:r w:rsidRPr="00073A8B">
        <w:rPr>
          <w:u w:val="single"/>
        </w:rPr>
        <w:t>outweigh</w:t>
      </w:r>
      <w:proofErr w:type="gramEnd"/>
      <w:r w:rsidRPr="00073A8B">
        <w:rPr>
          <w:u w:val="single"/>
        </w:rPr>
        <w:t xml:space="preserve"> the anticipated costs of retaliation </w:t>
      </w:r>
      <w:r w:rsidRPr="00F058BC">
        <w:rPr>
          <w:highlight w:val="green"/>
          <w:u w:val="single"/>
        </w:rPr>
        <w:t>they</w:t>
      </w:r>
      <w:r w:rsidRPr="00073A8B">
        <w:rPr>
          <w:u w:val="single"/>
        </w:rPr>
        <w:t xml:space="preserve"> would </w:t>
      </w:r>
      <w:r w:rsidRPr="00F058BC">
        <w:rPr>
          <w:highlight w:val="green"/>
          <w:u w:val="single"/>
        </w:rPr>
        <w:t xml:space="preserve">support </w:t>
      </w:r>
      <w:r w:rsidRPr="00F058BC">
        <w:rPr>
          <w:rStyle w:val="Emphasis"/>
          <w:highlight w:val="green"/>
        </w:rPr>
        <w:t>an increase in disclosures</w:t>
      </w:r>
      <w:r w:rsidRPr="00073A8B">
        <w:rPr>
          <w:u w:val="single"/>
        </w:rPr>
        <w:t xml:space="preserve"> </w:t>
      </w:r>
      <w:r w:rsidRPr="00073A8B">
        <w:t xml:space="preserve">(Franke, Moser, and Simons, 2016). </w:t>
      </w:r>
      <w:r w:rsidRPr="00FF7B6D">
        <w:rPr>
          <w:b/>
          <w:bCs/>
          <w:u w:val="single"/>
        </w:rPr>
        <w:t xml:space="preserve">In the </w:t>
      </w:r>
      <w:r w:rsidRPr="00F058BC">
        <w:rPr>
          <w:b/>
          <w:bCs/>
          <w:highlight w:val="green"/>
          <w:u w:val="single"/>
        </w:rPr>
        <w:t>U.S</w:t>
      </w:r>
      <w:r w:rsidRPr="00073A8B">
        <w:rPr>
          <w:u w:val="single"/>
        </w:rPr>
        <w:t xml:space="preserve">., increased </w:t>
      </w:r>
      <w:r w:rsidRPr="00F058BC">
        <w:rPr>
          <w:rStyle w:val="Emphasis"/>
          <w:highlight w:val="green"/>
        </w:rPr>
        <w:t>monetary incentives</w:t>
      </w:r>
      <w:r w:rsidRPr="00073A8B">
        <w:rPr>
          <w:u w:val="single"/>
        </w:rPr>
        <w:t xml:space="preserve"> have </w:t>
      </w:r>
      <w:r w:rsidRPr="00F058BC">
        <w:rPr>
          <w:rStyle w:val="Emphasis"/>
          <w:highlight w:val="green"/>
        </w:rPr>
        <w:t xml:space="preserve">led to an 'unprecedented' </w:t>
      </w:r>
      <w:r w:rsidRPr="00FF7B6D">
        <w:rPr>
          <w:rStyle w:val="Emphasis"/>
        </w:rPr>
        <w:t xml:space="preserve">number of </w:t>
      </w:r>
      <w:r w:rsidRPr="00F058BC">
        <w:rPr>
          <w:rStyle w:val="Emphasis"/>
          <w:highlight w:val="green"/>
        </w:rPr>
        <w:t>investigations</w:t>
      </w:r>
      <w:r w:rsidRPr="00F058BC">
        <w:rPr>
          <w:highlight w:val="green"/>
          <w:u w:val="single"/>
        </w:rPr>
        <w:t xml:space="preserve"> and</w:t>
      </w:r>
      <w:r w:rsidRPr="00073A8B">
        <w:rPr>
          <w:u w:val="single"/>
        </w:rPr>
        <w:t xml:space="preserve"> </w:t>
      </w:r>
      <w:r w:rsidRPr="00073A8B">
        <w:rPr>
          <w:rStyle w:val="Emphasis"/>
        </w:rPr>
        <w:t xml:space="preserve">greater </w:t>
      </w:r>
      <w:r w:rsidRPr="00F058BC">
        <w:rPr>
          <w:rStyle w:val="Emphasis"/>
          <w:highlight w:val="green"/>
        </w:rPr>
        <w:t>recoveries</w:t>
      </w:r>
      <w:r w:rsidRPr="00073A8B">
        <w:rPr>
          <w:u w:val="single"/>
        </w:rPr>
        <w:t xml:space="preserve"> </w:t>
      </w:r>
      <w:r w:rsidRPr="00073A8B">
        <w:t xml:space="preserve">(Kohn, 2014). Franke, </w:t>
      </w:r>
      <w:proofErr w:type="gramStart"/>
      <w:r w:rsidRPr="00073A8B">
        <w:t>Moser</w:t>
      </w:r>
      <w:proofErr w:type="gramEnd"/>
      <w:r w:rsidRPr="00073A8B">
        <w:t xml:space="preserve"> and Simons’ (2016) model does, however, suggest that as rewards increase, so does the risk of false accusations. This is we return to below in the section on false reports. </w:t>
      </w:r>
    </w:p>
    <w:p w14:paraId="5C800385" w14:textId="77777777" w:rsidR="00DB0744" w:rsidRPr="007F66F9" w:rsidRDefault="00DB0744" w:rsidP="00DB0744">
      <w:pPr>
        <w:rPr>
          <w:sz w:val="12"/>
          <w:szCs w:val="12"/>
        </w:rPr>
      </w:pPr>
      <w:r w:rsidRPr="007F66F9">
        <w:rPr>
          <w:sz w:val="12"/>
          <w:szCs w:val="12"/>
        </w:rPr>
        <w:t>Public awareness</w:t>
      </w:r>
    </w:p>
    <w:p w14:paraId="3613F03D" w14:textId="77777777" w:rsidR="00DB0744" w:rsidRPr="007F66F9" w:rsidRDefault="00DB0744" w:rsidP="00DB0744">
      <w:r w:rsidRPr="00F8348C">
        <w:rPr>
          <w:u w:val="single"/>
        </w:rPr>
        <w:t xml:space="preserve">Whistleblower rewards are often given media coverage and may help to </w:t>
      </w:r>
      <w:r w:rsidRPr="00F8348C">
        <w:rPr>
          <w:b/>
          <w:bCs/>
          <w:u w:val="single"/>
        </w:rPr>
        <w:t>change wider attitudes</w:t>
      </w:r>
      <w:r w:rsidRPr="00F8348C">
        <w:rPr>
          <w:u w:val="single"/>
        </w:rPr>
        <w:t xml:space="preserve"> on the act of blowing the whistle. </w:t>
      </w:r>
      <w:r w:rsidRPr="00F8348C">
        <w:rPr>
          <w:b/>
          <w:bCs/>
          <w:u w:val="single"/>
        </w:rPr>
        <w:t>According to research</w:t>
      </w:r>
      <w:r w:rsidRPr="00F8348C">
        <w:rPr>
          <w:u w:val="single"/>
        </w:rPr>
        <w:t xml:space="preserve"> by UK-based law-firm RPC, the </w:t>
      </w:r>
      <w:r w:rsidRPr="00F8348C">
        <w:rPr>
          <w:rStyle w:val="Emphasis"/>
        </w:rPr>
        <w:t>number of whistleblowers</w:t>
      </w:r>
      <w:r w:rsidRPr="00F8348C">
        <w:rPr>
          <w:u w:val="single"/>
        </w:rPr>
        <w:t xml:space="preserve"> working in financial and professional services </w:t>
      </w:r>
      <w:r w:rsidRPr="00F8348C">
        <w:rPr>
          <w:b/>
          <w:bCs/>
          <w:u w:val="single"/>
        </w:rPr>
        <w:t>rose primarily</w:t>
      </w:r>
      <w:r w:rsidRPr="00F8348C">
        <w:rPr>
          <w:u w:val="single"/>
        </w:rPr>
        <w:t xml:space="preserve"> </w:t>
      </w:r>
      <w:proofErr w:type="gramStart"/>
      <w:r w:rsidRPr="00F8348C">
        <w:rPr>
          <w:u w:val="single"/>
        </w:rPr>
        <w:t>as a result of</w:t>
      </w:r>
      <w:proofErr w:type="gramEnd"/>
      <w:r w:rsidRPr="00F8348C">
        <w:rPr>
          <w:u w:val="single"/>
        </w:rPr>
        <w:t xml:space="preserve"> greater public</w:t>
      </w:r>
      <w:r w:rsidRPr="00C50589">
        <w:rPr>
          <w:u w:val="single"/>
        </w:rPr>
        <w:t xml:space="preserve"> awareness of the option of whistleblowing</w:t>
      </w:r>
      <w:r w:rsidRPr="00C50589">
        <w:t xml:space="preserve"> (Craggs 2015). </w:t>
      </w:r>
      <w:r w:rsidRPr="00C50589">
        <w:rPr>
          <w:u w:val="single"/>
        </w:rPr>
        <w:t xml:space="preserve">Rewards may then </w:t>
      </w:r>
      <w:r w:rsidRPr="00C50589">
        <w:rPr>
          <w:rStyle w:val="Emphasis"/>
        </w:rPr>
        <w:t>have a two-fold effect on the number of disclosures</w:t>
      </w:r>
      <w:r w:rsidRPr="00C50589">
        <w:t>. Firstly, they garner public attention, which then leads to an increase in</w:t>
      </w:r>
      <w:r w:rsidRPr="007F66F9">
        <w:t xml:space="preserve"> the number of whistleblowers coming forward. </w:t>
      </w:r>
    </w:p>
    <w:p w14:paraId="35F435B8" w14:textId="77777777" w:rsidR="00DB0744" w:rsidRPr="007F66F9" w:rsidRDefault="00DB0744" w:rsidP="00DB0744">
      <w:r w:rsidRPr="007F66F9">
        <w:t xml:space="preserve">Secondly, some claim that </w:t>
      </w:r>
      <w:r w:rsidRPr="007F66F9">
        <w:rPr>
          <w:u w:val="single"/>
        </w:rPr>
        <w:t xml:space="preserve">rewards work towards ending the </w:t>
      </w:r>
      <w:proofErr w:type="spellStart"/>
      <w:r w:rsidRPr="007F66F9">
        <w:rPr>
          <w:u w:val="single"/>
        </w:rPr>
        <w:t>stigmatisation</w:t>
      </w:r>
      <w:proofErr w:type="spellEnd"/>
      <w:r w:rsidRPr="007F66F9">
        <w:rPr>
          <w:u w:val="single"/>
        </w:rPr>
        <w:t xml:space="preserve"> of whistleblowers</w:t>
      </w:r>
      <w:r w:rsidRPr="007F66F9">
        <w:t xml:space="preserve">. </w:t>
      </w:r>
      <w:r w:rsidRPr="007F66F9">
        <w:rPr>
          <w:u w:val="single"/>
        </w:rPr>
        <w:t xml:space="preserve">One law firm that works with whistleblowers has </w:t>
      </w:r>
      <w:r w:rsidRPr="00C50589">
        <w:rPr>
          <w:u w:val="single"/>
        </w:rPr>
        <w:t xml:space="preserve">praised </w:t>
      </w:r>
      <w:r w:rsidRPr="00C50589">
        <w:rPr>
          <w:b/>
          <w:bCs/>
          <w:u w:val="single"/>
        </w:rPr>
        <w:t>the U.S. bounty scheme</w:t>
      </w:r>
      <w:r w:rsidRPr="00C50589">
        <w:rPr>
          <w:u w:val="single"/>
        </w:rPr>
        <w:t xml:space="preserve">, the </w:t>
      </w:r>
      <w:r w:rsidRPr="00F8348C">
        <w:rPr>
          <w:highlight w:val="green"/>
          <w:u w:val="single"/>
        </w:rPr>
        <w:t>Dodd-Frank Act</w:t>
      </w:r>
      <w:r w:rsidRPr="00C50589">
        <w:rPr>
          <w:u w:val="single"/>
        </w:rPr>
        <w:t xml:space="preserve">, stating that it both </w:t>
      </w:r>
      <w:proofErr w:type="spellStart"/>
      <w:r w:rsidRPr="00F8348C">
        <w:rPr>
          <w:highlight w:val="green"/>
          <w:u w:val="single"/>
        </w:rPr>
        <w:t>incentivises</w:t>
      </w:r>
      <w:proofErr w:type="spellEnd"/>
      <w:r w:rsidRPr="00F8348C">
        <w:rPr>
          <w:highlight w:val="green"/>
          <w:u w:val="single"/>
        </w:rPr>
        <w:t xml:space="preserve"> people to speak up</w:t>
      </w:r>
      <w:r w:rsidRPr="00C50589">
        <w:rPr>
          <w:u w:val="single"/>
        </w:rPr>
        <w:t xml:space="preserve"> </w:t>
      </w:r>
      <w:r w:rsidRPr="00F8348C">
        <w:rPr>
          <w:highlight w:val="green"/>
          <w:u w:val="single"/>
        </w:rPr>
        <w:t>and</w:t>
      </w:r>
      <w:r w:rsidRPr="00C50589">
        <w:rPr>
          <w:u w:val="single"/>
        </w:rPr>
        <w:t xml:space="preserve"> helps to </w:t>
      </w:r>
      <w:r w:rsidRPr="00F8348C">
        <w:rPr>
          <w:highlight w:val="green"/>
          <w:u w:val="single"/>
        </w:rPr>
        <w:t>change</w:t>
      </w:r>
      <w:r w:rsidRPr="00C50589">
        <w:rPr>
          <w:u w:val="single"/>
        </w:rPr>
        <w:t xml:space="preserve"> the traditional </w:t>
      </w:r>
      <w:r w:rsidRPr="00F8348C">
        <w:rPr>
          <w:highlight w:val="green"/>
          <w:u w:val="single"/>
        </w:rPr>
        <w:t>stigmas</w:t>
      </w:r>
      <w:r w:rsidRPr="00C50589">
        <w:rPr>
          <w:u w:val="single"/>
        </w:rPr>
        <w:t xml:space="preserve"> of whistleblowing </w:t>
      </w:r>
      <w:r w:rsidRPr="00C50589">
        <w:t>(</w:t>
      </w:r>
      <w:proofErr w:type="spellStart"/>
      <w:r w:rsidRPr="00C50589">
        <w:t>Kasperkevic</w:t>
      </w:r>
      <w:proofErr w:type="spellEnd"/>
      <w:r w:rsidRPr="00C50589">
        <w:t xml:space="preserve"> 2015). They argue that</w:t>
      </w:r>
      <w:r w:rsidRPr="007F66F9">
        <w:t xml:space="preserve"> as the government takes greater control over whistleblower protection and reward </w:t>
      </w:r>
      <w:proofErr w:type="spellStart"/>
      <w:r w:rsidRPr="007F66F9">
        <w:lastRenderedPageBreak/>
        <w:t>programmes</w:t>
      </w:r>
      <w:proofErr w:type="spellEnd"/>
      <w:r w:rsidRPr="007F66F9">
        <w:t>, this leads to public awareness of the importance of reporting wrongdoing and thus encourages more people to come forward (</w:t>
      </w:r>
      <w:proofErr w:type="spellStart"/>
      <w:r w:rsidRPr="007F66F9">
        <w:t>Kasperkevic</w:t>
      </w:r>
      <w:proofErr w:type="spellEnd"/>
      <w:r w:rsidRPr="007F66F9">
        <w:t xml:space="preserve"> 2015). </w:t>
      </w:r>
    </w:p>
    <w:p w14:paraId="0A29BA39" w14:textId="77777777" w:rsidR="001060DD" w:rsidRDefault="001060DD" w:rsidP="001060DD">
      <w:pPr>
        <w:pStyle w:val="Heading4"/>
      </w:pPr>
      <w:r>
        <w:t xml:space="preserve">Second plank solves unification – EU protections just </w:t>
      </w:r>
      <w:proofErr w:type="gramStart"/>
      <w:r>
        <w:t>have to</w:t>
      </w:r>
      <w:proofErr w:type="gramEnd"/>
      <w:r>
        <w:t xml:space="preserve"> be consistent, not high or low</w:t>
      </w:r>
    </w:p>
    <w:p w14:paraId="7DD9E575" w14:textId="77777777" w:rsidR="001060DD" w:rsidRDefault="001060DD" w:rsidP="001060DD">
      <w:pPr>
        <w:widowControl w:val="0"/>
      </w:pPr>
      <w:r>
        <w:rPr>
          <w:b/>
          <w:sz w:val="26"/>
          <w:szCs w:val="26"/>
        </w:rPr>
        <w:t>Brant and Lohse 14</w:t>
      </w:r>
      <w:r>
        <w:t xml:space="preserve"> (Jennifer Brant and Sebastian Lohse, [], 2014, ““, No Publication, accessed: 9-18-2021, https://iccwbo.org/content/uploads/sites/3/2017/02/ICC-Research-Trade-Secrets-english.pdf) </w:t>
      </w:r>
      <w:proofErr w:type="spellStart"/>
      <w:r>
        <w:t>ajs</w:t>
      </w:r>
      <w:proofErr w:type="spellEnd"/>
    </w:p>
    <w:p w14:paraId="2B44C805" w14:textId="77777777" w:rsidR="001060DD" w:rsidRDefault="001060DD" w:rsidP="001060DD">
      <w:pPr>
        <w:widowControl w:val="0"/>
        <w:rPr>
          <w:sz w:val="18"/>
          <w:szCs w:val="18"/>
        </w:rPr>
      </w:pPr>
      <w:r>
        <w:rPr>
          <w:sz w:val="12"/>
          <w:szCs w:val="12"/>
        </w:rPr>
        <w:t>In addition to its own actions</w:t>
      </w:r>
      <w:r>
        <w:rPr>
          <w:u w:val="single"/>
        </w:rPr>
        <w:t>, a firm’s ability to retain control over its confidential data</w:t>
      </w:r>
      <w:r>
        <w:rPr>
          <w:sz w:val="12"/>
          <w:szCs w:val="12"/>
        </w:rPr>
        <w:t xml:space="preserve">, and to recover without exposing itself to further risk, will </w:t>
      </w:r>
      <w:r>
        <w:rPr>
          <w:u w:val="single"/>
        </w:rPr>
        <w:t xml:space="preserve">depend in large part on the legal frameworks in relevant jurisdictions. </w:t>
      </w:r>
      <w:r>
        <w:rPr>
          <w:sz w:val="12"/>
          <w:szCs w:val="12"/>
        </w:rPr>
        <w:t xml:space="preserve">The fragmentation of trade secret protection frameworks creates major challenges, given the globalized nature of doing business and the prevalence of open innovation. </w:t>
      </w:r>
      <w:r w:rsidRPr="00F058BC">
        <w:rPr>
          <w:highlight w:val="green"/>
          <w:u w:val="single"/>
        </w:rPr>
        <w:t>Convergence of trade secret legislation across jurisdictions</w:t>
      </w:r>
      <w:r>
        <w:rPr>
          <w:u w:val="single"/>
        </w:rPr>
        <w:t xml:space="preserve"> could </w:t>
      </w:r>
      <w:r w:rsidRPr="00F058BC">
        <w:rPr>
          <w:highlight w:val="green"/>
          <w:u w:val="single"/>
        </w:rPr>
        <w:t xml:space="preserve">provide </w:t>
      </w:r>
      <w:r>
        <w:rPr>
          <w:u w:val="single"/>
        </w:rPr>
        <w:t>legal</w:t>
      </w:r>
      <w:r w:rsidRPr="00F058BC">
        <w:rPr>
          <w:highlight w:val="green"/>
          <w:u w:val="single"/>
        </w:rPr>
        <w:t xml:space="preserve"> certainty </w:t>
      </w:r>
      <w:r>
        <w:rPr>
          <w:u w:val="single"/>
        </w:rPr>
        <w:t xml:space="preserve">and enable owners of trade secrets to </w:t>
      </w:r>
      <w:proofErr w:type="gramStart"/>
      <w:r>
        <w:rPr>
          <w:u w:val="single"/>
        </w:rPr>
        <w:t>more effectively address misappropriation</w:t>
      </w:r>
      <w:proofErr w:type="gramEnd"/>
      <w:r>
        <w:rPr>
          <w:sz w:val="12"/>
          <w:szCs w:val="12"/>
        </w:rPr>
        <w:t xml:space="preserve">, wherever initiated. This in turn </w:t>
      </w:r>
      <w:r>
        <w:rPr>
          <w:u w:val="single"/>
        </w:rPr>
        <w:t>could enhance knowledge flows and cross-border investments in R&amp;D</w:t>
      </w:r>
      <w:r>
        <w:rPr>
          <w:sz w:val="12"/>
          <w:szCs w:val="12"/>
        </w:rPr>
        <w:t xml:space="preserve">. Policymakers should address trade secrets systematically in free trade agreements, such as the Trans-Pacific Partnership Agreement and the Trans-Atlantic Trade and Investment Partnership Agreement. </w:t>
      </w:r>
      <w:proofErr w:type="gramStart"/>
      <w:r>
        <w:rPr>
          <w:sz w:val="12"/>
          <w:szCs w:val="12"/>
        </w:rPr>
        <w:t>In particular,</w:t>
      </w:r>
      <w:r>
        <w:rPr>
          <w:u w:val="single"/>
        </w:rPr>
        <w:t xml:space="preserve"> policymakers</w:t>
      </w:r>
      <w:proofErr w:type="gramEnd"/>
      <w:r>
        <w:rPr>
          <w:u w:val="single"/>
        </w:rPr>
        <w:t xml:space="preserve"> should work to </w:t>
      </w:r>
      <w:r w:rsidRPr="00F058BC">
        <w:rPr>
          <w:highlight w:val="green"/>
          <w:u w:val="single"/>
        </w:rPr>
        <w:t>establish common rules to address cross-border misappropriation cases</w:t>
      </w:r>
      <w:r>
        <w:rPr>
          <w:u w:val="single"/>
        </w:rPr>
        <w:t xml:space="preserve">. </w:t>
      </w:r>
      <w:r>
        <w:rPr>
          <w:sz w:val="12"/>
          <w:szCs w:val="12"/>
        </w:rPr>
        <w:t xml:space="preserve">Action at the domestic level will be an important complement to such international efforts. Policymakers should enact clear provisions on trade secret protection, whether in a stand-alone law or as part of legislation providing for the protection of other types of IPRs. </w:t>
      </w:r>
      <w:r>
        <w:rPr>
          <w:u w:val="single"/>
        </w:rPr>
        <w:t xml:space="preserve">Trade secret laws should </w:t>
      </w:r>
      <w:r w:rsidRPr="00F058BC">
        <w:rPr>
          <w:highlight w:val="green"/>
          <w:u w:val="single"/>
        </w:rPr>
        <w:t>include a clear definition of trade secrets</w:t>
      </w:r>
      <w:r>
        <w:rPr>
          <w:u w:val="single"/>
        </w:rPr>
        <w:t xml:space="preserve"> based at least on Article 39.2 of the TRIPS Agreement. They should define and criminalize conduct amounting to a serious trade secret violation, including third party misappropriation, while providing for both individual and corporate liability. Trade secret protection frameworks</w:t>
      </w:r>
      <w:r>
        <w:rPr>
          <w:sz w:val="12"/>
          <w:szCs w:val="12"/>
        </w:rPr>
        <w:t xml:space="preserve"> </w:t>
      </w:r>
      <w:r>
        <w:rPr>
          <w:u w:val="single"/>
        </w:rPr>
        <w:t xml:space="preserve">should </w:t>
      </w:r>
      <w:r w:rsidRPr="00F058BC">
        <w:rPr>
          <w:highlight w:val="green"/>
          <w:u w:val="single"/>
        </w:rPr>
        <w:t>contain</w:t>
      </w:r>
      <w:r>
        <w:rPr>
          <w:u w:val="single"/>
        </w:rPr>
        <w:t xml:space="preserve"> a </w:t>
      </w:r>
      <w:r w:rsidRPr="00F058BC">
        <w:rPr>
          <w:highlight w:val="green"/>
          <w:u w:val="single"/>
        </w:rPr>
        <w:t>comprehensive</w:t>
      </w:r>
      <w:r>
        <w:rPr>
          <w:u w:val="single"/>
        </w:rPr>
        <w:t xml:space="preserve"> set of interim and final </w:t>
      </w:r>
      <w:r w:rsidRPr="00F058BC">
        <w:rPr>
          <w:highlight w:val="green"/>
          <w:u w:val="single"/>
        </w:rPr>
        <w:t>remedies</w:t>
      </w:r>
      <w:r>
        <w:rPr>
          <w:sz w:val="12"/>
          <w:szCs w:val="12"/>
        </w:rPr>
        <w:t xml:space="preserve">. They should include effective tools to preserve, facilitate, and secure the gathering of evidence, including disclosure orders and ex </w:t>
      </w:r>
      <w:proofErr w:type="spellStart"/>
      <w:r>
        <w:rPr>
          <w:sz w:val="12"/>
          <w:szCs w:val="12"/>
        </w:rPr>
        <w:t>parte</w:t>
      </w:r>
      <w:proofErr w:type="spellEnd"/>
      <w:r>
        <w:rPr>
          <w:sz w:val="12"/>
          <w:szCs w:val="12"/>
        </w:rPr>
        <w:t xml:space="preserve"> search orders for premises and IT systems.</w:t>
      </w:r>
      <w:r>
        <w:rPr>
          <w:u w:val="single"/>
        </w:rPr>
        <w:t xml:space="preserve"> Criminal and civil remedies, including damages, must be structured </w:t>
      </w:r>
      <w:proofErr w:type="gramStart"/>
      <w:r>
        <w:rPr>
          <w:u w:val="single"/>
        </w:rPr>
        <w:t>so as to</w:t>
      </w:r>
      <w:proofErr w:type="gramEnd"/>
      <w:r>
        <w:rPr>
          <w:u w:val="single"/>
        </w:rPr>
        <w:t xml:space="preserve"> constitute a deterrent to trade secret misappropriation. Policymakers should also ensure confidentiality of trade secrets during legal and administrative proceedings, </w:t>
      </w:r>
      <w:r>
        <w:rPr>
          <w:sz w:val="12"/>
          <w:szCs w:val="12"/>
        </w:rPr>
        <w:t xml:space="preserve">so that recovery does not lead to further disclosure and losses for the trade secret owner. Finally, trade secret and related laws should </w:t>
      </w:r>
      <w:r>
        <w:rPr>
          <w:u w:val="single"/>
        </w:rPr>
        <w:t xml:space="preserve">adopt a balanced approach to employee mobility, providing for the protection of confidential information without unduly restricting individuals’ opportunities for professional development. Policymakers and industry groups may consider providing training for SMEs, to guide them in </w:t>
      </w:r>
      <w:r w:rsidRPr="00F058BC">
        <w:rPr>
          <w:highlight w:val="green"/>
          <w:u w:val="single"/>
        </w:rPr>
        <w:t>us</w:t>
      </w:r>
      <w:r>
        <w:rPr>
          <w:u w:val="single"/>
        </w:rPr>
        <w:t xml:space="preserve">ing </w:t>
      </w:r>
      <w:r w:rsidRPr="00F058BC">
        <w:rPr>
          <w:highlight w:val="green"/>
          <w:u w:val="single"/>
        </w:rPr>
        <w:t>trade secrets as</w:t>
      </w:r>
      <w:r>
        <w:rPr>
          <w:u w:val="single"/>
        </w:rPr>
        <w:t xml:space="preserve"> part of their intellectual asset </w:t>
      </w:r>
      <w:r w:rsidRPr="00F058BC">
        <w:rPr>
          <w:highlight w:val="green"/>
          <w:u w:val="single"/>
        </w:rPr>
        <w:t>management strategies</w:t>
      </w:r>
      <w:r>
        <w:rPr>
          <w:sz w:val="12"/>
          <w:szCs w:val="12"/>
        </w:rPr>
        <w:t xml:space="preserve">. Compared to larger firms, SMEs have relatively lower levels of experience with and fewer resources to dedicate to IP management. Innovative SMEs are likely to benefit from training on the appropriate actions they must take to protect confidential business information, </w:t>
      </w:r>
      <w:proofErr w:type="gramStart"/>
      <w:r>
        <w:rPr>
          <w:sz w:val="12"/>
          <w:szCs w:val="12"/>
        </w:rPr>
        <w:t>in order to</w:t>
      </w:r>
      <w:proofErr w:type="gramEnd"/>
      <w:r>
        <w:rPr>
          <w:sz w:val="12"/>
          <w:szCs w:val="12"/>
        </w:rPr>
        <w:t xml:space="preserve"> be able to enforce their rights before the courts in the event of misappropriation. They could also benefit from insights into how to institute effective processes for managing confidential information internally and vis-à-vis partners. </w:t>
      </w:r>
    </w:p>
    <w:p w14:paraId="539F8031" w14:textId="77777777" w:rsidR="00DB0744" w:rsidRDefault="00DB0744" w:rsidP="00DB0744">
      <w:pPr>
        <w:pStyle w:val="Heading4"/>
      </w:pPr>
      <w:r>
        <w:t xml:space="preserve">Trade secrets create incentive for collaboration and drive innovation through profit motives – that turns the </w:t>
      </w:r>
      <w:proofErr w:type="spellStart"/>
      <w:r>
        <w:t>aff</w:t>
      </w:r>
      <w:proofErr w:type="spellEnd"/>
      <w:r>
        <w:t xml:space="preserve"> because companies will increase secrecy.</w:t>
      </w:r>
    </w:p>
    <w:p w14:paraId="2905AD72" w14:textId="77777777" w:rsidR="00DB0744" w:rsidRPr="00F73248" w:rsidRDefault="00DB0744" w:rsidP="00DB0744">
      <w:r>
        <w:rPr>
          <w:rStyle w:val="Style13ptBold"/>
        </w:rPr>
        <w:t xml:space="preserve">ICC 14 </w:t>
      </w:r>
      <w:r>
        <w:t xml:space="preserve">“TRADE SECRETS: TOOLS FOR INNOVATION AND COLLABORATION” 2014 International Chamber of Commerce (ICC) </w:t>
      </w:r>
      <w:hyperlink r:id="rId15" w:history="1">
        <w:r w:rsidRPr="00604B89">
          <w:rPr>
            <w:rStyle w:val="Hyperlink"/>
          </w:rPr>
          <w:t>https://iccwbo.org/content/uploads/sites/3/2017/02/ICC-Research-Trade-Secrets-english.pdf</w:t>
        </w:r>
      </w:hyperlink>
      <w:r>
        <w:t xml:space="preserve"> SM</w:t>
      </w:r>
    </w:p>
    <w:p w14:paraId="59DBB97E" w14:textId="77777777" w:rsidR="00DB0744" w:rsidRDefault="00DB0744" w:rsidP="00DB0744">
      <w:r w:rsidRPr="00F058BC">
        <w:rPr>
          <w:rStyle w:val="StyleUnderline"/>
          <w:highlight w:val="green"/>
        </w:rPr>
        <w:t>Trade secrets</w:t>
      </w:r>
      <w:r w:rsidRPr="00F73248">
        <w:rPr>
          <w:rStyle w:val="StyleUnderline"/>
        </w:rPr>
        <w:t xml:space="preserve"> are often the “</w:t>
      </w:r>
      <w:r w:rsidRPr="00F058BC">
        <w:rPr>
          <w:rStyle w:val="StyleUnderline"/>
          <w:highlight w:val="green"/>
        </w:rPr>
        <w:t>crown jewels” of</w:t>
      </w:r>
      <w:r w:rsidRPr="00F73248">
        <w:rPr>
          <w:rStyle w:val="StyleUnderline"/>
        </w:rPr>
        <w:t xml:space="preserve"> a firm’s </w:t>
      </w:r>
      <w:r w:rsidRPr="00F058BC">
        <w:rPr>
          <w:rStyle w:val="StyleUnderline"/>
          <w:highlight w:val="green"/>
        </w:rPr>
        <w:t>intellectual capital</w:t>
      </w:r>
      <w:r w:rsidRPr="00F73248">
        <w:t>, developed over many years</w:t>
      </w:r>
      <w:r>
        <w:t xml:space="preserve"> through myriad interactions and projects (</w:t>
      </w:r>
      <w:proofErr w:type="spellStart"/>
      <w:r>
        <w:t>Jorda</w:t>
      </w:r>
      <w:proofErr w:type="spellEnd"/>
      <w:r>
        <w:t xml:space="preserve"> 2007</w:t>
      </w:r>
      <w:r w:rsidRPr="00F73248">
        <w:rPr>
          <w:rStyle w:val="StyleUnderline"/>
        </w:rPr>
        <w:t xml:space="preserve">). According to recent estimates, trade secrets encompass some </w:t>
      </w:r>
      <w:r w:rsidRPr="00F058BC">
        <w:rPr>
          <w:rStyle w:val="StyleUnderline"/>
          <w:highlight w:val="green"/>
        </w:rPr>
        <w:t>70 per cent of the value</w:t>
      </w:r>
      <w:r w:rsidRPr="00F73248">
        <w:rPr>
          <w:rStyle w:val="StyleUnderline"/>
        </w:rPr>
        <w:t xml:space="preserve"> of companies’ intellectual </w:t>
      </w:r>
      <w:r w:rsidRPr="00F73248">
        <w:rPr>
          <w:rStyle w:val="StyleUnderline"/>
        </w:rPr>
        <w:lastRenderedPageBreak/>
        <w:t>assets</w:t>
      </w:r>
      <w:r>
        <w:t xml:space="preserve"> (Bird &amp; Jain 2008; Forrester 2010; </w:t>
      </w:r>
      <w:proofErr w:type="spellStart"/>
      <w:r>
        <w:t>Schwarts</w:t>
      </w:r>
      <w:proofErr w:type="spellEnd"/>
      <w:r>
        <w:t xml:space="preserve"> &amp; Weil 2010). In one survey, </w:t>
      </w:r>
      <w:r w:rsidRPr="00F73248">
        <w:rPr>
          <w:rStyle w:val="StyleUnderline"/>
        </w:rPr>
        <w:t xml:space="preserve">respondents rated proprietary technology highly as a </w:t>
      </w:r>
      <w:r w:rsidRPr="00F058BC">
        <w:rPr>
          <w:rStyle w:val="StyleUnderline"/>
          <w:highlight w:val="green"/>
        </w:rPr>
        <w:t>key source of competitive advantage</w:t>
      </w:r>
      <w:r>
        <w:t>, and a large majority of respondents (88 per cent) cited skills and knowledge as the most important intellectual assets (IPOA 2003).</w:t>
      </w:r>
    </w:p>
    <w:p w14:paraId="5D67F0C3" w14:textId="77777777" w:rsidR="00DB0744" w:rsidRPr="00F73248" w:rsidRDefault="00DB0744" w:rsidP="00DB0744">
      <w:pPr>
        <w:rPr>
          <w:rStyle w:val="StyleUnderline"/>
        </w:rPr>
      </w:pPr>
      <w:r w:rsidRPr="00F73248">
        <w:rPr>
          <w:rStyle w:val="StyleUnderline"/>
        </w:rPr>
        <w:t xml:space="preserve">The economic rationale for trade secret protection is two-fold: </w:t>
      </w:r>
      <w:r w:rsidRPr="00116E65">
        <w:rPr>
          <w:rStyle w:val="StyleUnderline"/>
        </w:rPr>
        <w:t xml:space="preserve">first, it </w:t>
      </w:r>
      <w:r w:rsidRPr="00F058BC">
        <w:rPr>
          <w:rStyle w:val="StyleUnderline"/>
          <w:highlight w:val="green"/>
        </w:rPr>
        <w:t>enables firms to avoid overinvesting in secrecy</w:t>
      </w:r>
      <w:r w:rsidRPr="00F73248">
        <w:rPr>
          <w:rStyle w:val="StyleUnderline"/>
        </w:rPr>
        <w:t xml:space="preserve"> and thus to </w:t>
      </w:r>
      <w:r w:rsidRPr="00F058BC">
        <w:rPr>
          <w:rStyle w:val="StyleUnderline"/>
          <w:highlight w:val="green"/>
        </w:rPr>
        <w:t>use</w:t>
      </w:r>
      <w:r w:rsidRPr="00F73248">
        <w:rPr>
          <w:rStyle w:val="StyleUnderline"/>
        </w:rPr>
        <w:t xml:space="preserve"> their </w:t>
      </w:r>
      <w:r w:rsidRPr="00F058BC">
        <w:rPr>
          <w:rStyle w:val="StyleUnderline"/>
          <w:highlight w:val="green"/>
        </w:rPr>
        <w:t>resources more cost-effectively</w:t>
      </w:r>
      <w:r w:rsidRPr="00F73248">
        <w:rPr>
          <w:rStyle w:val="StyleUnderline"/>
        </w:rPr>
        <w:t xml:space="preserve">, </w:t>
      </w:r>
      <w:proofErr w:type="gramStart"/>
      <w:r w:rsidRPr="00F73248">
        <w:rPr>
          <w:rStyle w:val="StyleUnderline"/>
        </w:rPr>
        <w:t>and,</w:t>
      </w:r>
      <w:proofErr w:type="gramEnd"/>
      <w:r w:rsidRPr="00F73248">
        <w:rPr>
          <w:rStyle w:val="StyleUnderline"/>
        </w:rPr>
        <w:t xml:space="preserve"> </w:t>
      </w:r>
      <w:r w:rsidRPr="00116E65">
        <w:rPr>
          <w:rStyle w:val="StyleUnderline"/>
        </w:rPr>
        <w:t xml:space="preserve">second, it </w:t>
      </w:r>
      <w:r w:rsidRPr="00F058BC">
        <w:rPr>
          <w:rStyle w:val="StyleUnderline"/>
          <w:highlight w:val="green"/>
        </w:rPr>
        <w:t>facilitates the diffusion of knowledg</w:t>
      </w:r>
      <w:r w:rsidRPr="00F73248">
        <w:rPr>
          <w:rStyle w:val="StyleUnderline"/>
        </w:rPr>
        <w:t xml:space="preserve">e by creating a </w:t>
      </w:r>
      <w:r w:rsidRPr="00F058BC">
        <w:rPr>
          <w:rStyle w:val="StyleUnderline"/>
          <w:highlight w:val="green"/>
        </w:rPr>
        <w:t>safe environment for firms to share info</w:t>
      </w:r>
      <w:r w:rsidRPr="002E0599">
        <w:rPr>
          <w:rStyle w:val="StyleUnderline"/>
        </w:rPr>
        <w:t>rmation</w:t>
      </w:r>
      <w:r>
        <w:t xml:space="preserve"> that, for whatever reason, they have not patented (Friedman et al 1991; </w:t>
      </w:r>
      <w:proofErr w:type="spellStart"/>
      <w:r>
        <w:t>Arrasvuori</w:t>
      </w:r>
      <w:proofErr w:type="spellEnd"/>
      <w:r>
        <w:t xml:space="preserve"> et al. 2014). In relation to this last point, </w:t>
      </w:r>
      <w:r w:rsidRPr="00F73248">
        <w:rPr>
          <w:rStyle w:val="StyleUnderline"/>
        </w:rPr>
        <w:t xml:space="preserve">trade secret protection is particularly </w:t>
      </w:r>
      <w:r w:rsidRPr="00F058BC">
        <w:rPr>
          <w:rStyle w:val="StyleUnderline"/>
          <w:highlight w:val="green"/>
        </w:rPr>
        <w:t>well suited to</w:t>
      </w:r>
      <w:r w:rsidRPr="00116E65">
        <w:rPr>
          <w:rStyle w:val="StyleUnderline"/>
        </w:rPr>
        <w:t xml:space="preserve"> current approaches to </w:t>
      </w:r>
      <w:r w:rsidRPr="00F058BC">
        <w:rPr>
          <w:rStyle w:val="StyleUnderline"/>
          <w:highlight w:val="green"/>
        </w:rPr>
        <w:t>innovation</w:t>
      </w:r>
      <w:r w:rsidRPr="00F73248">
        <w:rPr>
          <w:rStyle w:val="StyleUnderline"/>
        </w:rPr>
        <w:t xml:space="preserve">, which </w:t>
      </w:r>
      <w:r w:rsidRPr="00F058BC">
        <w:rPr>
          <w:rStyle w:val="StyleUnderline"/>
          <w:highlight w:val="green"/>
        </w:rPr>
        <w:t>emphasize incremental change and collaboration</w:t>
      </w:r>
      <w:r w:rsidRPr="00F73248">
        <w:rPr>
          <w:rStyle w:val="StyleUnderline"/>
        </w:rPr>
        <w:t>.</w:t>
      </w:r>
    </w:p>
    <w:p w14:paraId="778C4872" w14:textId="77777777" w:rsidR="00DB0744" w:rsidRDefault="00DB0744" w:rsidP="00DB0744">
      <w:r>
        <w:t xml:space="preserve">As empirical evidence shows, </w:t>
      </w:r>
      <w:r w:rsidRPr="00F73248">
        <w:rPr>
          <w:rStyle w:val="StyleUnderline"/>
        </w:rPr>
        <w:t>over-investment in secrecy implies not only wasted resources, but also lost opportunities for collaboration when information cannot be safely shared externally</w:t>
      </w:r>
      <w:r>
        <w:t xml:space="preserve">. Over-investment in secrecy may be specific, in the form of over-protection of a particular idea, or it can be general, in the sense that a company may impose too many restrictions on employees and business </w:t>
      </w:r>
      <w:proofErr w:type="gramStart"/>
      <w:r>
        <w:t>partners, or</w:t>
      </w:r>
      <w:proofErr w:type="gramEnd"/>
      <w:r>
        <w:t xml:space="preserve"> may over-spend on physical infrastructure to protect confidential information. </w:t>
      </w:r>
    </w:p>
    <w:p w14:paraId="5BC434EC" w14:textId="77777777" w:rsidR="00DB0744" w:rsidRPr="00F73248" w:rsidRDefault="00DB0744" w:rsidP="00DB0744">
      <w:pPr>
        <w:rPr>
          <w:rStyle w:val="StyleUnderline"/>
        </w:rPr>
      </w:pPr>
      <w:r w:rsidRPr="00F73248">
        <w:rPr>
          <w:rStyle w:val="StyleUnderline"/>
        </w:rPr>
        <w:t xml:space="preserve">The </w:t>
      </w:r>
      <w:r w:rsidRPr="00116E65">
        <w:rPr>
          <w:rStyle w:val="StyleUnderline"/>
        </w:rPr>
        <w:t xml:space="preserve">legal protections provided under </w:t>
      </w:r>
      <w:r w:rsidRPr="00F058BC">
        <w:rPr>
          <w:rStyle w:val="StyleUnderline"/>
          <w:highlight w:val="green"/>
        </w:rPr>
        <w:t>trade secret laws serve as a substitute for</w:t>
      </w:r>
      <w:r w:rsidRPr="00116E65">
        <w:rPr>
          <w:rStyle w:val="StyleUnderline"/>
        </w:rPr>
        <w:t xml:space="preserve"> physical </w:t>
      </w:r>
      <w:proofErr w:type="gramStart"/>
      <w:r w:rsidRPr="00116E65">
        <w:rPr>
          <w:rStyle w:val="StyleUnderline"/>
        </w:rPr>
        <w:t>and also</w:t>
      </w:r>
      <w:proofErr w:type="gramEnd"/>
      <w:r w:rsidRPr="00116E65">
        <w:rPr>
          <w:rStyle w:val="StyleUnderline"/>
        </w:rPr>
        <w:t xml:space="preserve"> contractual </w:t>
      </w:r>
      <w:r w:rsidRPr="00F058BC">
        <w:rPr>
          <w:rStyle w:val="StyleUnderline"/>
          <w:highlight w:val="green"/>
        </w:rPr>
        <w:t>secrecy</w:t>
      </w:r>
      <w:r w:rsidRPr="00116E65">
        <w:t xml:space="preserve"> (</w:t>
      </w:r>
      <w:proofErr w:type="spellStart"/>
      <w:r w:rsidRPr="00116E65">
        <w:t>Chally</w:t>
      </w:r>
      <w:proofErr w:type="spellEnd"/>
      <w:r w:rsidRPr="00116E65">
        <w:t xml:space="preserve"> 2008; Lemley 2008). For instance, when hiring and assigning employees, an employer can focus on candidates’ skills and appropriateness for </w:t>
      </w:r>
      <w:proofErr w:type="gramStart"/>
      <w:r w:rsidRPr="00116E65">
        <w:t>particular roles</w:t>
      </w:r>
      <w:proofErr w:type="gramEnd"/>
      <w:r w:rsidRPr="00116E65">
        <w:t>, rather than choosing people exclusively from within a trusted inner</w:t>
      </w:r>
      <w:r>
        <w:t xml:space="preserve"> circle (</w:t>
      </w:r>
      <w:proofErr w:type="spellStart"/>
      <w:r>
        <w:t>Risch</w:t>
      </w:r>
      <w:proofErr w:type="spellEnd"/>
      <w:r>
        <w:t xml:space="preserve"> 2007). On the other hand, companies’ actions to prevent leakage of trade secrets sometimes appear to be at odds with employee mobility and the use by an employee of learned skills in subsequent employment (Rowe 2005). </w:t>
      </w:r>
      <w:r w:rsidRPr="00F73248">
        <w:rPr>
          <w:rStyle w:val="StyleUnderline"/>
        </w:rPr>
        <w:t>Trade secret protection laws that provide appropriate disincentives for misappropriation help to strike a balance between employee mobility and personal development, on the one hand, and the legitimate interests of companies in securing confidentiality of their proprietary information, on the other hand.</w:t>
      </w:r>
    </w:p>
    <w:p w14:paraId="112F3726" w14:textId="77777777" w:rsidR="00DB0744" w:rsidRPr="00116E65" w:rsidRDefault="00DB0744" w:rsidP="00DB0744">
      <w:r w:rsidRPr="00F73248">
        <w:rPr>
          <w:rStyle w:val="StyleUnderline"/>
        </w:rPr>
        <w:t xml:space="preserve">Trade secret laws also facilitate flows of knowledge by </w:t>
      </w:r>
      <w:r w:rsidRPr="00F058BC">
        <w:rPr>
          <w:rStyle w:val="StyleUnderline"/>
          <w:highlight w:val="green"/>
        </w:rPr>
        <w:t>making it less risky for firms to share knowledge</w:t>
      </w:r>
      <w:r w:rsidRPr="00F058BC">
        <w:rPr>
          <w:highlight w:val="green"/>
        </w:rPr>
        <w:t>.</w:t>
      </w:r>
      <w:r>
        <w:t xml:space="preserve"> Like patents, trade secrets provide a partial solution to Arrow’s Information Paradox (Lemley 2008). This paradox relates to the difficulties an inventor faces if he or she needs to share a potentially valuable but secret idea </w:t>
      </w:r>
      <w:proofErr w:type="gramStart"/>
      <w:r>
        <w:t>in order to</w:t>
      </w:r>
      <w:proofErr w:type="gramEnd"/>
      <w:r>
        <w:t xml:space="preserve"> exploit it </w:t>
      </w:r>
      <w:r w:rsidRPr="00116E65">
        <w:t xml:space="preserve">commercially. </w:t>
      </w:r>
      <w:r w:rsidRPr="00116E65">
        <w:rPr>
          <w:rStyle w:val="StyleUnderline"/>
        </w:rPr>
        <w:t>Without appropriate safeguards, once knowledge is exchanged between parties, there are few disincentives against using that knowledge for commercial benefit. Thus, potential partners may withhold information because they fear creating a new competitor. However, external cooperation is an increasingly important feature of firms’ innovation strategies, enabling them to combine expertise and resources, and thus to accelerate technology development as well as commercialization. By providing additional security, trade secret protection enables the sharing of knowledge between partie</w:t>
      </w:r>
      <w:r w:rsidRPr="00116E65">
        <w:t>s (</w:t>
      </w:r>
      <w:proofErr w:type="spellStart"/>
      <w:r w:rsidRPr="00116E65">
        <w:t>Arrasvuori</w:t>
      </w:r>
      <w:proofErr w:type="spellEnd"/>
      <w:r w:rsidRPr="00116E65">
        <w:t xml:space="preserve"> et al. 2014).</w:t>
      </w:r>
    </w:p>
    <w:p w14:paraId="5B63787B" w14:textId="77777777" w:rsidR="00DB0744" w:rsidRPr="005E5087" w:rsidRDefault="00DB0744" w:rsidP="00DB0744">
      <w:r w:rsidRPr="00116E65">
        <w:rPr>
          <w:rStyle w:val="StyleUnderline"/>
        </w:rPr>
        <w:t>The protection afforded by trade secrets matches the needs of contemporary modes of innovation. Today</w:t>
      </w:r>
      <w:r w:rsidRPr="00F73248">
        <w:rPr>
          <w:rStyle w:val="StyleUnderline"/>
        </w:rPr>
        <w:t xml:space="preserve">, </w:t>
      </w:r>
      <w:r w:rsidRPr="00F058BC">
        <w:rPr>
          <w:rStyle w:val="StyleUnderline"/>
          <w:highlight w:val="green"/>
        </w:rPr>
        <w:t>innovation is increasingly characterized by a high degree of collaboration</w:t>
      </w:r>
      <w:r w:rsidRPr="00F73248">
        <w:rPr>
          <w:rStyle w:val="StyleUnderline"/>
        </w:rPr>
        <w:t xml:space="preserve"> </w:t>
      </w:r>
      <w:proofErr w:type="gramStart"/>
      <w:r w:rsidRPr="00F73248">
        <w:rPr>
          <w:rStyle w:val="StyleUnderline"/>
        </w:rPr>
        <w:t>and also</w:t>
      </w:r>
      <w:proofErr w:type="gramEnd"/>
      <w:r w:rsidRPr="00F73248">
        <w:rPr>
          <w:rStyle w:val="StyleUnderline"/>
        </w:rPr>
        <w:t xml:space="preserve"> by emphasis on incremental progress.</w:t>
      </w:r>
      <w:r>
        <w:t xml:space="preserve"> Adaptation of existing solutions to local </w:t>
      </w:r>
      <w:r>
        <w:lastRenderedPageBreak/>
        <w:t xml:space="preserve">environments, one form of incremental innovation, is especially relevant in developing countries. </w:t>
      </w:r>
      <w:r w:rsidRPr="00F73248">
        <w:rPr>
          <w:rStyle w:val="StyleUnderline"/>
        </w:rPr>
        <w:t xml:space="preserve">Trade </w:t>
      </w:r>
      <w:r w:rsidRPr="005E5087">
        <w:rPr>
          <w:rStyle w:val="StyleUnderline"/>
        </w:rPr>
        <w:t>secrets help to establish secure channels for exchanges of know-how, helping to build absorptive capacity, which is defined</w:t>
      </w:r>
      <w:r w:rsidRPr="00F73248">
        <w:rPr>
          <w:rStyle w:val="StyleUnderline"/>
        </w:rPr>
        <w:t xml:space="preserve"> as the ability to identify, assimilate, and apply new knowledge. They also provide an alternative tool for protecting gradual advancements for which patents may not be available or financially practical</w:t>
      </w:r>
      <w:r>
        <w:t xml:space="preserve"> (</w:t>
      </w:r>
      <w:proofErr w:type="spellStart"/>
      <w:r>
        <w:t>Maskus</w:t>
      </w:r>
      <w:proofErr w:type="spellEnd"/>
      <w:r>
        <w:t xml:space="preserve"> 2012). Finally, given their relative affordability, trade secrets can provide a resource-effective line of </w:t>
      </w:r>
      <w:proofErr w:type="spellStart"/>
      <w:r>
        <w:t>defence</w:t>
      </w:r>
      <w:proofErr w:type="spellEnd"/>
      <w:r>
        <w:t xml:space="preserve"> to SMEs in countries at all levels </w:t>
      </w:r>
      <w:r w:rsidRPr="005E5087">
        <w:t>of development.</w:t>
      </w:r>
    </w:p>
    <w:p w14:paraId="1211F20F" w14:textId="77777777" w:rsidR="00DB0744" w:rsidRPr="00F73248" w:rsidRDefault="00DB0744" w:rsidP="00DB0744">
      <w:r w:rsidRPr="005E5087">
        <w:t xml:space="preserve">To summarize, </w:t>
      </w:r>
      <w:r w:rsidRPr="005E5087">
        <w:rPr>
          <w:rStyle w:val="StyleUnderline"/>
        </w:rPr>
        <w:t>trade secrets are directly implicated in the dissemination of proprietary skills and knowledge, stimulating broader disclosure and use of information. As patent protection encourages the sharing of proprietary technology, trade secret protection facilitates the sharing of proprietary know-how and expertise</w:t>
      </w:r>
      <w:r>
        <w:t xml:space="preserve"> (Box 3). The combined deployment of trade secrets and patents provides exclusivity to the innovator, while furthering technology transfer through licensing and other transactions (</w:t>
      </w:r>
      <w:proofErr w:type="spellStart"/>
      <w:r>
        <w:t>Jorda</w:t>
      </w:r>
      <w:proofErr w:type="spellEnd"/>
      <w:r>
        <w:t xml:space="preserve"> 2007). Licensing agreements that include conveyances for both forms of protection are credited with stimulating the most value creation (Cummings 2008).</w:t>
      </w:r>
    </w:p>
    <w:p w14:paraId="557FE817" w14:textId="77777777" w:rsidR="00DB0744" w:rsidRPr="0092026C" w:rsidRDefault="00DB0744" w:rsidP="00DB0744"/>
    <w:p w14:paraId="26F78E80" w14:textId="77777777" w:rsidR="00DB0744" w:rsidRDefault="00DB0744" w:rsidP="00DB0744">
      <w:pPr>
        <w:pStyle w:val="Heading4"/>
      </w:pPr>
      <w:r>
        <w:t>EU’s key</w:t>
      </w:r>
    </w:p>
    <w:p w14:paraId="02229DAB" w14:textId="77777777" w:rsidR="00DB0744" w:rsidRPr="0092026C" w:rsidRDefault="00DB0744" w:rsidP="00DB0744">
      <w:r w:rsidRPr="00AD256F">
        <w:rPr>
          <w:rStyle w:val="Style13ptBold"/>
        </w:rPr>
        <w:t>EPM Scientific 19</w:t>
      </w:r>
      <w:r w:rsidRPr="00B10DCB">
        <w:t xml:space="preserve"> (202, [], 4-1-2019, “Why US Biotech Companies Should Consider Launching in Europe </w:t>
      </w:r>
      <w:proofErr w:type="gramStart"/>
      <w:r w:rsidRPr="00B10DCB">
        <w:t>Directly“</w:t>
      </w:r>
      <w:proofErr w:type="gramEnd"/>
      <w:r w:rsidRPr="00B10DCB">
        <w:t xml:space="preserve">, No Publication, accessed: 9-18-2021, https://www.epmscientific.com/blog/2019/04/why-us-biotech-companies-should-consider-launching-in-europe-directly)  </w:t>
      </w:r>
      <w:proofErr w:type="spellStart"/>
      <w:r w:rsidRPr="00B10DCB">
        <w:t>ajs</w:t>
      </w:r>
      <w:proofErr w:type="spellEnd"/>
    </w:p>
    <w:p w14:paraId="05076272" w14:textId="77777777" w:rsidR="00DB0744" w:rsidRPr="00B10DCB" w:rsidRDefault="00DB0744" w:rsidP="00DB0744">
      <w:r>
        <w:t>​</w:t>
      </w:r>
      <w:r w:rsidRPr="00B10DCB">
        <w:t xml:space="preserve">In the past, </w:t>
      </w:r>
      <w:r w:rsidRPr="00F058BC">
        <w:rPr>
          <w:rStyle w:val="StyleUnderline"/>
          <w:highlight w:val="green"/>
        </w:rPr>
        <w:t>biotech startups</w:t>
      </w:r>
      <w:r w:rsidRPr="00B10DCB">
        <w:t xml:space="preserve"> have sought to partner with big pharmaceutical companies.  However, the market is changing — in 2019 it may be </w:t>
      </w:r>
      <w:r w:rsidRPr="00F058BC">
        <w:rPr>
          <w:rStyle w:val="StyleUnderline"/>
          <w:highlight w:val="green"/>
        </w:rPr>
        <w:t>better</w:t>
      </w:r>
      <w:r w:rsidRPr="00B10DCB">
        <w:t xml:space="preserve"> to license </w:t>
      </w:r>
      <w:r w:rsidRPr="00BF0A8E">
        <w:t xml:space="preserve">directly </w:t>
      </w:r>
      <w:r w:rsidRPr="00F058BC">
        <w:rPr>
          <w:rStyle w:val="StyleUnderline"/>
          <w:highlight w:val="green"/>
        </w:rPr>
        <w:t>in Europe</w:t>
      </w:r>
      <w:r w:rsidRPr="00357EF2">
        <w:rPr>
          <w:rStyle w:val="StyleUnderline"/>
        </w:rPr>
        <w:t>.</w:t>
      </w:r>
    </w:p>
    <w:p w14:paraId="0758612C" w14:textId="77777777" w:rsidR="00DB0744" w:rsidRPr="00B10DCB" w:rsidRDefault="00DB0744" w:rsidP="00DB0744">
      <w:r w:rsidRPr="00B10DCB">
        <w:t>For a US-based pharmaceutical company, the prospect of taking a new drug to market in Europe can be daunting.  Many young biotech companies decide to </w:t>
      </w:r>
      <w:hyperlink r:id="rId16" w:history="1">
        <w:r w:rsidRPr="00B10DCB">
          <w:rPr>
            <w:rStyle w:val="Hyperlink"/>
          </w:rPr>
          <w:t>out-license for royalty</w:t>
        </w:r>
      </w:hyperlink>
      <w:r w:rsidRPr="00B10DCB">
        <w:t> or milestone payments instead of navigating the tricky path to commercializing their own product. However, this strategy may be a mistake. Let’s examine why... </w:t>
      </w:r>
    </w:p>
    <w:p w14:paraId="64949077" w14:textId="77777777" w:rsidR="00DB0744" w:rsidRPr="00B10DCB" w:rsidRDefault="00DB0744" w:rsidP="00DB0744">
      <w:r w:rsidRPr="00B10DCB">
        <w:t>Drug licensing in Europe vs. the US</w:t>
      </w:r>
    </w:p>
    <w:p w14:paraId="32771EB8" w14:textId="77777777" w:rsidR="00DB0744" w:rsidRPr="00B10DCB" w:rsidRDefault="00DB0744" w:rsidP="00DB0744">
      <w:r w:rsidRPr="00F058BC">
        <w:rPr>
          <w:rStyle w:val="StyleUnderline"/>
          <w:highlight w:val="green"/>
        </w:rPr>
        <w:t>Europe</w:t>
      </w:r>
      <w:r w:rsidRPr="00B10DCB">
        <w:t xml:space="preserve"> and the US </w:t>
      </w:r>
      <w:r w:rsidRPr="00F058BC">
        <w:rPr>
          <w:rStyle w:val="StyleUnderline"/>
          <w:highlight w:val="green"/>
        </w:rPr>
        <w:t>dominate</w:t>
      </w:r>
      <w:r w:rsidRPr="00357EF2">
        <w:rPr>
          <w:rStyle w:val="StyleUnderline"/>
        </w:rPr>
        <w:t xml:space="preserve"> the </w:t>
      </w:r>
      <w:hyperlink r:id="rId17" w:history="1">
        <w:r w:rsidRPr="00F058BC">
          <w:rPr>
            <w:rStyle w:val="StyleUnderline"/>
            <w:highlight w:val="green"/>
          </w:rPr>
          <w:t>global biotech market</w:t>
        </w:r>
      </w:hyperlink>
      <w:r w:rsidRPr="00B10DCB">
        <w:t> (although China and Japan are important growth markets of their own). This trend is not likely to change, a </w:t>
      </w:r>
      <w:hyperlink r:id="rId18" w:history="1">
        <w:r w:rsidRPr="00B10DCB">
          <w:rPr>
            <w:rStyle w:val="Hyperlink"/>
          </w:rPr>
          <w:t>2019 </w:t>
        </w:r>
        <w:proofErr w:type="spellStart"/>
        <w:r w:rsidRPr="00B10DCB">
          <w:rPr>
            <w:rStyle w:val="Hyperlink"/>
          </w:rPr>
          <w:t>iQvia</w:t>
        </w:r>
        <w:proofErr w:type="spellEnd"/>
        <w:r w:rsidRPr="00B10DCB">
          <w:rPr>
            <w:rStyle w:val="Hyperlink"/>
          </w:rPr>
          <w:t> report</w:t>
        </w:r>
      </w:hyperlink>
      <w:r w:rsidRPr="00B10DCB">
        <w:t> predicted that global pharmaceutical spending will exceed $1.5 trillion by 2023 with market leaders in the US ($625-665 billion,  up 4-7%) and Europe ($195-225 billion, up 1-4%). </w:t>
      </w:r>
      <w:r w:rsidRPr="00B10DCB">
        <w:br/>
      </w:r>
      <w:r w:rsidRPr="00B10DCB">
        <w:br/>
        <w:t>However, the US and Europe have very </w:t>
      </w:r>
      <w:hyperlink r:id="rId19" w:history="1">
        <w:r w:rsidRPr="00B10DCB">
          <w:rPr>
            <w:rStyle w:val="Hyperlink"/>
          </w:rPr>
          <w:t>different requirements</w:t>
        </w:r>
      </w:hyperlink>
      <w:r w:rsidRPr="00B10DCB">
        <w:t> for clinical trials and new drug applications.  Historically, the </w:t>
      </w:r>
      <w:hyperlink r:id="rId20" w:history="1">
        <w:r w:rsidRPr="00B10DCB">
          <w:rPr>
            <w:rStyle w:val="Hyperlink"/>
          </w:rPr>
          <w:t>US Food and Drug Administration (FDA) </w:t>
        </w:r>
      </w:hyperlink>
      <w:r w:rsidRPr="00B10DCB">
        <w:t> has been seen as a </w:t>
      </w:r>
      <w:hyperlink r:id="rId21" w:history="1">
        <w:r w:rsidRPr="00B10DCB">
          <w:rPr>
            <w:rStyle w:val="Hyperlink"/>
          </w:rPr>
          <w:t>centralized consumer protection agency</w:t>
        </w:r>
      </w:hyperlink>
      <w:r w:rsidRPr="00B10DCB">
        <w:t> — with the critique that it slows approval with safety considerations.  In contrast, the </w:t>
      </w:r>
      <w:hyperlink r:id="rId22" w:history="1">
        <w:r w:rsidRPr="00C60635">
          <w:rPr>
            <w:rStyle w:val="StyleUnderline"/>
            <w:highlight w:val="green"/>
          </w:rPr>
          <w:t>E</w:t>
        </w:r>
        <w:r w:rsidRPr="00C60635">
          <w:rPr>
            <w:rStyle w:val="StyleUnderline"/>
            <w:highlight w:val="green"/>
          </w:rPr>
          <w:t>U</w:t>
        </w:r>
        <w:r w:rsidRPr="00C60635">
          <w:rPr>
            <w:rStyle w:val="StyleUnderline"/>
          </w:rPr>
          <w:t xml:space="preserve"> European Medicines Agency (EMA)</w:t>
        </w:r>
      </w:hyperlink>
      <w:r w:rsidRPr="00C60635">
        <w:rPr>
          <w:rStyle w:val="StyleUnderline"/>
        </w:rPr>
        <w:t> was</w:t>
      </w:r>
      <w:r w:rsidRPr="00357EF2">
        <w:rPr>
          <w:rStyle w:val="StyleUnderline"/>
        </w:rPr>
        <w:t xml:space="preserve"> </w:t>
      </w:r>
      <w:r w:rsidRPr="00F058BC">
        <w:rPr>
          <w:rStyle w:val="StyleUnderline"/>
          <w:highlight w:val="green"/>
        </w:rPr>
        <w:t>designed to </w:t>
      </w:r>
      <w:hyperlink r:id="rId23" w:history="1">
        <w:r w:rsidRPr="00F058BC">
          <w:rPr>
            <w:rStyle w:val="StyleUnderline"/>
            <w:highlight w:val="green"/>
          </w:rPr>
          <w:t>standardize commercial rules</w:t>
        </w:r>
      </w:hyperlink>
      <w:r w:rsidRPr="00357EF2">
        <w:rPr>
          <w:rStyle w:val="StyleUnderline"/>
        </w:rPr>
        <w:t xml:space="preserve"> — with the critique that it primarily </w:t>
      </w:r>
      <w:r w:rsidRPr="00BF0A8E">
        <w:rPr>
          <w:rStyle w:val="StyleUnderline"/>
        </w:rPr>
        <w:t xml:space="preserve">preserves </w:t>
      </w:r>
      <w:r w:rsidRPr="00BF0A8E">
        <w:rPr>
          <w:rStyle w:val="StyleUnderline"/>
        </w:rPr>
        <w:lastRenderedPageBreak/>
        <w:t>commercial interest</w:t>
      </w:r>
      <w:r w:rsidRPr="00357EF2">
        <w:rPr>
          <w:rStyle w:val="StyleUnderline"/>
        </w:rPr>
        <w:t>s</w:t>
      </w:r>
      <w:r w:rsidRPr="00B10DCB">
        <w:t>.  There is a debate as to which system approves drugs quicker, a </w:t>
      </w:r>
      <w:hyperlink r:id="rId24" w:history="1">
        <w:r w:rsidRPr="00B10DCB">
          <w:rPr>
            <w:rStyle w:val="Hyperlink"/>
          </w:rPr>
          <w:t>2015 analysis</w:t>
        </w:r>
      </w:hyperlink>
      <w:r w:rsidRPr="00B10DCB">
        <w:t> indicates that the US is likely the faster of the two approval processes (304 days as compared to 478 in Europe). </w:t>
      </w:r>
      <w:r w:rsidRPr="00B10DCB">
        <w:br/>
      </w:r>
      <w:r w:rsidRPr="00B10DCB">
        <w:br/>
        <w:t>Small companies may not want to invest in two very-different approval processes.  Traditionally, licensing has been regarded as a good exit strategy for biotech and small pharmaceutical companies to help </w:t>
      </w:r>
      <w:hyperlink r:id="rId25" w:history="1">
        <w:r w:rsidRPr="00B10DCB">
          <w:rPr>
            <w:rStyle w:val="Hyperlink"/>
          </w:rPr>
          <w:t>manage risk</w:t>
        </w:r>
      </w:hyperlink>
      <w:r w:rsidRPr="00B10DCB">
        <w:t>, which is why licensing, royalties, mergers and acquisitions are such major drivers of the biotech and pharma industries. </w:t>
      </w:r>
      <w:r w:rsidRPr="00B10DCB">
        <w:br/>
      </w:r>
      <w:r w:rsidRPr="00B10DCB">
        <w:br/>
        <w:t xml:space="preserve">But </w:t>
      </w:r>
      <w:r w:rsidRPr="00357EF2">
        <w:rPr>
          <w:rStyle w:val="StyleUnderline"/>
        </w:rPr>
        <w:t xml:space="preserve">is </w:t>
      </w:r>
      <w:r w:rsidRPr="00F058BC">
        <w:rPr>
          <w:rStyle w:val="StyleUnderline"/>
          <w:highlight w:val="green"/>
        </w:rPr>
        <w:t>European licensing</w:t>
      </w:r>
      <w:r w:rsidRPr="00357EF2">
        <w:rPr>
          <w:rStyle w:val="StyleUnderline"/>
        </w:rPr>
        <w:t xml:space="preserve"> really the </w:t>
      </w:r>
      <w:r w:rsidRPr="00F058BC">
        <w:rPr>
          <w:rStyle w:val="StyleUnderline"/>
          <w:highlight w:val="green"/>
        </w:rPr>
        <w:t>best</w:t>
      </w:r>
      <w:r w:rsidRPr="00357EF2">
        <w:rPr>
          <w:rStyle w:val="StyleUnderline"/>
        </w:rPr>
        <w:t xml:space="preserve"> exit </w:t>
      </w:r>
      <w:r w:rsidRPr="00F058BC">
        <w:rPr>
          <w:rStyle w:val="StyleUnderline"/>
          <w:highlight w:val="green"/>
        </w:rPr>
        <w:t>strategy</w:t>
      </w:r>
      <w:r w:rsidRPr="00B10DCB">
        <w:t xml:space="preserve"> for US companies in 2019? </w:t>
      </w:r>
    </w:p>
    <w:p w14:paraId="1EE24499" w14:textId="77777777" w:rsidR="00DB0744" w:rsidRPr="00B10DCB" w:rsidRDefault="00DB0744" w:rsidP="00DB0744">
      <w:r w:rsidRPr="00B10DCB">
        <w:t>Data Supporting European Launch over License</w:t>
      </w:r>
    </w:p>
    <w:p w14:paraId="696E6D8F" w14:textId="77777777" w:rsidR="00DB0744" w:rsidRPr="00B10DCB" w:rsidRDefault="00DB0744" w:rsidP="00DB0744">
      <w:r w:rsidRPr="00B10DCB">
        <w:t>A </w:t>
      </w:r>
      <w:hyperlink r:id="rId26" w:history="1">
        <w:r w:rsidRPr="00B10DCB">
          <w:rPr>
            <w:rStyle w:val="Hyperlink"/>
          </w:rPr>
          <w:t>2013 analysis</w:t>
        </w:r>
      </w:hyperlink>
      <w:r w:rsidRPr="00B10DCB">
        <w:t> published in the Business and Medicine Report examined companies facing the launch-vs-license dilemma.  </w:t>
      </w:r>
      <w:r w:rsidRPr="00B10DCB">
        <w:br/>
      </w:r>
      <w:r w:rsidRPr="00B10DCB">
        <w:br/>
        <w:t>Using public data from the </w:t>
      </w:r>
      <w:hyperlink r:id="rId27" w:history="1">
        <w:r w:rsidRPr="00B10DCB">
          <w:rPr>
            <w:rStyle w:val="Hyperlink"/>
          </w:rPr>
          <w:t>EMA database </w:t>
        </w:r>
      </w:hyperlink>
      <w:r w:rsidRPr="00B10DCB">
        <w:t>the study examined US-based companies who had chosen to market their primary drug in the US, but were then facing the European launch-or-license decision.  From 2003-2013 the study identified 25 companies fitting this criterion, 9 of whom chose to launch directly in Europe and 16 of whom chose to license for royalty and/or milestone payments. The study found that the “</w:t>
      </w:r>
      <w:r w:rsidRPr="00F058BC">
        <w:rPr>
          <w:rStyle w:val="StyleUnderline"/>
          <w:highlight w:val="green"/>
        </w:rPr>
        <w:t>launch companies significantly outperformed</w:t>
      </w:r>
      <w:r w:rsidRPr="00A34391">
        <w:rPr>
          <w:rStyle w:val="StyleUnderline"/>
        </w:rPr>
        <w:t xml:space="preserve"> t</w:t>
      </w:r>
      <w:r w:rsidRPr="00BF0A8E">
        <w:rPr>
          <w:rStyle w:val="StyleUnderline"/>
        </w:rPr>
        <w:t xml:space="preserve">heir licensing peers” and that “launching a drug alone may lead to </w:t>
      </w:r>
      <w:r w:rsidRPr="00F058BC">
        <w:rPr>
          <w:rStyle w:val="StyleUnderline"/>
          <w:highlight w:val="green"/>
        </w:rPr>
        <w:t>significant financial reward and success</w:t>
      </w:r>
      <w:r w:rsidRPr="00B10DCB">
        <w:t xml:space="preserve">”.  To put numbers behind this claim, in a two-year window (one year prior to EMA approval to </w:t>
      </w:r>
      <w:proofErr w:type="gramStart"/>
      <w:r w:rsidRPr="00B10DCB">
        <w:t>one year</w:t>
      </w:r>
      <w:proofErr w:type="gramEnd"/>
      <w:r w:rsidRPr="00B10DCB">
        <w:t xml:space="preserve"> post-approval) the median share price of the launch companies increased by 46%, as compared to 2% for the out-licensing companies.  </w:t>
      </w:r>
      <w:r w:rsidRPr="00B10DCB">
        <w:br/>
      </w:r>
      <w:r w:rsidRPr="00B10DCB">
        <w:br/>
        <w:t xml:space="preserve">Now this study had small numbers and a wide range of variation in the </w:t>
      </w:r>
      <w:proofErr w:type="gramStart"/>
      <w:r w:rsidRPr="00B10DCB">
        <w:t>companies</w:t>
      </w:r>
      <w:proofErr w:type="gramEnd"/>
      <w:r w:rsidRPr="00B10DCB">
        <w:t xml:space="preserve"> performances.  But it gives an important insight into the benefits of navigating European regulatory structures.</w:t>
      </w:r>
      <w:r w:rsidRPr="00B10DCB">
        <w:br/>
      </w:r>
      <w:r w:rsidRPr="00B10DCB">
        <w:br/>
        <w:t xml:space="preserve">While there are likely many factors contributing to this data, it's possible that </w:t>
      </w:r>
      <w:r w:rsidRPr="00357EF2">
        <w:rPr>
          <w:rStyle w:val="StyleUnderline"/>
        </w:rPr>
        <w:t xml:space="preserve">we’re simply seeing </w:t>
      </w:r>
      <w:r w:rsidRPr="00F058BC">
        <w:rPr>
          <w:rStyle w:val="StyleUnderline"/>
          <w:highlight w:val="green"/>
        </w:rPr>
        <w:t>a direct result of the EU's new centralization</w:t>
      </w:r>
      <w:r w:rsidRPr="00357EF2">
        <w:rPr>
          <w:rStyle w:val="StyleUnderline"/>
        </w:rPr>
        <w:t xml:space="preserve">. </w:t>
      </w:r>
      <w:r w:rsidRPr="00B10DCB">
        <w:t>Before 1995 there were </w:t>
      </w:r>
      <w:hyperlink r:id="rId28" w:history="1">
        <w:r w:rsidRPr="00B10DCB">
          <w:rPr>
            <w:rStyle w:val="Hyperlink"/>
          </w:rPr>
          <w:t>15 different national bodies</w:t>
        </w:r>
      </w:hyperlink>
      <w:r w:rsidRPr="00B10DCB">
        <w:t xml:space="preserve"> regulating drugs in the European Union. Since the formation of the EU, what used to be a country-specific launch in </w:t>
      </w:r>
      <w:r w:rsidRPr="00357EF2">
        <w:rPr>
          <w:rStyle w:val="StyleUnderline"/>
        </w:rPr>
        <w:t xml:space="preserve">Europe has become a centralized review </w:t>
      </w:r>
      <w:r w:rsidRPr="00F058BC">
        <w:rPr>
          <w:rStyle w:val="StyleUnderline"/>
          <w:highlight w:val="green"/>
        </w:rPr>
        <w:t>leading to efficient access to</w:t>
      </w:r>
      <w:r w:rsidRPr="00357EF2">
        <w:rPr>
          <w:rStyle w:val="StyleUnderline"/>
        </w:rPr>
        <w:t xml:space="preserve"> Europe’s </w:t>
      </w:r>
      <w:r w:rsidRPr="00F058BC">
        <w:rPr>
          <w:rStyle w:val="StyleUnderline"/>
          <w:highlight w:val="green"/>
        </w:rPr>
        <w:t>population of </w:t>
      </w:r>
      <w:hyperlink r:id="rId29" w:history="1">
        <w:r w:rsidRPr="00F058BC">
          <w:rPr>
            <w:rStyle w:val="StyleUnderline"/>
            <w:highlight w:val="green"/>
          </w:rPr>
          <w:t>741 million people</w:t>
        </w:r>
      </w:hyperlink>
      <w:r w:rsidRPr="00357EF2">
        <w:rPr>
          <w:rStyle w:val="StyleUnderline"/>
        </w:rPr>
        <w:t>. </w:t>
      </w:r>
      <w:r w:rsidRPr="00357EF2">
        <w:rPr>
          <w:rStyle w:val="StyleUnderline"/>
        </w:rPr>
        <w:br/>
      </w:r>
      <w:r w:rsidRPr="00B10DCB">
        <w:br/>
        <w:t>Regardless, the data suggests that the conventional wisdom is no longer true. Biotech companies should strongly consider launching directly in Europe. </w:t>
      </w:r>
    </w:p>
    <w:p w14:paraId="4C6DE7D5" w14:textId="77777777" w:rsidR="00DB0744" w:rsidRPr="00B10DCB" w:rsidRDefault="00DB0744" w:rsidP="00DB0744">
      <w:r w:rsidRPr="00B10DCB">
        <w:t>In conclusion</w:t>
      </w:r>
    </w:p>
    <w:p w14:paraId="2F63AAE6" w14:textId="77777777" w:rsidR="00DB0744" w:rsidRDefault="00DB0744" w:rsidP="00DB0744">
      <w:pPr>
        <w:rPr>
          <w:rStyle w:val="StyleUnderline"/>
        </w:rPr>
      </w:pPr>
      <w:r w:rsidRPr="00B10DCB">
        <w:t xml:space="preserve">Traditionally biotech companies have sought to be acquired by, or partner with large pharmaceutical companies.  However, this model is changing. </w:t>
      </w:r>
      <w:r w:rsidRPr="00357EF2">
        <w:rPr>
          <w:rStyle w:val="StyleUnderline"/>
        </w:rPr>
        <w:t>Now companies may have more success going straight to market in Europe.</w:t>
      </w:r>
    </w:p>
    <w:p w14:paraId="1DA00F33" w14:textId="77777777" w:rsidR="00DB0744" w:rsidRPr="00116E65" w:rsidRDefault="00DB0744" w:rsidP="00DB0744"/>
    <w:p w14:paraId="2073E29C" w14:textId="77777777" w:rsidR="00DB0744" w:rsidRPr="0092026C" w:rsidRDefault="00DB0744" w:rsidP="00DB0744">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18C92E4D" w14:textId="77777777" w:rsidR="00DB0744" w:rsidRPr="0092026C" w:rsidRDefault="00DB0744" w:rsidP="00DB0744">
      <w:r w:rsidRPr="0092026C">
        <w:rPr>
          <w:rStyle w:val="Style13ptBold"/>
        </w:rPr>
        <w:t xml:space="preserve">Marjanovic and </w:t>
      </w:r>
      <w:proofErr w:type="spellStart"/>
      <w:r w:rsidRPr="0092026C">
        <w:rPr>
          <w:rStyle w:val="Style13ptBold"/>
        </w:rPr>
        <w:t>Feijao</w:t>
      </w:r>
      <w:proofErr w:type="spellEnd"/>
      <w:r w:rsidRPr="0092026C">
        <w:rPr>
          <w:rStyle w:val="Style13ptBold"/>
        </w:rPr>
        <w:t xml:space="preserve"> 20</w:t>
      </w:r>
      <w:r w:rsidRPr="0092026C">
        <w:t xml:space="preserve"> [(Sonja Marjanovic, Ph.D., Judge Business School, University of Cambridge. Carolina </w:t>
      </w:r>
      <w:proofErr w:type="spellStart"/>
      <w:r w:rsidRPr="0092026C">
        <w:t>Feijao</w:t>
      </w:r>
      <w:proofErr w:type="spellEnd"/>
      <w:r w:rsidRPr="0092026C">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5BC2AA7D" w14:textId="167F85DC" w:rsidR="00DB0744" w:rsidRPr="00B965A9" w:rsidRDefault="00DB0744" w:rsidP="00DB0744">
      <w:pPr>
        <w:rPr>
          <w:sz w:val="16"/>
        </w:rPr>
      </w:pPr>
      <w:r w:rsidRPr="00B965A9">
        <w:rPr>
          <w:sz w:val="16"/>
        </w:rPr>
        <w:t xml:space="preserve">As key actors in the healthcare innovation landscape, </w:t>
      </w:r>
      <w:r w:rsidRPr="00F058BC">
        <w:rPr>
          <w:rStyle w:val="StyleUnderline"/>
          <w:highlight w:val="green"/>
        </w:rPr>
        <w:t>pharma</w:t>
      </w:r>
      <w:r w:rsidRPr="0092026C">
        <w:rPr>
          <w:rStyle w:val="StyleUnderline"/>
        </w:rPr>
        <w:t>ceutical</w:t>
      </w:r>
      <w:r w:rsidRPr="00B965A9">
        <w:rPr>
          <w:sz w:val="16"/>
        </w:rPr>
        <w:t xml:space="preserve"> and life sciences </w:t>
      </w:r>
      <w:r w:rsidRPr="000930FD">
        <w:rPr>
          <w:rStyle w:val="StyleUnderline"/>
        </w:rPr>
        <w:t>companies</w:t>
      </w:r>
      <w:r w:rsidRPr="0092026C">
        <w:rPr>
          <w:rStyle w:val="StyleUnderline"/>
        </w:rPr>
        <w:t xml:space="preserve"> have been </w:t>
      </w:r>
      <w:r w:rsidRPr="00F058BC">
        <w:rPr>
          <w:rStyle w:val="StyleUnderline"/>
          <w:highlight w:val="green"/>
        </w:rPr>
        <w:t>called on</w:t>
      </w:r>
      <w:r w:rsidRPr="0092026C">
        <w:rPr>
          <w:rStyle w:val="StyleUnderline"/>
        </w:rPr>
        <w:t xml:space="preserve"> to develop medicines, </w:t>
      </w:r>
      <w:proofErr w:type="gramStart"/>
      <w:r w:rsidRPr="0092026C">
        <w:rPr>
          <w:rStyle w:val="StyleUnderline"/>
        </w:rPr>
        <w:t>vaccines</w:t>
      </w:r>
      <w:proofErr w:type="gramEnd"/>
      <w:r w:rsidRPr="0092026C">
        <w:rPr>
          <w:rStyle w:val="StyleUnderline"/>
        </w:rPr>
        <w:t xml:space="preserve"> and diagnostics </w:t>
      </w:r>
      <w:r w:rsidRPr="00F058BC">
        <w:rPr>
          <w:rStyle w:val="StyleUnderline"/>
          <w:highlight w:val="green"/>
        </w:rPr>
        <w:t>for</w:t>
      </w:r>
      <w:r w:rsidRPr="0092026C">
        <w:rPr>
          <w:rStyle w:val="StyleUnderline"/>
        </w:rPr>
        <w:t xml:space="preserve"> pressing </w:t>
      </w:r>
      <w:r w:rsidRPr="00F058BC">
        <w:rPr>
          <w:rStyle w:val="StyleUnderline"/>
          <w:highlight w:val="green"/>
        </w:rPr>
        <w:t>public health challenges</w:t>
      </w:r>
      <w:r w:rsidRPr="00B965A9">
        <w:rPr>
          <w:sz w:val="16"/>
        </w:rPr>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F058BC">
        <w:rPr>
          <w:rStyle w:val="StyleUnderline"/>
          <w:highlight w:val="green"/>
        </w:rPr>
        <w:t>threats in a bioterror</w:t>
      </w:r>
      <w:r w:rsidRPr="0092026C">
        <w:rPr>
          <w:rStyle w:val="StyleUnderline"/>
        </w:rPr>
        <w:t xml:space="preserve">ism </w:t>
      </w:r>
      <w:r w:rsidRPr="00F058BC">
        <w:rPr>
          <w:rStyle w:val="StyleUnderline"/>
          <w:highlight w:val="green"/>
        </w:rPr>
        <w:t>context</w:t>
      </w:r>
      <w:r w:rsidRPr="00B965A9">
        <w:rPr>
          <w:sz w:val="16"/>
        </w:rPr>
        <w:t>.1 The general threat to public health that is posed by antimicrobial resistance is also well-</w:t>
      </w:r>
      <w:proofErr w:type="spellStart"/>
      <w:r w:rsidRPr="00B965A9">
        <w:rPr>
          <w:sz w:val="16"/>
        </w:rPr>
        <w:t>recognised</w:t>
      </w:r>
      <w:proofErr w:type="spellEnd"/>
      <w:r w:rsidRPr="00B965A9">
        <w:rPr>
          <w:sz w:val="16"/>
        </w:rPr>
        <w:t xml:space="preserve"> as an area in need of pharmaceutical innovation. </w:t>
      </w:r>
      <w:r w:rsidRPr="000930FD">
        <w:rPr>
          <w:rStyle w:val="StyleUnderline"/>
        </w:rPr>
        <w:t>Innovating</w:t>
      </w:r>
      <w:r w:rsidRPr="000930FD">
        <w:rPr>
          <w:sz w:val="16"/>
        </w:rPr>
        <w:t xml:space="preserve"> in response to these challenges </w:t>
      </w:r>
      <w:r w:rsidRPr="000930FD">
        <w:rPr>
          <w:rStyle w:val="StyleUnderline"/>
        </w:rPr>
        <w:t>does not always align well with pharmaceutical industry commercial models, shareholder</w:t>
      </w:r>
      <w:r w:rsidRPr="0092026C">
        <w:rPr>
          <w:rStyle w:val="StyleUnderline"/>
        </w:rPr>
        <w:t xml:space="preserve"> expectations and competition</w:t>
      </w:r>
      <w:r w:rsidRPr="00B965A9">
        <w:rPr>
          <w:sz w:val="16"/>
        </w:rPr>
        <w:t xml:space="preserve"> within the industry. </w:t>
      </w:r>
      <w:r w:rsidRPr="000930FD">
        <w:rPr>
          <w:rStyle w:val="StyleUnderline"/>
        </w:rPr>
        <w:t>However</w:t>
      </w:r>
      <w:r w:rsidRPr="0092026C">
        <w:rPr>
          <w:rStyle w:val="StyleUnderline"/>
        </w:rPr>
        <w:t xml:space="preserve">, the </w:t>
      </w:r>
      <w:r w:rsidRPr="00F058BC">
        <w:rPr>
          <w:rStyle w:val="StyleUnderline"/>
          <w:highlight w:val="green"/>
        </w:rPr>
        <w:t xml:space="preserve">expertise, </w:t>
      </w:r>
      <w:proofErr w:type="gramStart"/>
      <w:r w:rsidRPr="00F058BC">
        <w:rPr>
          <w:rStyle w:val="StyleUnderline"/>
          <w:highlight w:val="green"/>
        </w:rPr>
        <w:t>networks</w:t>
      </w:r>
      <w:proofErr w:type="gramEnd"/>
      <w:r w:rsidRPr="00F058BC">
        <w:rPr>
          <w:rStyle w:val="StyleUnderline"/>
          <w:highlight w:val="green"/>
        </w:rPr>
        <w:t xml:space="preserve"> and infrastructure</w:t>
      </w:r>
      <w:r w:rsidRPr="0092026C">
        <w:rPr>
          <w:rStyle w:val="StyleUnderline"/>
        </w:rPr>
        <w:t xml:space="preserve"> that industry has</w:t>
      </w:r>
      <w:r w:rsidRPr="00B965A9">
        <w:rPr>
          <w:sz w:val="16"/>
        </w:rPr>
        <w:t xml:space="preserve"> within its reach, </w:t>
      </w:r>
      <w:r w:rsidRPr="0092026C">
        <w:rPr>
          <w:rStyle w:val="StyleUnderline"/>
        </w:rPr>
        <w:t>as well as public expectations and</w:t>
      </w:r>
      <w:r w:rsidRPr="00B965A9">
        <w:rPr>
          <w:sz w:val="16"/>
        </w:rPr>
        <w:t xml:space="preserve"> the </w:t>
      </w:r>
      <w:r w:rsidRPr="0092026C">
        <w:rPr>
          <w:rStyle w:val="StyleUnderline"/>
        </w:rPr>
        <w:t xml:space="preserve">moral imperative, </w:t>
      </w:r>
      <w:r w:rsidRPr="00F058BC">
        <w:rPr>
          <w:rStyle w:val="StyleUnderline"/>
          <w:highlight w:val="green"/>
        </w:rPr>
        <w:t>make pharma</w:t>
      </w:r>
      <w:r w:rsidRPr="0092026C">
        <w:rPr>
          <w:rStyle w:val="StyleUnderline"/>
        </w:rPr>
        <w:t>ceutical companies</w:t>
      </w:r>
      <w:r w:rsidRPr="00B965A9">
        <w:rPr>
          <w:sz w:val="16"/>
        </w:rPr>
        <w:t xml:space="preserve"> and the wider life sciences sector </w:t>
      </w:r>
      <w:r w:rsidRPr="0092026C">
        <w:rPr>
          <w:rStyle w:val="StyleUnderline"/>
        </w:rPr>
        <w:t xml:space="preserve">an </w:t>
      </w:r>
      <w:r w:rsidRPr="00F058BC">
        <w:rPr>
          <w:rStyle w:val="StyleUnderline"/>
          <w:highlight w:val="green"/>
        </w:rPr>
        <w:t>indispensable</w:t>
      </w:r>
      <w:r w:rsidRPr="0092026C">
        <w:rPr>
          <w:rStyle w:val="StyleUnderline"/>
        </w:rPr>
        <w:t xml:space="preserve"> partner</w:t>
      </w:r>
      <w:r w:rsidRPr="00B965A9">
        <w:rPr>
          <w:sz w:val="16"/>
        </w:rPr>
        <w:t xml:space="preserve"> in the search for solutions that save lives. This perspective argues for the need to establish more sustainable and scalable ways of </w:t>
      </w:r>
      <w:proofErr w:type="spellStart"/>
      <w:r w:rsidRPr="00B965A9">
        <w:rPr>
          <w:sz w:val="16"/>
        </w:rPr>
        <w:t>incentivising</w:t>
      </w:r>
      <w:proofErr w:type="spellEnd"/>
      <w:r w:rsidRPr="00B965A9">
        <w:rPr>
          <w:sz w:val="16"/>
        </w:rPr>
        <w:t xml:space="preserve"> pharmaceutical innovation in response to infectious disease threats to public health. It considers both past and current examples of efforts to </w:t>
      </w:r>
      <w:proofErr w:type="spellStart"/>
      <w:r w:rsidRPr="00B965A9">
        <w:rPr>
          <w:sz w:val="16"/>
        </w:rPr>
        <w:t>mobilise</w:t>
      </w:r>
      <w:proofErr w:type="spellEnd"/>
      <w:r w:rsidRPr="00B965A9">
        <w:rPr>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F058BC">
        <w:rPr>
          <w:rStyle w:val="StyleUnderline"/>
          <w:highlight w:val="green"/>
        </w:rPr>
        <w:t>unprecedented scale and pace</w:t>
      </w:r>
      <w:r w:rsidRPr="0092026C">
        <w:rPr>
          <w:rStyle w:val="StyleUnderline"/>
        </w:rPr>
        <w:t>.</w:t>
      </w:r>
      <w:r w:rsidRPr="00B965A9">
        <w:rPr>
          <w:sz w:val="16"/>
        </w:rPr>
        <w:t xml:space="preserve"> Whereas there is always scope for more activity, </w:t>
      </w:r>
      <w:r w:rsidRPr="000930FD">
        <w:rPr>
          <w:rStyle w:val="StyleUnderline"/>
        </w:rPr>
        <w:t xml:space="preserve">industry is currently contributing </w:t>
      </w:r>
      <w:proofErr w:type="gramStart"/>
      <w:r w:rsidRPr="000930FD">
        <w:rPr>
          <w:rStyle w:val="StyleUnderline"/>
        </w:rPr>
        <w:t>in</w:t>
      </w:r>
      <w:proofErr w:type="gramEnd"/>
      <w:r w:rsidRPr="000930FD">
        <w:rPr>
          <w:rStyle w:val="StyleUnderline"/>
        </w:rPr>
        <w:t xml:space="preserve"> a variety of ways.</w:t>
      </w:r>
      <w:r w:rsidRPr="0092026C">
        <w:rPr>
          <w:rStyle w:val="StyleUnderline"/>
        </w:rPr>
        <w:t xml:space="preserve"> Examples include pharmaceutical companies donating existing compounds to assess their utility</w:t>
      </w:r>
      <w:r w:rsidRPr="00B965A9">
        <w:rPr>
          <w:sz w:val="16"/>
        </w:rPr>
        <w:t xml:space="preserve"> in the fight against COVID19; </w:t>
      </w:r>
      <w:r w:rsidRPr="00F058BC">
        <w:rPr>
          <w:rStyle w:val="StyleUnderline"/>
          <w:highlight w:val="green"/>
        </w:rPr>
        <w:t>screening</w:t>
      </w:r>
      <w:r w:rsidRPr="0092026C">
        <w:rPr>
          <w:rStyle w:val="StyleUnderline"/>
        </w:rPr>
        <w:t xml:space="preserve"> existing </w:t>
      </w:r>
      <w:r w:rsidRPr="00F058BC">
        <w:rPr>
          <w:rStyle w:val="StyleUnderline"/>
          <w:highlight w:val="green"/>
        </w:rPr>
        <w:t>compound libraries</w:t>
      </w:r>
      <w:r w:rsidRPr="0092026C">
        <w:rPr>
          <w:rStyle w:val="StyleUnderline"/>
        </w:rPr>
        <w:t xml:space="preserve"> in-house or with partners to see if they can be repurposed; </w:t>
      </w:r>
      <w:r w:rsidRPr="00F058BC">
        <w:rPr>
          <w:rStyle w:val="StyleUnderline"/>
          <w:highlight w:val="green"/>
        </w:rPr>
        <w:t>accelerating trials</w:t>
      </w:r>
      <w:r w:rsidRPr="00B965A9">
        <w:rPr>
          <w:sz w:val="16"/>
        </w:rPr>
        <w:t xml:space="preserve"> for potentially effective medicine or vaccine candidates; </w:t>
      </w:r>
      <w:r w:rsidRPr="0092026C">
        <w:rPr>
          <w:rStyle w:val="StyleUnderline"/>
        </w:rPr>
        <w:t xml:space="preserve">and in some cases rapidly accelerating in-house research and development </w:t>
      </w:r>
      <w:r w:rsidRPr="00B965A9">
        <w:rPr>
          <w:sz w:val="16"/>
        </w:rPr>
        <w:t xml:space="preserve">to discover new treatments or vaccine agents and develop diagnostics tests.3,4 </w:t>
      </w:r>
      <w:r w:rsidRPr="0092026C">
        <w:rPr>
          <w:rStyle w:val="StyleUnderline"/>
        </w:rPr>
        <w:t>Pharmaceutical companies are collaborating</w:t>
      </w:r>
      <w:r w:rsidRPr="00B965A9">
        <w:rPr>
          <w:sz w:val="16"/>
        </w:rPr>
        <w:t xml:space="preserve"> with each other in some of these efforts </w:t>
      </w:r>
      <w:r w:rsidRPr="0092026C">
        <w:rPr>
          <w:rStyle w:val="StyleUnderline"/>
        </w:rPr>
        <w:t xml:space="preserve">and participating in global </w:t>
      </w:r>
      <w:r w:rsidRPr="00F058BC">
        <w:rPr>
          <w:rStyle w:val="StyleUnderline"/>
          <w:highlight w:val="green"/>
        </w:rPr>
        <w:t>R&amp;D partnerships</w:t>
      </w:r>
      <w:r w:rsidRPr="00B965A9">
        <w:rPr>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B965A9">
        <w:rPr>
          <w:sz w:val="16"/>
        </w:rPr>
        <w:t>realised</w:t>
      </w:r>
      <w:proofErr w:type="spellEnd"/>
      <w:r w:rsidRPr="00B965A9">
        <w:rPr>
          <w:sz w:val="16"/>
        </w:rPr>
        <w:t xml:space="preserve"> across the industry, </w:t>
      </w:r>
      <w:r w:rsidRPr="0092026C">
        <w:rPr>
          <w:rStyle w:val="StyleUnderline"/>
        </w:rPr>
        <w:t>there are likely to be relatively few companies that are ‘commercial’ winners</w:t>
      </w:r>
      <w:r w:rsidRPr="00B965A9">
        <w:rPr>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B965A9">
        <w:rPr>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965A9">
        <w:rPr>
          <w:sz w:val="16"/>
        </w:rPr>
        <w:t>mobilising</w:t>
      </w:r>
      <w:proofErr w:type="spellEnd"/>
      <w:r w:rsidRPr="00B965A9">
        <w:rPr>
          <w:sz w:val="16"/>
        </w:rPr>
        <w:t xml:space="preserve"> substantial efforts to rise to the COVID-19 challenge at hand. However, we need to consider how pharmaceutical innovation for responding to emerging infectious diseases can best be enabled beyond the current crisis. </w:t>
      </w:r>
      <w:r w:rsidRPr="00F058BC">
        <w:rPr>
          <w:rStyle w:val="StyleUnderline"/>
          <w:highlight w:val="green"/>
        </w:rPr>
        <w:t>Many public health threats</w:t>
      </w:r>
      <w:r w:rsidRPr="0092026C">
        <w:rPr>
          <w:rStyle w:val="StyleUnderline"/>
        </w:rPr>
        <w:t xml:space="preserve"> (including those associated with other infectious </w:t>
      </w:r>
      <w:r w:rsidRPr="00F058BC">
        <w:rPr>
          <w:rStyle w:val="StyleUnderline"/>
          <w:highlight w:val="green"/>
        </w:rPr>
        <w:t>diseases, bioterror</w:t>
      </w:r>
      <w:r w:rsidRPr="0092026C">
        <w:rPr>
          <w:rStyle w:val="StyleUnderline"/>
        </w:rPr>
        <w:t xml:space="preserve">ism </w:t>
      </w:r>
      <w:r w:rsidRPr="000930FD">
        <w:rPr>
          <w:rStyle w:val="StyleUnderline"/>
        </w:rPr>
        <w:t>agents and antimicrobial resistance</w:t>
      </w:r>
      <w:r w:rsidRPr="0092026C">
        <w:rPr>
          <w:rStyle w:val="StyleUnderline"/>
        </w:rPr>
        <w:t xml:space="preserve">) </w:t>
      </w:r>
      <w:r w:rsidRPr="00F058BC">
        <w:rPr>
          <w:rStyle w:val="StyleUnderline"/>
          <w:highlight w:val="green"/>
        </w:rPr>
        <w:t>are</w:t>
      </w:r>
      <w:r w:rsidRPr="0092026C">
        <w:rPr>
          <w:rStyle w:val="StyleUnderline"/>
        </w:rPr>
        <w:t xml:space="preserve"> urgently </w:t>
      </w:r>
      <w:r w:rsidRPr="00F058BC">
        <w:rPr>
          <w:rStyle w:val="StyleUnderline"/>
          <w:highlight w:val="green"/>
        </w:rPr>
        <w:t>in need of pharma</w:t>
      </w:r>
      <w:r w:rsidRPr="0092026C">
        <w:rPr>
          <w:rStyle w:val="StyleUnderline"/>
        </w:rPr>
        <w:t xml:space="preserve">ceutical </w:t>
      </w:r>
      <w:r w:rsidRPr="00F058BC">
        <w:rPr>
          <w:rStyle w:val="StyleUnderline"/>
          <w:highlight w:val="green"/>
        </w:rPr>
        <w:t>innovation</w:t>
      </w:r>
      <w:r w:rsidRPr="00B965A9">
        <w:rPr>
          <w:sz w:val="16"/>
        </w:rPr>
        <w:t xml:space="preserve">, even if their impacts are </w:t>
      </w:r>
      <w:r w:rsidRPr="00B965A9">
        <w:rPr>
          <w:sz w:val="16"/>
        </w:rPr>
        <w:lastRenderedPageBreak/>
        <w:t xml:space="preserve">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B965A9">
        <w:rPr>
          <w:sz w:val="16"/>
        </w:rPr>
        <w:t xml:space="preserve"> those associated with </w:t>
      </w:r>
      <w:r w:rsidRPr="0092026C">
        <w:rPr>
          <w:rStyle w:val="StyleUnderline"/>
        </w:rPr>
        <w:t>Ebola and Zika</w:t>
      </w:r>
      <w:r w:rsidRPr="00B965A9">
        <w:rPr>
          <w:sz w:val="16"/>
        </w:rPr>
        <w:t xml:space="preserve"> outbreaks.11 However, </w:t>
      </w:r>
      <w:r w:rsidRPr="0092026C">
        <w:rPr>
          <w:rStyle w:val="StyleUnderline"/>
        </w:rPr>
        <w:t>it has done so to a lesser scale than for COVID-19 and with contributions from fewer companies</w:t>
      </w:r>
      <w:r w:rsidRPr="00B965A9">
        <w:rPr>
          <w:sz w:val="16"/>
        </w:rPr>
        <w:t xml:space="preserve">. Similarly, </w:t>
      </w:r>
      <w:r w:rsidRPr="0092026C">
        <w:rPr>
          <w:rStyle w:val="StyleUnderline"/>
        </w:rPr>
        <w:t>levels of activity in response to the threat of antimicrobial resistance are still low</w:t>
      </w:r>
      <w:r w:rsidRPr="00B965A9">
        <w:rPr>
          <w:sz w:val="16"/>
        </w:rPr>
        <w:t xml:space="preserve">.12 There are important policy questions as to whether – and how – industry could engage with such public health threats to an even greater extent under improved innovation conditions. </w:t>
      </w:r>
    </w:p>
    <w:p w14:paraId="56E366BA" w14:textId="12B03C5E" w:rsidR="00E964E0" w:rsidRDefault="00721169" w:rsidP="00721169">
      <w:pPr>
        <w:pStyle w:val="Heading2"/>
      </w:pPr>
      <w:r>
        <w:lastRenderedPageBreak/>
        <w:t>Case</w:t>
      </w:r>
    </w:p>
    <w:p w14:paraId="7B720082" w14:textId="77777777" w:rsidR="003C73A1" w:rsidRPr="0075522B" w:rsidRDefault="003C73A1" w:rsidP="003C73A1">
      <w:pPr>
        <w:pStyle w:val="Heading3"/>
      </w:pPr>
      <w:r>
        <w:lastRenderedPageBreak/>
        <w:t>Inherency</w:t>
      </w:r>
    </w:p>
    <w:p w14:paraId="5F8A731C" w14:textId="4331E5D3" w:rsidR="003C73A1" w:rsidRDefault="003C73A1" w:rsidP="003C73A1">
      <w:pPr>
        <w:pStyle w:val="Heading4"/>
      </w:pPr>
      <w:r>
        <w:t xml:space="preserve">Your solvency author’s proposal was </w:t>
      </w:r>
      <w:r>
        <w:rPr>
          <w:i/>
        </w:rPr>
        <w:t xml:space="preserve">already </w:t>
      </w:r>
      <w:r>
        <w:t>legislated in 2019 and will be implemented by December</w:t>
      </w:r>
      <w:r w:rsidR="00D54AC8">
        <w:t>.</w:t>
      </w:r>
      <w:r>
        <w:t xml:space="preserve"> They’ll say the current directive only covers retribution but that’s 1 article in the larger directive – the full directive encompasses the </w:t>
      </w:r>
      <w:proofErr w:type="spellStart"/>
      <w:r>
        <w:t>aff</w:t>
      </w:r>
      <w:proofErr w:type="spellEnd"/>
    </w:p>
    <w:p w14:paraId="5D6EEAFD" w14:textId="77777777" w:rsidR="003C73A1" w:rsidRDefault="003C73A1" w:rsidP="003C73A1">
      <w:pPr>
        <w:pStyle w:val="ListParagraph"/>
        <w:numPr>
          <w:ilvl w:val="0"/>
          <w:numId w:val="16"/>
        </w:numPr>
      </w:pPr>
      <w:r>
        <w:t>Solved Uniformity- authors call it the “golden standard” of whistleblower law implementation for being extremely clear as it relates to Trade Secrets Directive</w:t>
      </w:r>
    </w:p>
    <w:p w14:paraId="0339C262" w14:textId="77777777" w:rsidR="003C73A1" w:rsidRPr="004E7813" w:rsidRDefault="003C73A1" w:rsidP="003C73A1">
      <w:pPr>
        <w:pStyle w:val="ListParagraph"/>
        <w:numPr>
          <w:ilvl w:val="0"/>
          <w:numId w:val="16"/>
        </w:numPr>
      </w:pPr>
      <w:r>
        <w:t>Solved Whistleblowing- does the plan and more—compensation for damages, no liability, legal support, flips burden of proof to plaintiff. Plan only flips the burden of proof.</w:t>
      </w:r>
    </w:p>
    <w:p w14:paraId="59E2CE3E" w14:textId="77777777" w:rsidR="003C73A1" w:rsidRPr="0082348E" w:rsidRDefault="003C73A1" w:rsidP="003C73A1">
      <w:pPr>
        <w:rPr>
          <w:sz w:val="26"/>
          <w:szCs w:val="26"/>
        </w:rPr>
      </w:pPr>
      <w:r w:rsidRPr="0082348E">
        <w:rPr>
          <w:rFonts w:cs="Arial"/>
          <w:b/>
          <w:bCs/>
          <w:color w:val="222222"/>
          <w:sz w:val="26"/>
          <w:szCs w:val="26"/>
          <w:shd w:val="clear" w:color="auto" w:fill="FFFFFF"/>
        </w:rPr>
        <w:t xml:space="preserve">Van </w:t>
      </w:r>
      <w:proofErr w:type="spellStart"/>
      <w:r w:rsidRPr="0082348E">
        <w:rPr>
          <w:rFonts w:cs="Arial"/>
          <w:b/>
          <w:bCs/>
          <w:color w:val="222222"/>
          <w:sz w:val="26"/>
          <w:szCs w:val="26"/>
          <w:shd w:val="clear" w:color="auto" w:fill="FFFFFF"/>
        </w:rPr>
        <w:t>Waeyenberge</w:t>
      </w:r>
      <w:proofErr w:type="spellEnd"/>
      <w:r w:rsidRPr="0082348E">
        <w:rPr>
          <w:rFonts w:cs="Arial"/>
          <w:b/>
          <w:bCs/>
          <w:color w:val="222222"/>
          <w:sz w:val="26"/>
          <w:szCs w:val="26"/>
          <w:shd w:val="clear" w:color="auto" w:fill="FFFFFF"/>
        </w:rPr>
        <w:t xml:space="preserve"> and Davies 2021</w:t>
      </w:r>
      <w:r w:rsidRPr="0082348E">
        <w:rPr>
          <w:rFonts w:cs="Arial"/>
          <w:color w:val="222222"/>
          <w:sz w:val="26"/>
          <w:szCs w:val="26"/>
          <w:shd w:val="clear" w:color="auto" w:fill="FFFFFF"/>
        </w:rPr>
        <w:t xml:space="preserve"> </w:t>
      </w:r>
      <w:r w:rsidRPr="0082348E">
        <w:rPr>
          <w:rFonts w:cs="Arial"/>
          <w:color w:val="222222"/>
          <w:sz w:val="18"/>
          <w:szCs w:val="18"/>
          <w:shd w:val="clear" w:color="auto" w:fill="FFFFFF"/>
        </w:rPr>
        <w:t xml:space="preserve">(Arnaud Van </w:t>
      </w:r>
      <w:proofErr w:type="spellStart"/>
      <w:r w:rsidRPr="0082348E">
        <w:rPr>
          <w:rFonts w:cs="Arial"/>
          <w:color w:val="222222"/>
          <w:sz w:val="18"/>
          <w:szCs w:val="18"/>
          <w:shd w:val="clear" w:color="auto" w:fill="FFFFFF"/>
        </w:rPr>
        <w:t>Waeyenberge</w:t>
      </w:r>
      <w:proofErr w:type="spellEnd"/>
      <w:r w:rsidRPr="0082348E">
        <w:rPr>
          <w:rFonts w:cs="Arial"/>
          <w:color w:val="222222"/>
          <w:sz w:val="18"/>
          <w:szCs w:val="18"/>
          <w:shd w:val="clear" w:color="auto" w:fill="FFFFFF"/>
        </w:rPr>
        <w:t xml:space="preserve">, </w:t>
      </w:r>
      <w:r w:rsidRPr="0082348E">
        <w:rPr>
          <w:rFonts w:cs="Arial"/>
          <w:color w:val="333333"/>
          <w:sz w:val="18"/>
          <w:szCs w:val="18"/>
          <w:shd w:val="clear" w:color="auto" w:fill="FFFFFF"/>
        </w:rPr>
        <w:t>Associate Professor of Law at HEC Paris where he teaches EU Law, Global Law and Legal Reasoning. Prior to joining the HEC faculty, he was an attorney-at-law at the Brussels Bar (Clifford Chance LLP) and a legal clerk at the Court of Justice of the European Union (General Court). He is currently the Chairman of the "Law and Tax Department".</w:t>
      </w:r>
      <w:r w:rsidRPr="0082348E">
        <w:rPr>
          <w:rFonts w:cs="Arial"/>
          <w:color w:val="222222"/>
          <w:sz w:val="18"/>
          <w:szCs w:val="18"/>
          <w:shd w:val="clear" w:color="auto" w:fill="FFFFFF"/>
        </w:rPr>
        <w:t xml:space="preserve"> Holds a </w:t>
      </w:r>
      <w:proofErr w:type="gramStart"/>
      <w:r w:rsidRPr="0082348E">
        <w:rPr>
          <w:rFonts w:cs="Arial"/>
          <w:color w:val="333333"/>
          <w:sz w:val="18"/>
          <w:szCs w:val="18"/>
          <w:shd w:val="clear" w:color="auto" w:fill="FFFFFF"/>
        </w:rPr>
        <w:t>Master Degree in Law</w:t>
      </w:r>
      <w:proofErr w:type="gramEnd"/>
      <w:r w:rsidRPr="0082348E">
        <w:rPr>
          <w:rFonts w:cs="Arial"/>
          <w:color w:val="333333"/>
          <w:sz w:val="18"/>
          <w:szCs w:val="18"/>
          <w:shd w:val="clear" w:color="auto" w:fill="FFFFFF"/>
        </w:rPr>
        <w:t xml:space="preserve"> (UCL) in Legal Philosophy (European Academy of Legal Theory) in European Law (College of Europe) and a PhD in Law. </w:t>
      </w:r>
      <w:r w:rsidRPr="0082348E">
        <w:rPr>
          <w:rFonts w:cs="Arial"/>
          <w:color w:val="222222"/>
          <w:sz w:val="18"/>
          <w:szCs w:val="18"/>
          <w:shd w:val="clear" w:color="auto" w:fill="FFFFFF"/>
        </w:rPr>
        <w:t xml:space="preserve">and Zachariah Davies, </w:t>
      </w:r>
      <w:r w:rsidRPr="0082348E">
        <w:rPr>
          <w:rFonts w:cs="Lucida Grande"/>
          <w:color w:val="090F1C"/>
          <w:sz w:val="18"/>
          <w:szCs w:val="18"/>
          <w:shd w:val="clear" w:color="auto" w:fill="F8F8F8"/>
        </w:rPr>
        <w:t>a trainee with Judge Anthony Collins, 8th Chamber of the General Court. He previously was a Trainee at Ashurst in Brussels. He holds an LLM in EU Law from the Free University of Brussels</w:t>
      </w:r>
      <w:r w:rsidRPr="0082348E">
        <w:rPr>
          <w:rFonts w:cs="Arial"/>
          <w:color w:val="222222"/>
          <w:sz w:val="18"/>
          <w:szCs w:val="18"/>
          <w:shd w:val="clear" w:color="auto" w:fill="FFFFFF"/>
        </w:rPr>
        <w:t>. "The Whistleblower Protection Directive (2019/1937): A Satisfactory but Incomplete System." </w:t>
      </w:r>
      <w:r w:rsidRPr="0082348E">
        <w:rPr>
          <w:rFonts w:cs="Arial"/>
          <w:i/>
          <w:iCs/>
          <w:color w:val="222222"/>
          <w:sz w:val="18"/>
          <w:szCs w:val="18"/>
          <w:shd w:val="clear" w:color="auto" w:fill="FFFFFF"/>
        </w:rPr>
        <w:t>European Journal of Risk Regulation</w:t>
      </w:r>
      <w:r w:rsidRPr="0082348E">
        <w:rPr>
          <w:rFonts w:cs="Arial"/>
          <w:color w:val="222222"/>
          <w:sz w:val="18"/>
          <w:szCs w:val="18"/>
          <w:shd w:val="clear" w:color="auto" w:fill="FFFFFF"/>
        </w:rPr>
        <w:t> 12, no. 1 (2021): 236-244.</w:t>
      </w:r>
      <w:r w:rsidRPr="0082348E">
        <w:rPr>
          <w:sz w:val="18"/>
          <w:szCs w:val="18"/>
        </w:rPr>
        <w:t xml:space="preserve"> footnote 41 inserted in brackets [</w:t>
      </w:r>
      <w:proofErr w:type="gramStart"/>
      <w:r w:rsidRPr="0082348E">
        <w:rPr>
          <w:sz w:val="18"/>
          <w:szCs w:val="18"/>
        </w:rPr>
        <w:t>])DR</w:t>
      </w:r>
      <w:proofErr w:type="gramEnd"/>
      <w:r w:rsidRPr="0082348E">
        <w:rPr>
          <w:sz w:val="18"/>
          <w:szCs w:val="18"/>
        </w:rPr>
        <w:t xml:space="preserve"> 21</w:t>
      </w:r>
    </w:p>
    <w:p w14:paraId="6D0EF38B" w14:textId="77777777" w:rsidR="003C73A1" w:rsidRPr="00431004" w:rsidRDefault="003C73A1" w:rsidP="003C73A1">
      <w:pPr>
        <w:ind w:firstLine="720"/>
      </w:pPr>
      <w:r w:rsidRPr="00336010">
        <w:rPr>
          <w:u w:val="single"/>
        </w:rPr>
        <w:t xml:space="preserve">On </w:t>
      </w:r>
      <w:r w:rsidRPr="00336010">
        <w:rPr>
          <w:rStyle w:val="Emphasis"/>
        </w:rPr>
        <w:t xml:space="preserve">23 </w:t>
      </w:r>
      <w:r w:rsidRPr="00F058BC">
        <w:rPr>
          <w:rStyle w:val="Emphasis"/>
          <w:highlight w:val="green"/>
        </w:rPr>
        <w:t>October 2019</w:t>
      </w:r>
      <w:r w:rsidRPr="0082348E">
        <w:rPr>
          <w:u w:val="single"/>
        </w:rPr>
        <w:t xml:space="preserve">, against the backdrop of numerous scandals involving whistleblowers, </w:t>
      </w:r>
      <w:r w:rsidRPr="00F058BC">
        <w:rPr>
          <w:highlight w:val="green"/>
          <w:u w:val="single"/>
        </w:rPr>
        <w:t xml:space="preserve">the EU enacted </w:t>
      </w:r>
      <w:r w:rsidRPr="00F058BC">
        <w:rPr>
          <w:rStyle w:val="Emphasis"/>
          <w:highlight w:val="green"/>
        </w:rPr>
        <w:t>a directive protecting whistleblowers</w:t>
      </w:r>
      <w:r w:rsidRPr="0082348E">
        <w:rPr>
          <w:u w:val="single"/>
        </w:rPr>
        <w:t xml:space="preserve"> </w:t>
      </w:r>
      <w:r w:rsidRPr="0082348E">
        <w:rPr>
          <w:rStyle w:val="Emphasis"/>
        </w:rPr>
        <w:t>across the EU</w:t>
      </w:r>
      <w:r w:rsidRPr="00431004">
        <w:t>.</w:t>
      </w:r>
      <w:r w:rsidRPr="0082348E">
        <w:rPr>
          <w:rStyle w:val="Emphasis"/>
        </w:rPr>
        <w:t>8 The Whistleblower Protection Directive</w:t>
      </w:r>
      <w:r w:rsidRPr="00431004">
        <w:t xml:space="preserve"> (the “Directive“) </w:t>
      </w:r>
      <w:r w:rsidRPr="0082348E">
        <w:rPr>
          <w:u w:val="single"/>
        </w:rPr>
        <w:t>aims to establish common minimum standards of whistleblower protection</w:t>
      </w:r>
      <w:r w:rsidRPr="00431004">
        <w:t xml:space="preserve"> in an effort to pull together the “fragmented” policies applied in different Member States and across different EU policy areas.9 </w:t>
      </w:r>
      <w:r w:rsidRPr="0082348E">
        <w:rPr>
          <w:u w:val="single"/>
        </w:rPr>
        <w:t xml:space="preserve">The Directive sets </w:t>
      </w:r>
      <w:r w:rsidRPr="00F058BC">
        <w:rPr>
          <w:rStyle w:val="Emphasis"/>
          <w:highlight w:val="green"/>
        </w:rPr>
        <w:t>ambitious</w:t>
      </w:r>
      <w:r w:rsidRPr="0082348E">
        <w:rPr>
          <w:rStyle w:val="Emphasis"/>
        </w:rPr>
        <w:t xml:space="preserve"> legislative </w:t>
      </w:r>
      <w:r w:rsidRPr="00F058BC">
        <w:rPr>
          <w:rStyle w:val="Emphasis"/>
          <w:highlight w:val="green"/>
        </w:rPr>
        <w:t>targets</w:t>
      </w:r>
      <w:r w:rsidRPr="0082348E">
        <w:rPr>
          <w:u w:val="single"/>
        </w:rPr>
        <w:t xml:space="preserve"> </w:t>
      </w:r>
      <w:r w:rsidRPr="00F058BC">
        <w:rPr>
          <w:highlight w:val="green"/>
          <w:u w:val="single"/>
        </w:rPr>
        <w:t>for</w:t>
      </w:r>
      <w:r w:rsidRPr="0082348E">
        <w:rPr>
          <w:u w:val="single"/>
        </w:rPr>
        <w:t xml:space="preserve"> EU </w:t>
      </w:r>
      <w:r w:rsidRPr="00F058BC">
        <w:rPr>
          <w:highlight w:val="green"/>
          <w:u w:val="single"/>
        </w:rPr>
        <w:t xml:space="preserve">Member States, who will have </w:t>
      </w:r>
      <w:r w:rsidRPr="00F058BC">
        <w:rPr>
          <w:rStyle w:val="Emphasis"/>
          <w:highlight w:val="green"/>
        </w:rPr>
        <w:t>until</w:t>
      </w:r>
      <w:r w:rsidRPr="0082348E">
        <w:rPr>
          <w:rStyle w:val="Emphasis"/>
        </w:rPr>
        <w:t xml:space="preserve"> 17 </w:t>
      </w:r>
      <w:r w:rsidRPr="00F058BC">
        <w:rPr>
          <w:rStyle w:val="Emphasis"/>
          <w:highlight w:val="green"/>
        </w:rPr>
        <w:t>December 2021</w:t>
      </w:r>
      <w:r w:rsidRPr="0082348E">
        <w:rPr>
          <w:u w:val="single"/>
        </w:rPr>
        <w:t xml:space="preserve"> to implement its provisions into national law</w:t>
      </w:r>
      <w:r w:rsidRPr="00431004">
        <w:t>.10</w:t>
      </w:r>
    </w:p>
    <w:p w14:paraId="71A2163A" w14:textId="77777777" w:rsidR="003C73A1" w:rsidRPr="00431004" w:rsidRDefault="003C73A1" w:rsidP="003C73A1">
      <w:pPr>
        <w:ind w:firstLine="720"/>
        <w:rPr>
          <w:sz w:val="12"/>
          <w:szCs w:val="12"/>
        </w:rPr>
      </w:pPr>
      <w:r w:rsidRPr="00431004">
        <w:rPr>
          <w:sz w:val="12"/>
          <w:szCs w:val="12"/>
        </w:rPr>
        <w:t xml:space="preserve">The following sections will focus on the text of the Directive itself, providing contextual elements, details and a brief critical analysis on its scope, its reporting </w:t>
      </w:r>
      <w:proofErr w:type="gramStart"/>
      <w:r w:rsidRPr="00431004">
        <w:rPr>
          <w:sz w:val="12"/>
          <w:szCs w:val="12"/>
        </w:rPr>
        <w:t>procedures</w:t>
      </w:r>
      <w:proofErr w:type="gramEnd"/>
      <w:r w:rsidRPr="00431004">
        <w:rPr>
          <w:sz w:val="12"/>
          <w:szCs w:val="12"/>
        </w:rPr>
        <w:t xml:space="preserve"> and the protective tools it introduces. The final section will then explore some of the practical considerations raised by the Directive regarding its relationship with national legislation and pre-existing EU legal instruments.</w:t>
      </w:r>
    </w:p>
    <w:p w14:paraId="723B9D49" w14:textId="77777777" w:rsidR="003C73A1" w:rsidRPr="00431004" w:rsidRDefault="003C73A1" w:rsidP="003C73A1">
      <w:pPr>
        <w:rPr>
          <w:sz w:val="14"/>
        </w:rPr>
      </w:pPr>
      <w:r w:rsidRPr="00431004">
        <w:rPr>
          <w:sz w:val="14"/>
        </w:rPr>
        <w:t xml:space="preserve">II. THE BROAD SCOPE OF APPLICATION OF THE WHISTLEBLOWER DIRECTIVE </w:t>
      </w:r>
      <w:r w:rsidRPr="0082348E">
        <w:rPr>
          <w:u w:val="single"/>
        </w:rPr>
        <w:t>The main objective of the Directive is to</w:t>
      </w:r>
      <w:r w:rsidRPr="00431004">
        <w:rPr>
          <w:sz w:val="14"/>
        </w:rPr>
        <w:t xml:space="preserve"> ensure </w:t>
      </w:r>
      <w:r w:rsidRPr="0082348E">
        <w:rPr>
          <w:b/>
          <w:bCs/>
          <w:u w:val="single"/>
        </w:rPr>
        <w:t>improve</w:t>
      </w:r>
      <w:r w:rsidRPr="00431004">
        <w:rPr>
          <w:sz w:val="14"/>
        </w:rPr>
        <w:t xml:space="preserve">d application of EU law by providing adequate </w:t>
      </w:r>
      <w:r w:rsidRPr="0082348E">
        <w:rPr>
          <w:b/>
          <w:bCs/>
          <w:u w:val="single"/>
        </w:rPr>
        <w:t>protection for whistleblowers</w:t>
      </w:r>
      <w:r w:rsidRPr="00431004">
        <w:rPr>
          <w:sz w:val="14"/>
        </w:rPr>
        <w:t>. Worker protection is therefore not the primary objective. The scope of the Directive is in fact much broader, as discussed below, and increased protection is essentially a desirable means of improving the effectiveness of EU law.</w:t>
      </w:r>
    </w:p>
    <w:p w14:paraId="740E0136" w14:textId="77777777" w:rsidR="003C73A1" w:rsidRPr="00431004" w:rsidRDefault="003C73A1" w:rsidP="003C73A1">
      <w:pPr>
        <w:ind w:firstLine="720"/>
        <w:rPr>
          <w:sz w:val="12"/>
          <w:szCs w:val="12"/>
        </w:rPr>
      </w:pPr>
      <w:r w:rsidRPr="00431004">
        <w:rPr>
          <w:sz w:val="12"/>
          <w:szCs w:val="12"/>
        </w:rPr>
        <w:t xml:space="preserve">The Directive was drafted following extensive evaluation, including numerous consultations,11 an external study assessing its repercussions as well as its quantitative and qualitative benefits, in addition to an impact analysis. These studies found that not only will this legislative project bringing about economic, </w:t>
      </w:r>
      <w:proofErr w:type="gramStart"/>
      <w:r w:rsidRPr="00431004">
        <w:rPr>
          <w:sz w:val="12"/>
          <w:szCs w:val="12"/>
        </w:rPr>
        <w:t>societal</w:t>
      </w:r>
      <w:proofErr w:type="gramEnd"/>
      <w:r w:rsidRPr="00431004">
        <w:rPr>
          <w:sz w:val="12"/>
          <w:szCs w:val="12"/>
        </w:rPr>
        <w:t xml:space="preserve"> and environmental benefits, but it will also have a wider positive effect on the fundamental rights of European citizens.12 In quantitative terms, the Commission estimates that revenue loss stemming from fraud and corruption affecting the EU budget is estimated at between €179 and €256 billion per year.13 The Directive was designed to help reduce that leakage.</w:t>
      </w:r>
    </w:p>
    <w:p w14:paraId="58517305" w14:textId="77777777" w:rsidR="003C73A1" w:rsidRPr="00431004" w:rsidRDefault="003C73A1" w:rsidP="003C73A1">
      <w:pPr>
        <w:ind w:firstLine="720"/>
        <w:rPr>
          <w:sz w:val="12"/>
          <w:szCs w:val="12"/>
        </w:rPr>
      </w:pPr>
      <w:r w:rsidRPr="00431004">
        <w:rPr>
          <w:sz w:val="12"/>
          <w:szCs w:val="12"/>
        </w:rPr>
        <w:t xml:space="preserve">Having established the context, this section will provide a brief overview of the main features of the scope of application of the Directive: its </w:t>
      </w:r>
      <w:proofErr w:type="spellStart"/>
      <w:r w:rsidRPr="00431004">
        <w:rPr>
          <w:sz w:val="12"/>
          <w:szCs w:val="12"/>
        </w:rPr>
        <w:t>ratione</w:t>
      </w:r>
      <w:proofErr w:type="spellEnd"/>
      <w:r w:rsidRPr="00431004">
        <w:rPr>
          <w:sz w:val="12"/>
          <w:szCs w:val="12"/>
        </w:rPr>
        <w:t xml:space="preserve"> </w:t>
      </w:r>
      <w:proofErr w:type="spellStart"/>
      <w:r w:rsidRPr="00431004">
        <w:rPr>
          <w:sz w:val="12"/>
          <w:szCs w:val="12"/>
        </w:rPr>
        <w:t>materiae</w:t>
      </w:r>
      <w:proofErr w:type="spellEnd"/>
      <w:r w:rsidRPr="00431004">
        <w:rPr>
          <w:sz w:val="12"/>
          <w:szCs w:val="12"/>
        </w:rPr>
        <w:t xml:space="preserve"> and </w:t>
      </w:r>
      <w:proofErr w:type="spellStart"/>
      <w:r w:rsidRPr="00431004">
        <w:rPr>
          <w:sz w:val="12"/>
          <w:szCs w:val="12"/>
        </w:rPr>
        <w:t>ratione</w:t>
      </w:r>
      <w:proofErr w:type="spellEnd"/>
      <w:r w:rsidRPr="00431004">
        <w:rPr>
          <w:sz w:val="12"/>
          <w:szCs w:val="12"/>
        </w:rPr>
        <w:t xml:space="preserve"> personae.</w:t>
      </w:r>
    </w:p>
    <w:p w14:paraId="47B67124" w14:textId="77777777" w:rsidR="003C73A1" w:rsidRPr="00431004" w:rsidRDefault="003C73A1" w:rsidP="003C73A1">
      <w:pPr>
        <w:rPr>
          <w:sz w:val="14"/>
        </w:rPr>
      </w:pPr>
      <w:r w:rsidRPr="00431004">
        <w:rPr>
          <w:sz w:val="14"/>
        </w:rPr>
        <w:t xml:space="preserve">1. </w:t>
      </w:r>
      <w:proofErr w:type="spellStart"/>
      <w:r w:rsidRPr="00431004">
        <w:rPr>
          <w:sz w:val="14"/>
        </w:rPr>
        <w:t>Ratione</w:t>
      </w:r>
      <w:proofErr w:type="spellEnd"/>
      <w:r w:rsidRPr="00431004">
        <w:rPr>
          <w:sz w:val="14"/>
        </w:rPr>
        <w:t xml:space="preserve"> </w:t>
      </w:r>
      <w:proofErr w:type="spellStart"/>
      <w:r w:rsidRPr="00431004">
        <w:rPr>
          <w:sz w:val="14"/>
        </w:rPr>
        <w:t>materiae</w:t>
      </w:r>
      <w:proofErr w:type="spellEnd"/>
      <w:r w:rsidRPr="00431004">
        <w:rPr>
          <w:sz w:val="14"/>
        </w:rPr>
        <w:t xml:space="preserve"> In accordance with the principle of the attribution of competences, and </w:t>
      </w:r>
      <w:r w:rsidRPr="0082348E">
        <w:rPr>
          <w:u w:val="single"/>
        </w:rPr>
        <w:t xml:space="preserve">according to Article 2 of the </w:t>
      </w:r>
      <w:r w:rsidRPr="00431004">
        <w:rPr>
          <w:sz w:val="14"/>
        </w:rPr>
        <w:t xml:space="preserve">Directive, only “breaches of Union law” are covered by the Directive, specifically </w:t>
      </w:r>
      <w:r w:rsidRPr="00F058BC">
        <w:rPr>
          <w:b/>
          <w:bCs/>
          <w:highlight w:val="green"/>
          <w:u w:val="single"/>
        </w:rPr>
        <w:t>breaches</w:t>
      </w:r>
      <w:r w:rsidRPr="00F058BC">
        <w:rPr>
          <w:b/>
          <w:bCs/>
          <w:sz w:val="14"/>
          <w:highlight w:val="green"/>
        </w:rPr>
        <w:t xml:space="preserve"> </w:t>
      </w:r>
      <w:r w:rsidRPr="00F058BC">
        <w:rPr>
          <w:b/>
          <w:bCs/>
          <w:highlight w:val="green"/>
          <w:u w:val="single"/>
        </w:rPr>
        <w:t>that fall within the</w:t>
      </w:r>
      <w:r w:rsidRPr="0082348E">
        <w:rPr>
          <w:u w:val="single"/>
        </w:rPr>
        <w:t xml:space="preserve"> scope of the </w:t>
      </w:r>
      <w:r w:rsidRPr="00431004">
        <w:rPr>
          <w:sz w:val="14"/>
        </w:rPr>
        <w:t xml:space="preserve">legislative acts set out in the </w:t>
      </w:r>
      <w:r w:rsidRPr="00F058BC">
        <w:rPr>
          <w:highlight w:val="green"/>
          <w:u w:val="single"/>
        </w:rPr>
        <w:t>Directive</w:t>
      </w:r>
      <w:r w:rsidRPr="00431004">
        <w:rPr>
          <w:sz w:val="14"/>
        </w:rPr>
        <w:t xml:space="preserve">: pubic procurement; </w:t>
      </w:r>
      <w:r w:rsidRPr="00955B12">
        <w:rPr>
          <w:rStyle w:val="Emphasis"/>
        </w:rPr>
        <w:t>financial services</w:t>
      </w:r>
      <w:r w:rsidRPr="00955B12">
        <w:rPr>
          <w:sz w:val="14"/>
        </w:rPr>
        <w:t xml:space="preserve">, </w:t>
      </w:r>
      <w:r w:rsidRPr="00955B12">
        <w:rPr>
          <w:rStyle w:val="Emphasis"/>
        </w:rPr>
        <w:t>products and markets</w:t>
      </w:r>
      <w:r w:rsidRPr="00955B12">
        <w:rPr>
          <w:sz w:val="14"/>
        </w:rPr>
        <w:t xml:space="preserve">; the prevention of </w:t>
      </w:r>
      <w:r w:rsidRPr="00955B12">
        <w:rPr>
          <w:rStyle w:val="Emphasis"/>
        </w:rPr>
        <w:t>money laundering</w:t>
      </w:r>
      <w:r w:rsidRPr="00955B12">
        <w:rPr>
          <w:sz w:val="14"/>
        </w:rPr>
        <w:t xml:space="preserve"> and terrorist financing; </w:t>
      </w:r>
      <w:r w:rsidRPr="00955B12">
        <w:rPr>
          <w:rStyle w:val="Emphasis"/>
        </w:rPr>
        <w:t>product safety</w:t>
      </w:r>
      <w:r w:rsidRPr="00955B12">
        <w:rPr>
          <w:sz w:val="14"/>
        </w:rPr>
        <w:t xml:space="preserve">; </w:t>
      </w:r>
      <w:r w:rsidRPr="00955B12">
        <w:rPr>
          <w:rStyle w:val="Emphasis"/>
        </w:rPr>
        <w:t>transport safety</w:t>
      </w:r>
      <w:r w:rsidRPr="00955B12">
        <w:rPr>
          <w:sz w:val="14"/>
        </w:rPr>
        <w:t xml:space="preserve">; </w:t>
      </w:r>
      <w:r w:rsidRPr="00955B12">
        <w:rPr>
          <w:rStyle w:val="Emphasis"/>
        </w:rPr>
        <w:t>environmental protection</w:t>
      </w:r>
      <w:r w:rsidRPr="00955B12">
        <w:rPr>
          <w:sz w:val="14"/>
        </w:rPr>
        <w:t xml:space="preserve">; radiation and nuclear safety; </w:t>
      </w:r>
      <w:r w:rsidRPr="00955B12">
        <w:rPr>
          <w:rStyle w:val="Emphasis"/>
        </w:rPr>
        <w:t>food and nutritional safety</w:t>
      </w:r>
      <w:r w:rsidRPr="00431004">
        <w:rPr>
          <w:sz w:val="14"/>
        </w:rPr>
        <w:t xml:space="preserve">; </w:t>
      </w:r>
      <w:r w:rsidRPr="0082348E">
        <w:rPr>
          <w:rStyle w:val="Emphasis"/>
        </w:rPr>
        <w:t>animal health and welfare</w:t>
      </w:r>
      <w:r w:rsidRPr="00431004">
        <w:rPr>
          <w:sz w:val="14"/>
        </w:rPr>
        <w:t xml:space="preserve">; </w:t>
      </w:r>
      <w:r w:rsidRPr="00F058BC">
        <w:rPr>
          <w:rStyle w:val="Emphasis"/>
          <w:sz w:val="36"/>
          <w:szCs w:val="36"/>
          <w:highlight w:val="green"/>
        </w:rPr>
        <w:t>public health</w:t>
      </w:r>
      <w:r w:rsidRPr="00431004">
        <w:rPr>
          <w:sz w:val="14"/>
        </w:rPr>
        <w:t xml:space="preserve">; </w:t>
      </w:r>
      <w:r w:rsidRPr="0082348E">
        <w:rPr>
          <w:rStyle w:val="Emphasis"/>
        </w:rPr>
        <w:t>consumer protection</w:t>
      </w:r>
      <w:r w:rsidRPr="00431004">
        <w:rPr>
          <w:sz w:val="14"/>
        </w:rPr>
        <w:t xml:space="preserve">; the protection of privacy and personal data; and the security of networks and information </w:t>
      </w:r>
      <w:r w:rsidRPr="00431004">
        <w:rPr>
          <w:sz w:val="14"/>
        </w:rPr>
        <w:lastRenderedPageBreak/>
        <w:t xml:space="preserve">systems.14 </w:t>
      </w:r>
      <w:r w:rsidRPr="00F058BC">
        <w:rPr>
          <w:highlight w:val="green"/>
          <w:u w:val="single"/>
        </w:rPr>
        <w:t>Equally covered are</w:t>
      </w:r>
      <w:r w:rsidRPr="0082348E">
        <w:rPr>
          <w:u w:val="single"/>
        </w:rPr>
        <w:t xml:space="preserve"> breaches affecting the </w:t>
      </w:r>
      <w:r w:rsidRPr="00F058BC">
        <w:rPr>
          <w:rStyle w:val="Emphasis"/>
          <w:highlight w:val="green"/>
        </w:rPr>
        <w:t>financial interests</w:t>
      </w:r>
      <w:r w:rsidRPr="0082348E">
        <w:rPr>
          <w:u w:val="single"/>
        </w:rPr>
        <w:t xml:space="preserve"> of the Union and those relating to internal market violations</w:t>
      </w:r>
      <w:r w:rsidRPr="00431004">
        <w:rPr>
          <w:sz w:val="14"/>
        </w:rPr>
        <w:t xml:space="preserve">.15 In addition, </w:t>
      </w:r>
      <w:r w:rsidRPr="00F058BC">
        <w:rPr>
          <w:b/>
          <w:bCs/>
          <w:highlight w:val="green"/>
          <w:u w:val="single"/>
        </w:rPr>
        <w:t>the extensive list</w:t>
      </w:r>
      <w:r w:rsidRPr="0082348E">
        <w:rPr>
          <w:b/>
          <w:bCs/>
          <w:u w:val="single"/>
        </w:rPr>
        <w:t xml:space="preserve"> of matters</w:t>
      </w:r>
      <w:r w:rsidRPr="0082348E">
        <w:rPr>
          <w:u w:val="single"/>
        </w:rPr>
        <w:t xml:space="preserve"> encompassed by the Directive </w:t>
      </w:r>
      <w:r w:rsidRPr="00F058BC">
        <w:rPr>
          <w:rStyle w:val="Emphasis"/>
          <w:highlight w:val="green"/>
        </w:rPr>
        <w:t>is non-exhaustive</w:t>
      </w:r>
      <w:r w:rsidRPr="0082348E">
        <w:rPr>
          <w:u w:val="single"/>
        </w:rPr>
        <w:t xml:space="preserve"> insofar as it provides for the </w:t>
      </w:r>
      <w:r w:rsidRPr="0082348E">
        <w:rPr>
          <w:b/>
          <w:bCs/>
          <w:u w:val="single"/>
        </w:rPr>
        <w:t>possibility for Member</w:t>
      </w:r>
      <w:r w:rsidRPr="0082348E">
        <w:rPr>
          <w:u w:val="single"/>
        </w:rPr>
        <w:t xml:space="preserve"> </w:t>
      </w:r>
      <w:r w:rsidRPr="0082348E">
        <w:rPr>
          <w:b/>
          <w:bCs/>
          <w:u w:val="single"/>
        </w:rPr>
        <w:t>States to “extend protection</w:t>
      </w:r>
      <w:r w:rsidRPr="0082348E">
        <w:rPr>
          <w:u w:val="single"/>
        </w:rPr>
        <w:t xml:space="preserve"> under national law as regards areas or acts not covered</w:t>
      </w:r>
      <w:r w:rsidRPr="00431004">
        <w:rPr>
          <w:sz w:val="14"/>
        </w:rPr>
        <w:t xml:space="preserve"> (by the list supra)”. 16</w:t>
      </w:r>
    </w:p>
    <w:p w14:paraId="3D1F4240" w14:textId="77777777" w:rsidR="003C73A1" w:rsidRPr="00431004" w:rsidRDefault="003C73A1" w:rsidP="003C73A1">
      <w:pPr>
        <w:ind w:firstLine="720"/>
        <w:rPr>
          <w:sz w:val="12"/>
          <w:szCs w:val="12"/>
        </w:rPr>
      </w:pPr>
      <w:r w:rsidRPr="00431004">
        <w:rPr>
          <w:sz w:val="12"/>
          <w:szCs w:val="12"/>
        </w:rPr>
        <w:t>The notion of a breach is also defined broadly to include both acts and omissions that are either: (1) unlawful and fall within the areas listed in the previous paragraph; or (2) merely “defeat the object or the purpose” of the rules applicable to those areas.17</w:t>
      </w:r>
    </w:p>
    <w:p w14:paraId="733D78B9" w14:textId="77777777" w:rsidR="003C73A1" w:rsidRPr="00431004" w:rsidRDefault="003C73A1" w:rsidP="003C73A1">
      <w:pPr>
        <w:rPr>
          <w:sz w:val="14"/>
        </w:rPr>
      </w:pPr>
      <w:r w:rsidRPr="00431004">
        <w:rPr>
          <w:sz w:val="14"/>
        </w:rPr>
        <w:t xml:space="preserve">2. </w:t>
      </w:r>
      <w:proofErr w:type="spellStart"/>
      <w:r w:rsidRPr="00431004">
        <w:rPr>
          <w:sz w:val="14"/>
        </w:rPr>
        <w:t>Ratione</w:t>
      </w:r>
      <w:proofErr w:type="spellEnd"/>
      <w:r w:rsidRPr="00431004">
        <w:rPr>
          <w:sz w:val="14"/>
        </w:rPr>
        <w:t xml:space="preserve"> personae According to Article 4 of the Directive, protection is granted (only) to natural persons who have obtained information in a professional context, either in the private or public sector. Moreover, information obtained in the context of an employment-based relationship that has either ceased/concluded or has yet to begin, as well as during the recruitment process or in pre-contractual negotiations, is equally covered.18 The scope of the protection is therefore vast, covering workers, former employees or candidates; officials; the self-employed; volunteers; paid or unpaid trainees; shareholders; members of company managerial bodies, including non-executive members; and contractors, subcontractors and suppliers</w:t>
      </w:r>
      <w:r w:rsidRPr="00F058BC">
        <w:rPr>
          <w:sz w:val="14"/>
          <w:highlight w:val="green"/>
        </w:rPr>
        <w:t xml:space="preserve">. </w:t>
      </w:r>
      <w:r w:rsidRPr="00F058BC">
        <w:rPr>
          <w:highlight w:val="green"/>
          <w:u w:val="single"/>
        </w:rPr>
        <w:t xml:space="preserve">The Directive goes </w:t>
      </w:r>
      <w:r w:rsidRPr="00F058BC">
        <w:rPr>
          <w:rStyle w:val="Emphasis"/>
          <w:highlight w:val="green"/>
        </w:rPr>
        <w:t>further than most existing</w:t>
      </w:r>
      <w:r w:rsidRPr="0082348E">
        <w:rPr>
          <w:rStyle w:val="Emphasis"/>
        </w:rPr>
        <w:t xml:space="preserve"> national </w:t>
      </w:r>
      <w:r w:rsidRPr="00F058BC">
        <w:rPr>
          <w:rStyle w:val="Emphasis"/>
          <w:highlight w:val="green"/>
        </w:rPr>
        <w:t>legislation</w:t>
      </w:r>
      <w:r w:rsidRPr="0082348E">
        <w:rPr>
          <w:u w:val="single"/>
        </w:rPr>
        <w:t xml:space="preserve"> by extending the protective measures, if necessary, to natural persons connected to the reporting person</w:t>
      </w:r>
      <w:r w:rsidRPr="00431004">
        <w:rPr>
          <w:sz w:val="14"/>
        </w:rPr>
        <w:t xml:space="preserve">. As such, Article 4(4) allows “facilitators” and third parties who </w:t>
      </w:r>
      <w:proofErr w:type="gramStart"/>
      <w:r w:rsidRPr="00431004">
        <w:rPr>
          <w:sz w:val="14"/>
        </w:rPr>
        <w:t>are connected with</w:t>
      </w:r>
      <w:proofErr w:type="gramEnd"/>
      <w:r w:rsidRPr="00431004">
        <w:rPr>
          <w:sz w:val="14"/>
        </w:rPr>
        <w:t xml:space="preserve"> the reporting person and who could suffer retaliation in a work-related context, such as colleagues or relatives, to benefit from protection.19</w:t>
      </w:r>
    </w:p>
    <w:p w14:paraId="184D4B7E" w14:textId="77777777" w:rsidR="003C73A1" w:rsidRPr="00CF2724" w:rsidRDefault="003C73A1" w:rsidP="003C73A1">
      <w:pPr>
        <w:rPr>
          <w:sz w:val="12"/>
          <w:szCs w:val="12"/>
        </w:rPr>
      </w:pPr>
      <w:r w:rsidRPr="00CF2724">
        <w:rPr>
          <w:sz w:val="12"/>
          <w:szCs w:val="12"/>
        </w:rPr>
        <w:tab/>
        <w:t xml:space="preserve">Legal entities can also indirectly benefit from the protections offered by the Directive if the reporting person owns, works </w:t>
      </w:r>
      <w:proofErr w:type="gramStart"/>
      <w:r w:rsidRPr="00CF2724">
        <w:rPr>
          <w:sz w:val="12"/>
          <w:szCs w:val="12"/>
        </w:rPr>
        <w:t>for</w:t>
      </w:r>
      <w:proofErr w:type="gramEnd"/>
      <w:r w:rsidRPr="00CF2724">
        <w:rPr>
          <w:sz w:val="12"/>
          <w:szCs w:val="12"/>
        </w:rPr>
        <w:t xml:space="preserve"> or is otherwise professionally connected with that legal person.20 The reasons explaining why protections were not extended to legal entities in their own right are unclear, as are the potential justifications for this approach. </w:t>
      </w:r>
      <w:proofErr w:type="gramStart"/>
      <w:r w:rsidRPr="00CF2724">
        <w:rPr>
          <w:sz w:val="12"/>
          <w:szCs w:val="12"/>
        </w:rPr>
        <w:t>As a consequence</w:t>
      </w:r>
      <w:proofErr w:type="gramEnd"/>
      <w:r w:rsidRPr="00CF2724">
        <w:rPr>
          <w:sz w:val="12"/>
          <w:szCs w:val="12"/>
        </w:rPr>
        <w:t xml:space="preserve">, a non-governmental </w:t>
      </w:r>
      <w:proofErr w:type="spellStart"/>
      <w:r w:rsidRPr="00CF2724">
        <w:rPr>
          <w:sz w:val="12"/>
          <w:szCs w:val="12"/>
        </w:rPr>
        <w:t>organisation</w:t>
      </w:r>
      <w:proofErr w:type="spellEnd"/>
      <w:r w:rsidRPr="00CF2724">
        <w:rPr>
          <w:sz w:val="12"/>
          <w:szCs w:val="12"/>
        </w:rPr>
        <w:t xml:space="preserve"> (NGO) that is active in environmental protection and that discovers violations of EU environmental law would therefore not benefit from the protection offered by the Directive.</w:t>
      </w:r>
    </w:p>
    <w:p w14:paraId="6855E508" w14:textId="77777777" w:rsidR="003C73A1" w:rsidRPr="00431004" w:rsidRDefault="003C73A1" w:rsidP="003C73A1">
      <w:pPr>
        <w:rPr>
          <w:sz w:val="12"/>
          <w:szCs w:val="12"/>
        </w:rPr>
      </w:pPr>
      <w:r w:rsidRPr="00431004">
        <w:rPr>
          <w:sz w:val="12"/>
          <w:szCs w:val="12"/>
        </w:rPr>
        <w:t>III. REPORTING PROCEDURES21 The protection granted by the Directive is subject to two cumulative conditions.22 On the one hand, the reporting person must demonstrate a reasonable belief that the information provided was not only true at the time of the reporting, but that it also fell within the scope of the Directive. On the other hand, the person must comply with the reporting procedures provided in the Directive. Additionally, it appears that anonymous reporting is only partially protected under Article 6(2). It is up to the Member States to decide whether private or public entities and competent authorities are required to accept and follow up on anonymous reports. However, as stated in Recital 34 of the Directive, “[P]</w:t>
      </w:r>
      <w:proofErr w:type="spellStart"/>
      <w:r w:rsidRPr="00431004">
        <w:rPr>
          <w:sz w:val="12"/>
          <w:szCs w:val="12"/>
        </w:rPr>
        <w:t>ersons</w:t>
      </w:r>
      <w:proofErr w:type="spellEnd"/>
      <w:r w:rsidRPr="00431004">
        <w:rPr>
          <w:sz w:val="12"/>
          <w:szCs w:val="12"/>
        </w:rPr>
        <w:t xml:space="preserve"> who anonymously reported or who made anonymous public disclosures falling within the scope of this Directive and meet its conditions should enjoy protection under this Directive if they are subsequently identified and suffer retaliation”.</w:t>
      </w:r>
    </w:p>
    <w:p w14:paraId="42404FF4" w14:textId="77777777" w:rsidR="003C73A1" w:rsidRPr="00431004" w:rsidRDefault="003C73A1" w:rsidP="003C73A1">
      <w:pPr>
        <w:ind w:firstLine="720"/>
        <w:rPr>
          <w:sz w:val="12"/>
          <w:szCs w:val="12"/>
        </w:rPr>
      </w:pPr>
      <w:r w:rsidRPr="00431004">
        <w:rPr>
          <w:sz w:val="12"/>
          <w:szCs w:val="12"/>
        </w:rPr>
        <w:t xml:space="preserve">The design of the reporting procedure was one of the main sticking points in the negotiations between the Council and Parliament. The former, supported by countries including France, </w:t>
      </w:r>
      <w:proofErr w:type="gramStart"/>
      <w:r w:rsidRPr="00431004">
        <w:rPr>
          <w:sz w:val="12"/>
          <w:szCs w:val="12"/>
        </w:rPr>
        <w:t>Germany</w:t>
      </w:r>
      <w:proofErr w:type="gramEnd"/>
      <w:r w:rsidRPr="00431004">
        <w:rPr>
          <w:sz w:val="12"/>
          <w:szCs w:val="12"/>
        </w:rPr>
        <w:t xml:space="preserve"> and Italy, wanted to adopt a strict three-tiered reporting procedure; first, to the </w:t>
      </w:r>
      <w:proofErr w:type="spellStart"/>
      <w:r w:rsidRPr="00431004">
        <w:rPr>
          <w:sz w:val="12"/>
          <w:szCs w:val="12"/>
        </w:rPr>
        <w:t>organisation’s</w:t>
      </w:r>
      <w:proofErr w:type="spellEnd"/>
      <w:r w:rsidRPr="00431004">
        <w:rPr>
          <w:sz w:val="12"/>
          <w:szCs w:val="12"/>
        </w:rPr>
        <w:t xml:space="preserve"> internal channels; then to designated authorities; and finally – should all else fail – to the public generally. The Parliament, supported by the MEP Virginie </w:t>
      </w:r>
      <w:proofErr w:type="spellStart"/>
      <w:r w:rsidRPr="00431004">
        <w:rPr>
          <w:sz w:val="12"/>
          <w:szCs w:val="12"/>
        </w:rPr>
        <w:t>Rozière</w:t>
      </w:r>
      <w:proofErr w:type="spellEnd"/>
      <w:r w:rsidRPr="00431004">
        <w:rPr>
          <w:sz w:val="12"/>
          <w:szCs w:val="12"/>
        </w:rPr>
        <w:t xml:space="preserve"> – the Directive’s rapporteur – advocated for a more flexible approach, allowing whistleblowers to make reports through any of these three channels from the outset.23</w:t>
      </w:r>
    </w:p>
    <w:p w14:paraId="38481AA2" w14:textId="77777777" w:rsidR="003C73A1" w:rsidRPr="00431004" w:rsidRDefault="003C73A1" w:rsidP="003C73A1">
      <w:pPr>
        <w:ind w:firstLine="720"/>
        <w:rPr>
          <w:sz w:val="14"/>
        </w:rPr>
      </w:pPr>
      <w:r w:rsidRPr="00431004">
        <w:rPr>
          <w:sz w:val="14"/>
        </w:rPr>
        <w:t>An intermediate position, in line with that of Transparency International France,24 was ultimately adopted. The text of the Directive opts for a reporting procedure that allows the whistleblower to make reports either through internal channels or to external agencies in the first instance. Accordingly</w:t>
      </w:r>
      <w:r w:rsidRPr="00431004">
        <w:rPr>
          <w:u w:val="single"/>
        </w:rPr>
        <w:t>, the Directive imposes obligations on all public and private legal entities to establish internal channels for employee reporting</w:t>
      </w:r>
      <w:r w:rsidRPr="00431004">
        <w:rPr>
          <w:sz w:val="14"/>
        </w:rPr>
        <w:t xml:space="preserve">.25 Member States are also required to establish external reporting channels and to follow up on reports.26 Public disclosures are generally only permitted if a first report, whether internal or through an external agency, failed to elicit an appropriate response within three months.27 However, </w:t>
      </w:r>
      <w:r w:rsidRPr="00431004">
        <w:rPr>
          <w:u w:val="single"/>
        </w:rPr>
        <w:t>direct public disclosure is permitted in case of imminent and evident danger to the public interest, where there is a risk of retaliation or a low likelihood of effective handling of the report through</w:t>
      </w:r>
      <w:r w:rsidRPr="00431004">
        <w:rPr>
          <w:sz w:val="14"/>
        </w:rPr>
        <w:t xml:space="preserve"> the </w:t>
      </w:r>
      <w:r w:rsidRPr="00431004">
        <w:rPr>
          <w:u w:val="single"/>
        </w:rPr>
        <w:t>internal</w:t>
      </w:r>
      <w:r w:rsidRPr="00431004">
        <w:rPr>
          <w:sz w:val="14"/>
        </w:rPr>
        <w:t xml:space="preserve"> or external agency reporting </w:t>
      </w:r>
      <w:r w:rsidRPr="00431004">
        <w:rPr>
          <w:b/>
          <w:bCs/>
          <w:u w:val="single"/>
        </w:rPr>
        <w:t>procedure</w:t>
      </w:r>
      <w:r w:rsidRPr="00431004">
        <w:rPr>
          <w:sz w:val="14"/>
        </w:rPr>
        <w:t>.28</w:t>
      </w:r>
    </w:p>
    <w:p w14:paraId="41328E45" w14:textId="77777777" w:rsidR="003C73A1" w:rsidRPr="00006DFC" w:rsidRDefault="003C73A1" w:rsidP="003C73A1">
      <w:pPr>
        <w:rPr>
          <w:u w:val="single"/>
        </w:rPr>
      </w:pPr>
      <w:r w:rsidRPr="00006DFC">
        <w:rPr>
          <w:sz w:val="14"/>
        </w:rPr>
        <w:t xml:space="preserve">IV. TOOLS OF PROTECTION </w:t>
      </w:r>
      <w:r w:rsidRPr="00006DFC">
        <w:rPr>
          <w:u w:val="single"/>
        </w:rPr>
        <w:t xml:space="preserve">At the heart of the Directive’s mechanism are a series of tools to </w:t>
      </w:r>
      <w:r w:rsidRPr="00006DFC">
        <w:rPr>
          <w:b/>
          <w:bCs/>
          <w:u w:val="single"/>
        </w:rPr>
        <w:t>protect the whistleblower</w:t>
      </w:r>
      <w:r w:rsidRPr="00006DFC">
        <w:rPr>
          <w:u w:val="single"/>
        </w:rPr>
        <w:t xml:space="preserve"> and punish those who do not respect these protections.</w:t>
      </w:r>
    </w:p>
    <w:p w14:paraId="4B88C99A" w14:textId="77777777" w:rsidR="003C73A1" w:rsidRPr="00FC33BB" w:rsidRDefault="003C73A1" w:rsidP="003C73A1">
      <w:pPr>
        <w:rPr>
          <w:u w:val="single"/>
        </w:rPr>
      </w:pPr>
      <w:r w:rsidRPr="00006DFC">
        <w:rPr>
          <w:sz w:val="14"/>
        </w:rPr>
        <w:t xml:space="preserve">1. Protective measures </w:t>
      </w:r>
      <w:proofErr w:type="gramStart"/>
      <w:r w:rsidRPr="00006DFC">
        <w:rPr>
          <w:sz w:val="14"/>
        </w:rPr>
        <w:t>The</w:t>
      </w:r>
      <w:proofErr w:type="gramEnd"/>
      <w:r w:rsidRPr="00006DFC">
        <w:rPr>
          <w:sz w:val="14"/>
        </w:rPr>
        <w:t xml:space="preserve"> toolbox offered by the</w:t>
      </w:r>
      <w:r w:rsidRPr="00431004">
        <w:rPr>
          <w:sz w:val="14"/>
        </w:rPr>
        <w:t xml:space="preserve"> new Directive includes </w:t>
      </w:r>
      <w:r w:rsidRPr="00F058BC">
        <w:rPr>
          <w:rStyle w:val="Emphasis"/>
          <w:highlight w:val="green"/>
        </w:rPr>
        <w:t>the prohibition of retaliation</w:t>
      </w:r>
      <w:r w:rsidRPr="00431004">
        <w:rPr>
          <w:sz w:val="14"/>
        </w:rPr>
        <w:t xml:space="preserve">, a system of </w:t>
      </w:r>
      <w:r w:rsidRPr="00F058BC">
        <w:rPr>
          <w:rStyle w:val="Emphasis"/>
          <w:highlight w:val="green"/>
        </w:rPr>
        <w:t>compensation for damages</w:t>
      </w:r>
      <w:r w:rsidRPr="00F058BC">
        <w:rPr>
          <w:sz w:val="14"/>
          <w:highlight w:val="green"/>
        </w:rPr>
        <w:t xml:space="preserve">, </w:t>
      </w:r>
      <w:r w:rsidRPr="00F058BC">
        <w:rPr>
          <w:rStyle w:val="Emphasis"/>
          <w:highlight w:val="green"/>
        </w:rPr>
        <w:t>legal support</w:t>
      </w:r>
      <w:r w:rsidRPr="00F058BC">
        <w:rPr>
          <w:sz w:val="14"/>
          <w:highlight w:val="green"/>
        </w:rPr>
        <w:t xml:space="preserve"> </w:t>
      </w:r>
      <w:r w:rsidRPr="00F058BC">
        <w:rPr>
          <w:highlight w:val="green"/>
          <w:u w:val="single"/>
        </w:rPr>
        <w:t>and</w:t>
      </w:r>
      <w:r w:rsidRPr="00F058BC">
        <w:rPr>
          <w:sz w:val="14"/>
          <w:highlight w:val="green"/>
        </w:rPr>
        <w:t xml:space="preserve"> </w:t>
      </w:r>
      <w:r w:rsidRPr="00F058BC">
        <w:rPr>
          <w:rStyle w:val="Emphasis"/>
          <w:highlight w:val="green"/>
        </w:rPr>
        <w:t>confidentiality</w:t>
      </w:r>
      <w:r w:rsidRPr="00431004">
        <w:rPr>
          <w:sz w:val="14"/>
        </w:rPr>
        <w:t>.</w:t>
      </w:r>
    </w:p>
    <w:p w14:paraId="59AAFF4C" w14:textId="77777777" w:rsidR="003C73A1" w:rsidRPr="00006DFC" w:rsidRDefault="003C73A1" w:rsidP="003C73A1">
      <w:pPr>
        <w:ind w:firstLine="720"/>
        <w:rPr>
          <w:rStyle w:val="StyleUnderline"/>
        </w:rPr>
      </w:pPr>
      <w:r w:rsidRPr="00431004">
        <w:rPr>
          <w:u w:val="single"/>
        </w:rPr>
        <w:t xml:space="preserve">Among the protections granted to whistleblowers, the adopted </w:t>
      </w:r>
      <w:r w:rsidRPr="00431004">
        <w:rPr>
          <w:rStyle w:val="Emphasis"/>
        </w:rPr>
        <w:t>text prohibits any form of retaliation</w:t>
      </w:r>
      <w:r w:rsidRPr="00431004">
        <w:rPr>
          <w:u w:val="single"/>
        </w:rPr>
        <w:t xml:space="preserve">, including threats and attempts at retaliation, whether </w:t>
      </w:r>
      <w:r w:rsidRPr="00431004">
        <w:rPr>
          <w:b/>
          <w:bCs/>
          <w:u w:val="single"/>
        </w:rPr>
        <w:t>direct</w:t>
      </w:r>
      <w:r w:rsidRPr="00431004">
        <w:rPr>
          <w:u w:val="single"/>
        </w:rPr>
        <w:t xml:space="preserve"> or </w:t>
      </w:r>
      <w:r w:rsidRPr="00431004">
        <w:rPr>
          <w:b/>
          <w:bCs/>
          <w:u w:val="single"/>
        </w:rPr>
        <w:t>indirect</w:t>
      </w:r>
      <w:r w:rsidRPr="00431004">
        <w:rPr>
          <w:u w:val="single"/>
        </w:rPr>
        <w:t>.</w:t>
      </w:r>
      <w:r w:rsidRPr="00EC2C73">
        <w:rPr>
          <w:sz w:val="14"/>
        </w:rPr>
        <w:t xml:space="preserve"> A long and non-exhaustive list of examples is presented in Article 19.29 On reading this list, the European legislators’ intention to provide a definition of a “whistleblower” that covers </w:t>
      </w:r>
      <w:proofErr w:type="gramStart"/>
      <w:r w:rsidRPr="00EC2C73">
        <w:rPr>
          <w:sz w:val="14"/>
        </w:rPr>
        <w:t>all of</w:t>
      </w:r>
      <w:proofErr w:type="gramEnd"/>
      <w:r w:rsidRPr="00EC2C73">
        <w:rPr>
          <w:sz w:val="14"/>
        </w:rPr>
        <w:t xml:space="preserve"> its professional dimensions – in such a way as to protect them from all direct and indirect discrimination – is clearly evident. </w:t>
      </w:r>
      <w:r w:rsidRPr="00431004">
        <w:rPr>
          <w:rStyle w:val="Emphasis"/>
        </w:rPr>
        <w:t xml:space="preserve">The </w:t>
      </w:r>
      <w:r w:rsidRPr="009B55DC">
        <w:rPr>
          <w:rStyle w:val="Emphasis"/>
        </w:rPr>
        <w:t xml:space="preserve">European </w:t>
      </w:r>
      <w:r w:rsidRPr="00F058BC">
        <w:rPr>
          <w:rStyle w:val="Emphasis"/>
          <w:highlight w:val="green"/>
        </w:rPr>
        <w:t>legislators have</w:t>
      </w:r>
      <w:r w:rsidRPr="00431004">
        <w:rPr>
          <w:rStyle w:val="Emphasis"/>
        </w:rPr>
        <w:t xml:space="preserve"> also </w:t>
      </w:r>
      <w:r w:rsidRPr="00F058BC">
        <w:rPr>
          <w:rStyle w:val="Emphasis"/>
          <w:sz w:val="32"/>
          <w:szCs w:val="32"/>
          <w:highlight w:val="green"/>
        </w:rPr>
        <w:t xml:space="preserve">reversed the burden of proof in </w:t>
      </w:r>
      <w:r w:rsidRPr="00F058BC">
        <w:rPr>
          <w:rStyle w:val="StyleUnderline"/>
          <w:highlight w:val="green"/>
        </w:rPr>
        <w:t>retaliation</w:t>
      </w:r>
      <w:r w:rsidRPr="00006DFC">
        <w:rPr>
          <w:rStyle w:val="StyleUnderline"/>
        </w:rPr>
        <w:t xml:space="preserve"> proceedings, as the </w:t>
      </w:r>
      <w:r w:rsidRPr="00F058BC">
        <w:rPr>
          <w:rStyle w:val="StyleUnderline"/>
          <w:highlight w:val="green"/>
        </w:rPr>
        <w:t>employer must now prove</w:t>
      </w:r>
      <w:r w:rsidRPr="00006DFC">
        <w:rPr>
          <w:rStyle w:val="StyleUnderline"/>
        </w:rPr>
        <w:t xml:space="preserve"> that the </w:t>
      </w:r>
      <w:r w:rsidRPr="00F058BC">
        <w:rPr>
          <w:rStyle w:val="StyleUnderline"/>
          <w:highlight w:val="green"/>
        </w:rPr>
        <w:t>action</w:t>
      </w:r>
      <w:r w:rsidRPr="00006DFC">
        <w:rPr>
          <w:rStyle w:val="StyleUnderline"/>
        </w:rPr>
        <w:t xml:space="preserve"> taken </w:t>
      </w:r>
      <w:r w:rsidRPr="00F058BC">
        <w:rPr>
          <w:rStyle w:val="StyleUnderline"/>
          <w:highlight w:val="green"/>
        </w:rPr>
        <w:t>against the whistleblower was not</w:t>
      </w:r>
      <w:r w:rsidRPr="00006DFC">
        <w:rPr>
          <w:rStyle w:val="StyleUnderline"/>
        </w:rPr>
        <w:t xml:space="preserve"> the </w:t>
      </w:r>
      <w:r w:rsidRPr="00F058BC">
        <w:rPr>
          <w:rStyle w:val="StyleUnderline"/>
          <w:highlight w:val="green"/>
        </w:rPr>
        <w:t>consequence of</w:t>
      </w:r>
      <w:r w:rsidRPr="00006DFC">
        <w:rPr>
          <w:rStyle w:val="StyleUnderline"/>
        </w:rPr>
        <w:t xml:space="preserve"> their </w:t>
      </w:r>
      <w:r w:rsidRPr="00F058BC">
        <w:rPr>
          <w:rStyle w:val="StyleUnderline"/>
          <w:highlight w:val="green"/>
        </w:rPr>
        <w:t>whistleblowing activities</w:t>
      </w:r>
      <w:r w:rsidRPr="00006DFC">
        <w:rPr>
          <w:rStyle w:val="StyleUnderline"/>
        </w:rPr>
        <w:t>.30</w:t>
      </w:r>
    </w:p>
    <w:p w14:paraId="1010E519" w14:textId="77777777" w:rsidR="003C73A1" w:rsidRPr="00EC2C73" w:rsidRDefault="003C73A1" w:rsidP="003C73A1">
      <w:pPr>
        <w:ind w:firstLine="720"/>
        <w:rPr>
          <w:sz w:val="14"/>
        </w:rPr>
      </w:pPr>
      <w:r w:rsidRPr="00EC2C73">
        <w:rPr>
          <w:sz w:val="14"/>
        </w:rPr>
        <w:t>In complement to the prohibition against retaliation, the Directive obliges Member States to protect reporting persons against reprisals</w:t>
      </w:r>
      <w:r w:rsidRPr="00431004">
        <w:rPr>
          <w:u w:val="single"/>
        </w:rPr>
        <w:t xml:space="preserve">. </w:t>
      </w:r>
      <w:r w:rsidRPr="00F058BC">
        <w:rPr>
          <w:rStyle w:val="Emphasis"/>
          <w:highlight w:val="green"/>
        </w:rPr>
        <w:t>Whistleblowers are protected</w:t>
      </w:r>
      <w:r w:rsidRPr="00F058BC">
        <w:rPr>
          <w:highlight w:val="green"/>
          <w:u w:val="single"/>
        </w:rPr>
        <w:t xml:space="preserve"> from</w:t>
      </w:r>
      <w:r w:rsidRPr="00431004">
        <w:rPr>
          <w:u w:val="single"/>
        </w:rPr>
        <w:t xml:space="preserve"> civil and </w:t>
      </w:r>
      <w:r w:rsidRPr="00EC2C73">
        <w:rPr>
          <w:u w:val="single"/>
        </w:rPr>
        <w:t xml:space="preserve">criminal </w:t>
      </w:r>
      <w:r w:rsidRPr="00F058BC">
        <w:rPr>
          <w:highlight w:val="green"/>
          <w:u w:val="single"/>
        </w:rPr>
        <w:t xml:space="preserve">liability so long as </w:t>
      </w:r>
      <w:r w:rsidRPr="00F058BC">
        <w:rPr>
          <w:rStyle w:val="Emphasis"/>
          <w:highlight w:val="green"/>
        </w:rPr>
        <w:t xml:space="preserve">they had </w:t>
      </w:r>
      <w:r w:rsidRPr="00F058BC">
        <w:rPr>
          <w:rStyle w:val="Emphasis"/>
          <w:highlight w:val="green"/>
        </w:rPr>
        <w:lastRenderedPageBreak/>
        <w:t>reasonable grounds</w:t>
      </w:r>
      <w:r w:rsidRPr="00431004">
        <w:rPr>
          <w:u w:val="single"/>
        </w:rPr>
        <w:t xml:space="preserve"> to believe that </w:t>
      </w:r>
      <w:r w:rsidRPr="00431004">
        <w:rPr>
          <w:rStyle w:val="Emphasis"/>
        </w:rPr>
        <w:t xml:space="preserve">their </w:t>
      </w:r>
      <w:r w:rsidRPr="00F058BC">
        <w:rPr>
          <w:rStyle w:val="Emphasis"/>
          <w:highlight w:val="green"/>
        </w:rPr>
        <w:t>disclosure was necessary</w:t>
      </w:r>
      <w:r w:rsidRPr="00431004">
        <w:rPr>
          <w:u w:val="single"/>
        </w:rPr>
        <w:t xml:space="preserve"> to reveal a relevant infringement</w:t>
      </w:r>
      <w:r w:rsidRPr="00EC2C73">
        <w:rPr>
          <w:sz w:val="14"/>
        </w:rPr>
        <w:t xml:space="preserve">.31 </w:t>
      </w:r>
    </w:p>
    <w:p w14:paraId="7331A56E" w14:textId="77777777" w:rsidR="003C73A1" w:rsidRPr="00EC2C73" w:rsidRDefault="003C73A1" w:rsidP="003C73A1">
      <w:pPr>
        <w:ind w:firstLine="720"/>
      </w:pPr>
      <w:r w:rsidRPr="00EC2C73">
        <w:t xml:space="preserve">Moreover, </w:t>
      </w:r>
      <w:r w:rsidRPr="00431004">
        <w:rPr>
          <w:rStyle w:val="Emphasis"/>
        </w:rPr>
        <w:t xml:space="preserve">the Directive requires full </w:t>
      </w:r>
      <w:r w:rsidRPr="00431004">
        <w:rPr>
          <w:rStyle w:val="Emphasis"/>
          <w:b w:val="0"/>
          <w:bCs/>
        </w:rPr>
        <w:t>compensation</w:t>
      </w:r>
      <w:r w:rsidRPr="00431004">
        <w:rPr>
          <w:b/>
          <w:bCs/>
          <w:u w:val="single"/>
        </w:rPr>
        <w:t xml:space="preserve"> for damages suffered</w:t>
      </w:r>
      <w:r w:rsidRPr="00431004">
        <w:rPr>
          <w:u w:val="single"/>
        </w:rPr>
        <w:t xml:space="preserve"> by the </w:t>
      </w:r>
      <w:r w:rsidRPr="00431004">
        <w:rPr>
          <w:b/>
          <w:bCs/>
          <w:u w:val="single"/>
        </w:rPr>
        <w:t>whistleblower</w:t>
      </w:r>
      <w:r w:rsidRPr="00431004">
        <w:rPr>
          <w:u w:val="single"/>
        </w:rPr>
        <w:t>, as determined by and in accordance with national law</w:t>
      </w:r>
      <w:r w:rsidRPr="00EC2C73">
        <w:t>.32</w:t>
      </w:r>
    </w:p>
    <w:p w14:paraId="52A45363" w14:textId="77777777" w:rsidR="003C73A1" w:rsidRPr="00431004" w:rsidRDefault="003C73A1" w:rsidP="003C73A1">
      <w:pPr>
        <w:ind w:firstLine="720"/>
        <w:rPr>
          <w:u w:val="single"/>
        </w:rPr>
      </w:pPr>
      <w:r w:rsidRPr="00EC2C73">
        <w:rPr>
          <w:sz w:val="14"/>
        </w:rPr>
        <w:t xml:space="preserve">According to Article 20, </w:t>
      </w:r>
      <w:r w:rsidRPr="00431004">
        <w:rPr>
          <w:u w:val="single"/>
        </w:rPr>
        <w:t xml:space="preserve">Member </w:t>
      </w:r>
      <w:r w:rsidRPr="00431004">
        <w:rPr>
          <w:b/>
          <w:bCs/>
          <w:u w:val="single"/>
        </w:rPr>
        <w:t>States are</w:t>
      </w:r>
      <w:r w:rsidRPr="00431004">
        <w:rPr>
          <w:u w:val="single"/>
        </w:rPr>
        <w:t xml:space="preserve"> also </w:t>
      </w:r>
      <w:r w:rsidRPr="00431004">
        <w:rPr>
          <w:rStyle w:val="Emphasis"/>
        </w:rPr>
        <w:t>required</w:t>
      </w:r>
      <w:r w:rsidRPr="00431004">
        <w:rPr>
          <w:u w:val="single"/>
        </w:rPr>
        <w:t xml:space="preserve"> to implement </w:t>
      </w:r>
      <w:r w:rsidRPr="00431004">
        <w:rPr>
          <w:rStyle w:val="Emphasis"/>
        </w:rPr>
        <w:t>measures in support of whistleblowers</w:t>
      </w:r>
      <w:r w:rsidRPr="00431004">
        <w:rPr>
          <w:u w:val="single"/>
        </w:rPr>
        <w:t xml:space="preserve">, providing access to </w:t>
      </w:r>
      <w:r w:rsidRPr="00431004">
        <w:rPr>
          <w:b/>
          <w:bCs/>
          <w:u w:val="single"/>
        </w:rPr>
        <w:t>free and independent</w:t>
      </w:r>
      <w:r w:rsidRPr="00431004">
        <w:rPr>
          <w:u w:val="single"/>
        </w:rPr>
        <w:t xml:space="preserve"> information and </w:t>
      </w:r>
      <w:r w:rsidRPr="00431004">
        <w:rPr>
          <w:b/>
          <w:bCs/>
          <w:u w:val="single"/>
        </w:rPr>
        <w:t>advice</w:t>
      </w:r>
      <w:r w:rsidRPr="00431004">
        <w:rPr>
          <w:u w:val="single"/>
        </w:rPr>
        <w:t xml:space="preserve">, effective assistance from the authorities and </w:t>
      </w:r>
      <w:r w:rsidRPr="00431004">
        <w:rPr>
          <w:rStyle w:val="Emphasis"/>
        </w:rPr>
        <w:t>legal assistance</w:t>
      </w:r>
      <w:r w:rsidRPr="00431004">
        <w:rPr>
          <w:u w:val="single"/>
        </w:rPr>
        <w:t xml:space="preserve"> in criminal or civil proceedings. In addition, Member States have the possibility to provide </w:t>
      </w:r>
      <w:r w:rsidRPr="00431004">
        <w:rPr>
          <w:rStyle w:val="Emphasis"/>
        </w:rPr>
        <w:t>financial assistance</w:t>
      </w:r>
      <w:r w:rsidRPr="00431004">
        <w:rPr>
          <w:u w:val="single"/>
        </w:rPr>
        <w:t xml:space="preserve"> and </w:t>
      </w:r>
      <w:r w:rsidRPr="00431004">
        <w:rPr>
          <w:rStyle w:val="Emphasis"/>
        </w:rPr>
        <w:t>psychological support.</w:t>
      </w:r>
    </w:p>
    <w:p w14:paraId="051FE27F" w14:textId="77777777" w:rsidR="003C73A1" w:rsidRPr="00431004" w:rsidRDefault="003C73A1" w:rsidP="003C73A1">
      <w:pPr>
        <w:ind w:firstLine="720"/>
      </w:pPr>
      <w:r w:rsidRPr="00431004">
        <w:t xml:space="preserve">The adopted text also guarantees the </w:t>
      </w:r>
      <w:r w:rsidRPr="00431004">
        <w:rPr>
          <w:rStyle w:val="Emphasis"/>
        </w:rPr>
        <w:t>confidentiality</w:t>
      </w:r>
      <w:r w:rsidRPr="00431004">
        <w:rPr>
          <w:u w:val="single"/>
        </w:rPr>
        <w:t xml:space="preserve"> of any person subject to proceedings </w:t>
      </w:r>
      <w:proofErr w:type="gramStart"/>
      <w:r w:rsidRPr="00431004">
        <w:rPr>
          <w:u w:val="single"/>
        </w:rPr>
        <w:t>as long as</w:t>
      </w:r>
      <w:proofErr w:type="gramEnd"/>
      <w:r w:rsidRPr="00431004">
        <w:rPr>
          <w:u w:val="single"/>
        </w:rPr>
        <w:t xml:space="preserve"> the investigation is ongoing, as well as the right to an effective remedy</w:t>
      </w:r>
      <w:r w:rsidRPr="00431004">
        <w:t>.33</w:t>
      </w:r>
    </w:p>
    <w:p w14:paraId="3340DA56" w14:textId="77777777" w:rsidR="003C73A1" w:rsidRPr="00EC2C73" w:rsidRDefault="003C73A1" w:rsidP="003C73A1">
      <w:pPr>
        <w:ind w:firstLine="720"/>
        <w:rPr>
          <w:sz w:val="12"/>
          <w:szCs w:val="12"/>
        </w:rPr>
      </w:pPr>
      <w:r w:rsidRPr="00EC2C73">
        <w:rPr>
          <w:sz w:val="12"/>
          <w:szCs w:val="12"/>
        </w:rPr>
        <w:t>Evidence from the US experience in designing whistleblower laws suggests that measures strengthening whistleblower protections have a lesser influence on rates of disclosure than measures that increase the likelihood of a financial award for disclosures leading to successful prosecution.34 Intuitively, one might be concerned that financial incentives could raise the risk and costs associated with false reports. However, the evidential support for this position appears to be quite limited.35 The silence of the text of the Directive on this issue therefore seems to be a missed opportunity.</w:t>
      </w:r>
    </w:p>
    <w:p w14:paraId="5A04D18F" w14:textId="77777777" w:rsidR="003C73A1" w:rsidRPr="00EC2C73" w:rsidRDefault="003C73A1" w:rsidP="003C73A1">
      <w:pPr>
        <w:rPr>
          <w:sz w:val="12"/>
          <w:szCs w:val="12"/>
        </w:rPr>
      </w:pPr>
      <w:r w:rsidRPr="00EC2C73">
        <w:rPr>
          <w:sz w:val="12"/>
          <w:szCs w:val="12"/>
        </w:rPr>
        <w:t xml:space="preserve">2. Sanctions </w:t>
      </w:r>
      <w:proofErr w:type="gramStart"/>
      <w:r w:rsidRPr="00EC2C73">
        <w:rPr>
          <w:sz w:val="12"/>
          <w:szCs w:val="12"/>
        </w:rPr>
        <w:t>The</w:t>
      </w:r>
      <w:proofErr w:type="gramEnd"/>
      <w:r w:rsidRPr="00EC2C73">
        <w:rPr>
          <w:sz w:val="12"/>
          <w:szCs w:val="12"/>
        </w:rPr>
        <w:t xml:space="preserve"> Directive requires Member States to implement effective, proportionate and dissuasive penalties applicable to natural and legal persons in the event of: obstruction or the attempted obstruction of reporting; retaliation and vexatious proceedings against whistleblowers; as well as breaches of the duty to maintain the confidentiality of the identity of reporting persons.36 </w:t>
      </w:r>
    </w:p>
    <w:p w14:paraId="05E83D42" w14:textId="77777777" w:rsidR="003C73A1" w:rsidRPr="00EC2C73" w:rsidRDefault="003C73A1" w:rsidP="003C73A1">
      <w:pPr>
        <w:ind w:firstLine="720"/>
        <w:rPr>
          <w:sz w:val="12"/>
          <w:szCs w:val="12"/>
        </w:rPr>
      </w:pPr>
      <w:r w:rsidRPr="00EC2C73">
        <w:rPr>
          <w:sz w:val="12"/>
          <w:szCs w:val="12"/>
        </w:rPr>
        <w:t xml:space="preserve">The Directive also provides for effective, </w:t>
      </w:r>
      <w:proofErr w:type="gramStart"/>
      <w:r w:rsidRPr="00EC2C73">
        <w:rPr>
          <w:sz w:val="12"/>
          <w:szCs w:val="12"/>
        </w:rPr>
        <w:t>proportionate</w:t>
      </w:r>
      <w:proofErr w:type="gramEnd"/>
      <w:r w:rsidRPr="00EC2C73">
        <w:rPr>
          <w:sz w:val="12"/>
          <w:szCs w:val="12"/>
        </w:rPr>
        <w:t xml:space="preserve"> and dissuasive sanctions against persons knowingly making false reports or false public disclosures, as well as compensation measures in accordance with national law.37 </w:t>
      </w:r>
    </w:p>
    <w:p w14:paraId="3982CC71" w14:textId="77777777" w:rsidR="003C73A1" w:rsidRPr="00EC2C73" w:rsidRDefault="003C73A1" w:rsidP="003C73A1">
      <w:pPr>
        <w:ind w:firstLine="720"/>
        <w:rPr>
          <w:sz w:val="12"/>
          <w:szCs w:val="12"/>
        </w:rPr>
      </w:pPr>
      <w:r w:rsidRPr="00EC2C73">
        <w:rPr>
          <w:sz w:val="12"/>
          <w:szCs w:val="12"/>
        </w:rPr>
        <w:t xml:space="preserve">It should be noted that the original text proposed by the Commission included a specific penalty for malicious or abusive reports. Nevertheless, in line with the Rapporteur’s position, this </w:t>
      </w:r>
      <w:proofErr w:type="gramStart"/>
      <w:r w:rsidRPr="00EC2C73">
        <w:rPr>
          <w:sz w:val="12"/>
          <w:szCs w:val="12"/>
        </w:rPr>
        <w:t>particular sanction</w:t>
      </w:r>
      <w:proofErr w:type="gramEnd"/>
      <w:r w:rsidRPr="00EC2C73">
        <w:rPr>
          <w:sz w:val="12"/>
          <w:szCs w:val="12"/>
        </w:rPr>
        <w:t xml:space="preserve"> was removed from the final draft of the Directive without being replaced. As a result, in case of abusive reporting, existing national laws on slander and defamation may apply. </w:t>
      </w:r>
    </w:p>
    <w:p w14:paraId="69E9DF1E" w14:textId="77777777" w:rsidR="003C73A1" w:rsidRPr="00EC2C73" w:rsidRDefault="003C73A1" w:rsidP="003C73A1">
      <w:pPr>
        <w:ind w:firstLine="720"/>
        <w:rPr>
          <w:sz w:val="12"/>
          <w:szCs w:val="12"/>
        </w:rPr>
      </w:pPr>
      <w:r w:rsidRPr="00EC2C73">
        <w:rPr>
          <w:sz w:val="12"/>
          <w:szCs w:val="12"/>
        </w:rPr>
        <w:t xml:space="preserve">The approach to sanctions under the Directive can be </w:t>
      </w:r>
      <w:proofErr w:type="spellStart"/>
      <w:r w:rsidRPr="00EC2C73">
        <w:rPr>
          <w:sz w:val="12"/>
          <w:szCs w:val="12"/>
        </w:rPr>
        <w:t>criticised</w:t>
      </w:r>
      <w:proofErr w:type="spellEnd"/>
      <w:r w:rsidRPr="00EC2C73">
        <w:rPr>
          <w:sz w:val="12"/>
          <w:szCs w:val="12"/>
        </w:rPr>
        <w:t xml:space="preserve"> in at least two ways. Foremost, not all obligations under the Directive are in fact subject to sanctions. For instance, certain NGOs </w:t>
      </w:r>
      <w:proofErr w:type="spellStart"/>
      <w:r w:rsidRPr="00EC2C73">
        <w:rPr>
          <w:sz w:val="12"/>
          <w:szCs w:val="12"/>
        </w:rPr>
        <w:t>criticise</w:t>
      </w:r>
      <w:proofErr w:type="spellEnd"/>
      <w:r w:rsidRPr="00EC2C73">
        <w:rPr>
          <w:sz w:val="12"/>
          <w:szCs w:val="12"/>
        </w:rPr>
        <w:t xml:space="preserve"> the Directive for the lack of sanctions against failures to implement internal reporting procedures, failures to follow up on reports and failures to inform whistleblowers of the steps taken following a report.38 </w:t>
      </w:r>
    </w:p>
    <w:p w14:paraId="4C217A75" w14:textId="77777777" w:rsidR="003C73A1" w:rsidRPr="00EC2C73" w:rsidRDefault="003C73A1" w:rsidP="003C73A1">
      <w:pPr>
        <w:ind w:firstLine="720"/>
        <w:rPr>
          <w:sz w:val="12"/>
          <w:szCs w:val="12"/>
        </w:rPr>
      </w:pPr>
      <w:r w:rsidRPr="00EC2C73">
        <w:rPr>
          <w:sz w:val="12"/>
          <w:szCs w:val="12"/>
        </w:rPr>
        <w:t xml:space="preserve">Moreover, for those breaches that are covered by the provisions of the Directive, the text of the instrument provides no detail on the nature of the sanctions Member States should apply. It is open to legislators implementing the Directive to choose between sanctions of a civil, </w:t>
      </w:r>
      <w:proofErr w:type="gramStart"/>
      <w:r w:rsidRPr="00EC2C73">
        <w:rPr>
          <w:sz w:val="12"/>
          <w:szCs w:val="12"/>
        </w:rPr>
        <w:t>criminal</w:t>
      </w:r>
      <w:proofErr w:type="gramEnd"/>
      <w:r w:rsidRPr="00EC2C73">
        <w:rPr>
          <w:sz w:val="12"/>
          <w:szCs w:val="12"/>
        </w:rPr>
        <w:t xml:space="preserve"> or disciplinary nature. </w:t>
      </w:r>
    </w:p>
    <w:p w14:paraId="3B63BE4F" w14:textId="77777777" w:rsidR="003C73A1" w:rsidRPr="00EC2C73" w:rsidRDefault="003C73A1" w:rsidP="003C73A1">
      <w:pPr>
        <w:ind w:firstLine="720"/>
        <w:rPr>
          <w:sz w:val="12"/>
          <w:szCs w:val="12"/>
        </w:rPr>
      </w:pPr>
      <w:r w:rsidRPr="00EC2C73">
        <w:rPr>
          <w:sz w:val="12"/>
          <w:szCs w:val="12"/>
        </w:rPr>
        <w:t xml:space="preserve">It is particularly regrettable that the Commission has not been able to build in a more complete definition of the types of sanctions Member States should impose against breaches of key provisions of the Directive. The considerable margin of appreciation left to Member States in determining the nature of sanctions is likely to lead to a highly fragmented approach across the EU. This is particularly so given the very different conceptions of whistleblowing in the legal cultures of different Member States. Whilst Member States are bound by the requirement to implement “effective and </w:t>
      </w:r>
      <w:proofErr w:type="gramStart"/>
      <w:r w:rsidRPr="00EC2C73">
        <w:rPr>
          <w:sz w:val="12"/>
          <w:szCs w:val="12"/>
        </w:rPr>
        <w:t>proportionate“ sanctions</w:t>
      </w:r>
      <w:proofErr w:type="gramEnd"/>
      <w:r w:rsidRPr="00EC2C73">
        <w:rPr>
          <w:sz w:val="12"/>
          <w:szCs w:val="12"/>
        </w:rPr>
        <w:t>, uncertainty as to the precise requirements of this obligation and the corresponding risk of weak sanctions may undermine the objectives of the Directive, leading to or maintaining a chilling effect in certain Member States.</w:t>
      </w:r>
    </w:p>
    <w:p w14:paraId="7C88B470" w14:textId="77777777" w:rsidR="003C73A1" w:rsidRPr="00EC2C73" w:rsidRDefault="003C73A1" w:rsidP="003C73A1">
      <w:pPr>
        <w:rPr>
          <w:sz w:val="12"/>
          <w:szCs w:val="12"/>
        </w:rPr>
      </w:pPr>
      <w:r w:rsidRPr="00EC2C73">
        <w:rPr>
          <w:sz w:val="12"/>
          <w:szCs w:val="12"/>
        </w:rPr>
        <w:t xml:space="preserve">V. RECONCILIATION WITH OTHER EU LEGAL TEXTS AND MEMBER STATES’ LAWS The Directive prescribes a two-year implementation period, within which Member States will be required to give effect to its provisions in their respective national legal systems. </w:t>
      </w:r>
      <w:proofErr w:type="gramStart"/>
      <w:r w:rsidRPr="00EC2C73">
        <w:rPr>
          <w:sz w:val="12"/>
          <w:szCs w:val="12"/>
        </w:rPr>
        <w:t>On account of</w:t>
      </w:r>
      <w:proofErr w:type="gramEnd"/>
      <w:r w:rsidRPr="00EC2C73">
        <w:rPr>
          <w:sz w:val="12"/>
          <w:szCs w:val="12"/>
        </w:rPr>
        <w:t xml:space="preserve"> the EU rules on competence, the provisions of the Directive apply exclusively to disclosures relating to breaches of EU law. However, the Directive quite clearly invites Member States to implement similar measures in relation to breaches of national law.39</w:t>
      </w:r>
    </w:p>
    <w:p w14:paraId="237F216E" w14:textId="77777777" w:rsidR="003C73A1" w:rsidRPr="00EC2C73" w:rsidRDefault="003C73A1" w:rsidP="003C73A1">
      <w:pPr>
        <w:ind w:firstLine="720"/>
        <w:rPr>
          <w:sz w:val="14"/>
        </w:rPr>
      </w:pPr>
      <w:r w:rsidRPr="00431004">
        <w:rPr>
          <w:u w:val="single"/>
        </w:rPr>
        <w:t xml:space="preserve">The “harmonious” application of </w:t>
      </w:r>
      <w:r w:rsidRPr="00F058BC">
        <w:rPr>
          <w:rStyle w:val="Emphasis"/>
          <w:highlight w:val="green"/>
        </w:rPr>
        <w:t>the provisions</w:t>
      </w:r>
      <w:r w:rsidRPr="00431004">
        <w:rPr>
          <w:u w:val="single"/>
        </w:rPr>
        <w:t xml:space="preserve">, in such a way as it would encompass breaches of both EU and national law, as well as other forms of harm, is clearly </w:t>
      </w:r>
      <w:r w:rsidRPr="00F058BC">
        <w:rPr>
          <w:rStyle w:val="Emphasis"/>
          <w:highlight w:val="green"/>
        </w:rPr>
        <w:t>the “gold standard”</w:t>
      </w:r>
      <w:r w:rsidRPr="00F058BC">
        <w:rPr>
          <w:highlight w:val="green"/>
          <w:u w:val="single"/>
        </w:rPr>
        <w:t xml:space="preserve"> in terms of </w:t>
      </w:r>
      <w:r w:rsidRPr="00F058BC">
        <w:rPr>
          <w:rStyle w:val="Emphasis"/>
          <w:highlight w:val="green"/>
        </w:rPr>
        <w:t>implementation</w:t>
      </w:r>
      <w:r w:rsidRPr="00EC2C73">
        <w:rPr>
          <w:sz w:val="14"/>
        </w:rPr>
        <w:t xml:space="preserve">. A single comprehensive system would </w:t>
      </w:r>
      <w:r w:rsidRPr="00431004">
        <w:rPr>
          <w:u w:val="single"/>
        </w:rPr>
        <w:t xml:space="preserve">provide </w:t>
      </w:r>
      <w:proofErr w:type="gramStart"/>
      <w:r w:rsidRPr="00431004">
        <w:rPr>
          <w:rStyle w:val="Emphasis"/>
        </w:rPr>
        <w:t>a number of</w:t>
      </w:r>
      <w:proofErr w:type="gramEnd"/>
      <w:r w:rsidRPr="00431004">
        <w:rPr>
          <w:rStyle w:val="Emphasis"/>
        </w:rPr>
        <w:t xml:space="preserve"> benefits</w:t>
      </w:r>
      <w:r w:rsidRPr="00431004">
        <w:rPr>
          <w:u w:val="single"/>
        </w:rPr>
        <w:t xml:space="preserve">, not least </w:t>
      </w:r>
      <w:r w:rsidRPr="00431004">
        <w:rPr>
          <w:rStyle w:val="Emphasis"/>
        </w:rPr>
        <w:t>in terms of clarity of the rules applicable</w:t>
      </w:r>
      <w:r w:rsidRPr="00431004">
        <w:rPr>
          <w:u w:val="single"/>
        </w:rPr>
        <w:t xml:space="preserve"> to whistleblowers and the protections they may hope to benefit from</w:t>
      </w:r>
      <w:r w:rsidRPr="00EC2C73">
        <w:rPr>
          <w:sz w:val="14"/>
        </w:rPr>
        <w:t>. In practice, fine distinctions between areas of EU and national competence may not be obvious to the layperson, or indeed to untrained advisors. This uncertainty may also have a chilling effect on disclosures, leading to the possibility of undermining the goals of the Directive.</w:t>
      </w:r>
    </w:p>
    <w:p w14:paraId="5F322C6F" w14:textId="77777777" w:rsidR="003C73A1" w:rsidRPr="00431004" w:rsidRDefault="003C73A1" w:rsidP="003C73A1">
      <w:pPr>
        <w:ind w:firstLine="720"/>
        <w:rPr>
          <w:u w:val="single"/>
        </w:rPr>
      </w:pPr>
      <w:r w:rsidRPr="00431004">
        <w:rPr>
          <w:u w:val="single"/>
        </w:rPr>
        <w:t>For those Member States that do not currently have a standalone whistleblower protection regime in place, the Directive offers a solid framework</w:t>
      </w:r>
      <w:r w:rsidRPr="00EC2C73">
        <w:rPr>
          <w:sz w:val="14"/>
        </w:rPr>
        <w:t xml:space="preserve"> around which a single comprehensive regime could be built. Arguably, </w:t>
      </w:r>
      <w:r w:rsidRPr="00431004">
        <w:rPr>
          <w:u w:val="single"/>
        </w:rPr>
        <w:t>this process may be less onerous than one that attempts to amend existing legislation in a manner that conforms to the provisions of the Directive.</w:t>
      </w:r>
    </w:p>
    <w:p w14:paraId="22DF965D" w14:textId="77777777" w:rsidR="003C73A1" w:rsidRPr="00EC2C73" w:rsidRDefault="003C73A1" w:rsidP="003C73A1">
      <w:pPr>
        <w:ind w:firstLine="720"/>
        <w:rPr>
          <w:sz w:val="12"/>
          <w:szCs w:val="12"/>
        </w:rPr>
      </w:pPr>
      <w:r w:rsidRPr="00EC2C73">
        <w:rPr>
          <w:sz w:val="12"/>
          <w:szCs w:val="12"/>
        </w:rPr>
        <w:t>In Member States that currently operate whistleblower regimes, the reconciliation between the national and European systems is not straightforward. National legislation will have to be amended to avoid a double standard between national and European systems.</w:t>
      </w:r>
    </w:p>
    <w:p w14:paraId="769820CF" w14:textId="77777777" w:rsidR="003C73A1" w:rsidRDefault="003C73A1" w:rsidP="003C73A1">
      <w:pPr>
        <w:ind w:firstLine="720"/>
      </w:pPr>
      <w:r w:rsidRPr="00431004">
        <w:rPr>
          <w:u w:val="single"/>
        </w:rPr>
        <w:lastRenderedPageBreak/>
        <w:t xml:space="preserve">The </w:t>
      </w:r>
      <w:r w:rsidRPr="00006DFC">
        <w:rPr>
          <w:u w:val="single"/>
        </w:rPr>
        <w:t xml:space="preserve">Directive must also be considered in the context of other relevant EU legislation. </w:t>
      </w:r>
      <w:r w:rsidRPr="00006DFC">
        <w:rPr>
          <w:rStyle w:val="Emphasis"/>
        </w:rPr>
        <w:t>The Trade Secrets Directive is particularly relevant</w:t>
      </w:r>
      <w:r w:rsidRPr="00006DFC">
        <w:t xml:space="preserve"> in this regard, </w:t>
      </w:r>
      <w:r w:rsidRPr="00006DFC">
        <w:rPr>
          <w:u w:val="single"/>
        </w:rPr>
        <w:t xml:space="preserve">as it aims to protect businesses against the theft or disclosure of their information by requiring Member States </w:t>
      </w:r>
      <w:r w:rsidRPr="00006DFC">
        <w:rPr>
          <w:b/>
          <w:bCs/>
          <w:u w:val="single"/>
        </w:rPr>
        <w:t>to impose sanctions on persons unlawfully disclosing trade secrets</w:t>
      </w:r>
      <w:r w:rsidRPr="00006DFC">
        <w:t xml:space="preserve">.40 </w:t>
      </w:r>
      <w:r w:rsidRPr="00006DFC">
        <w:rPr>
          <w:u w:val="single"/>
        </w:rPr>
        <w:t xml:space="preserve">Whilst </w:t>
      </w:r>
      <w:r w:rsidRPr="00006DFC">
        <w:rPr>
          <w:b/>
          <w:bCs/>
          <w:u w:val="single"/>
        </w:rPr>
        <w:t>the</w:t>
      </w:r>
      <w:r w:rsidRPr="00006DFC">
        <w:rPr>
          <w:u w:val="single"/>
        </w:rPr>
        <w:t xml:space="preserve"> Trade Secrets Directive includes certain exceptions, these have previously been </w:t>
      </w:r>
      <w:proofErr w:type="spellStart"/>
      <w:r w:rsidRPr="00006DFC">
        <w:rPr>
          <w:u w:val="single"/>
        </w:rPr>
        <w:t>criticised</w:t>
      </w:r>
      <w:proofErr w:type="spellEnd"/>
      <w:r w:rsidRPr="00006DFC">
        <w:rPr>
          <w:u w:val="single"/>
        </w:rPr>
        <w:t xml:space="preserve"> for</w:t>
      </w:r>
      <w:r w:rsidRPr="00006DFC">
        <w:t xml:space="preserve"> their </w:t>
      </w:r>
      <w:r w:rsidRPr="00006DFC">
        <w:rPr>
          <w:rStyle w:val="Emphasis"/>
        </w:rPr>
        <w:t>lack of clarity,</w:t>
      </w:r>
      <w:r w:rsidRPr="00006DFC">
        <w:t xml:space="preserve"> </w:t>
      </w:r>
      <w:r w:rsidRPr="00006DFC">
        <w:rPr>
          <w:b/>
          <w:bCs/>
          <w:u w:val="single"/>
        </w:rPr>
        <w:t>which could potentially be harmful to</w:t>
      </w:r>
      <w:r w:rsidRPr="00006DFC">
        <w:t xml:space="preserve">, or at the very least discourage, </w:t>
      </w:r>
      <w:r w:rsidRPr="00006DFC">
        <w:rPr>
          <w:rStyle w:val="Emphasis"/>
        </w:rPr>
        <w:t>a whistleblower</w:t>
      </w:r>
      <w:r w:rsidRPr="00006DFC">
        <w:t xml:space="preserve">.41 [41 </w:t>
      </w:r>
      <w:proofErr w:type="spellStart"/>
      <w:r w:rsidRPr="00006DFC">
        <w:t>Cobbaut</w:t>
      </w:r>
      <w:proofErr w:type="spellEnd"/>
      <w:r w:rsidRPr="00006DFC">
        <w:t xml:space="preserve">, supra, note 5, 74. </w:t>
      </w:r>
      <w:r w:rsidRPr="00006DFC">
        <w:rPr>
          <w:b/>
          <w:bCs/>
          <w:u w:val="single"/>
        </w:rPr>
        <w:t>For an analysis of the issue</w:t>
      </w:r>
      <w:r w:rsidRPr="00431004">
        <w:t xml:space="preserve"> of tensions between whistleblower protection and trade secrets </w:t>
      </w:r>
      <w:r w:rsidRPr="00F058BC">
        <w:rPr>
          <w:rStyle w:val="Emphasis"/>
          <w:sz w:val="32"/>
          <w:szCs w:val="32"/>
          <w:highlight w:val="green"/>
        </w:rPr>
        <w:t>prior to</w:t>
      </w:r>
      <w:r w:rsidRPr="00BA064A">
        <w:rPr>
          <w:rStyle w:val="Emphasis"/>
          <w:sz w:val="32"/>
          <w:szCs w:val="32"/>
        </w:rPr>
        <w:t xml:space="preserve"> the existence of </w:t>
      </w:r>
      <w:r w:rsidRPr="00F058BC">
        <w:rPr>
          <w:rStyle w:val="Emphasis"/>
          <w:sz w:val="32"/>
          <w:szCs w:val="32"/>
          <w:highlight w:val="green"/>
        </w:rPr>
        <w:t>the Directive</w:t>
      </w:r>
      <w:r w:rsidRPr="00431004">
        <w:t xml:space="preserve">, </w:t>
      </w:r>
      <w:r w:rsidRPr="00F058BC">
        <w:rPr>
          <w:rStyle w:val="Emphasis"/>
          <w:sz w:val="32"/>
          <w:szCs w:val="32"/>
          <w:highlight w:val="green"/>
        </w:rPr>
        <w:t>see</w:t>
      </w:r>
      <w:r w:rsidRPr="00BA064A">
        <w:rPr>
          <w:rStyle w:val="Emphasis"/>
          <w:sz w:val="32"/>
          <w:szCs w:val="32"/>
        </w:rPr>
        <w:t xml:space="preserve"> V </w:t>
      </w:r>
      <w:r w:rsidRPr="00F058BC">
        <w:rPr>
          <w:rStyle w:val="Emphasis"/>
          <w:sz w:val="32"/>
          <w:szCs w:val="32"/>
          <w:highlight w:val="green"/>
        </w:rPr>
        <w:t>Abazi</w:t>
      </w:r>
      <w:r w:rsidRPr="00BA064A">
        <w:rPr>
          <w:rStyle w:val="Emphasis"/>
          <w:sz w:val="32"/>
          <w:szCs w:val="32"/>
        </w:rPr>
        <w:t>, “Trade Secrets and Whistleblower Protection in the European Union” (20</w:t>
      </w:r>
      <w:r w:rsidRPr="00F058BC">
        <w:rPr>
          <w:rStyle w:val="Emphasis"/>
          <w:sz w:val="32"/>
          <w:szCs w:val="32"/>
          <w:highlight w:val="green"/>
        </w:rPr>
        <w:t>16</w:t>
      </w:r>
      <w:r w:rsidRPr="00431004">
        <w:rPr>
          <w:rStyle w:val="Emphasis"/>
        </w:rPr>
        <w:t>)</w:t>
      </w:r>
      <w:r w:rsidRPr="00431004">
        <w:t xml:space="preserve"> 3 European Papers 1061.] </w:t>
      </w:r>
      <w:r w:rsidRPr="00F058BC">
        <w:rPr>
          <w:rStyle w:val="Emphasis"/>
          <w:highlight w:val="green"/>
        </w:rPr>
        <w:t>The Directive</w:t>
      </w:r>
      <w:r w:rsidRPr="00431004">
        <w:t xml:space="preserve"> thereby </w:t>
      </w:r>
      <w:r w:rsidRPr="00F058BC">
        <w:rPr>
          <w:highlight w:val="green"/>
          <w:u w:val="single"/>
        </w:rPr>
        <w:t xml:space="preserve">seeks to </w:t>
      </w:r>
      <w:r w:rsidRPr="00F058BC">
        <w:rPr>
          <w:rStyle w:val="Emphasis"/>
          <w:highlight w:val="green"/>
        </w:rPr>
        <w:t>address this</w:t>
      </w:r>
      <w:r w:rsidRPr="00431004">
        <w:rPr>
          <w:rStyle w:val="Emphasis"/>
        </w:rPr>
        <w:t xml:space="preserve"> issue </w:t>
      </w:r>
      <w:r w:rsidRPr="00F058BC">
        <w:rPr>
          <w:rStyle w:val="Emphasis"/>
          <w:highlight w:val="green"/>
        </w:rPr>
        <w:t>by clarifying</w:t>
      </w:r>
      <w:r w:rsidRPr="00F058BC">
        <w:rPr>
          <w:highlight w:val="green"/>
          <w:u w:val="single"/>
        </w:rPr>
        <w:t xml:space="preserve"> that </w:t>
      </w:r>
      <w:r w:rsidRPr="00F058BC">
        <w:rPr>
          <w:b/>
          <w:bCs/>
          <w:highlight w:val="green"/>
          <w:u w:val="single"/>
        </w:rPr>
        <w:t>a report that meets the</w:t>
      </w:r>
      <w:r w:rsidRPr="00F058BC">
        <w:rPr>
          <w:highlight w:val="green"/>
          <w:u w:val="single"/>
        </w:rPr>
        <w:t xml:space="preserve"> requirements</w:t>
      </w:r>
      <w:r w:rsidRPr="00431004">
        <w:rPr>
          <w:u w:val="single"/>
        </w:rPr>
        <w:t xml:space="preserve"> contained in the </w:t>
      </w:r>
      <w:r w:rsidRPr="00431004">
        <w:rPr>
          <w:b/>
          <w:bCs/>
          <w:u w:val="single"/>
        </w:rPr>
        <w:t>Directive</w:t>
      </w:r>
      <w:r w:rsidRPr="00431004">
        <w:rPr>
          <w:u w:val="single"/>
        </w:rPr>
        <w:t xml:space="preserve"> </w:t>
      </w:r>
      <w:r w:rsidRPr="00F058BC">
        <w:rPr>
          <w:rStyle w:val="Emphasis"/>
          <w:highlight w:val="green"/>
        </w:rPr>
        <w:t>can benefit from the exclusion</w:t>
      </w:r>
      <w:r w:rsidRPr="00431004">
        <w:rPr>
          <w:rStyle w:val="Emphasis"/>
        </w:rPr>
        <w:t xml:space="preserve"> contained in Article 3(2) </w:t>
      </w:r>
      <w:r w:rsidRPr="00F058BC">
        <w:rPr>
          <w:rStyle w:val="Emphasis"/>
          <w:highlight w:val="green"/>
        </w:rPr>
        <w:t>of the Trade Secrets Directive</w:t>
      </w:r>
      <w:r w:rsidRPr="00431004">
        <w:rPr>
          <w:u w:val="single"/>
        </w:rPr>
        <w:t xml:space="preserve">, </w:t>
      </w:r>
      <w:r w:rsidRPr="00F058BC">
        <w:rPr>
          <w:rStyle w:val="Emphasis"/>
          <w:highlight w:val="green"/>
        </w:rPr>
        <w:t>which permits disclosure if “required</w:t>
      </w:r>
      <w:r w:rsidRPr="00431004">
        <w:rPr>
          <w:u w:val="single"/>
        </w:rPr>
        <w:t xml:space="preserve"> or allowed </w:t>
      </w:r>
      <w:r w:rsidRPr="00F058BC">
        <w:rPr>
          <w:rStyle w:val="Emphasis"/>
          <w:highlight w:val="green"/>
        </w:rPr>
        <w:t>by Union</w:t>
      </w:r>
      <w:r w:rsidRPr="00431004">
        <w:rPr>
          <w:rStyle w:val="Emphasis"/>
        </w:rPr>
        <w:t xml:space="preserve"> or national </w:t>
      </w:r>
      <w:r w:rsidRPr="00F058BC">
        <w:rPr>
          <w:rStyle w:val="Emphasis"/>
          <w:highlight w:val="green"/>
        </w:rPr>
        <w:t>law</w:t>
      </w:r>
      <w:r w:rsidRPr="00431004">
        <w:rPr>
          <w:rStyle w:val="Emphasis"/>
        </w:rPr>
        <w:t>”</w:t>
      </w:r>
      <w:r w:rsidRPr="00431004">
        <w:t xml:space="preserve">. Therefore, defendants will need to establish that their disclosure fell within the scope of the Directive and complied with the reporting procedure prescribed therein, </w:t>
      </w:r>
      <w:proofErr w:type="gramStart"/>
      <w:r w:rsidRPr="00431004">
        <w:t>in order to</w:t>
      </w:r>
      <w:proofErr w:type="gramEnd"/>
      <w:r w:rsidRPr="00431004">
        <w:t xml:space="preserve"> avail themselves of this </w:t>
      </w:r>
      <w:proofErr w:type="spellStart"/>
      <w:r w:rsidRPr="00431004">
        <w:t>defence</w:t>
      </w:r>
      <w:proofErr w:type="spellEnd"/>
      <w:r w:rsidRPr="00431004">
        <w:t xml:space="preserve">. </w:t>
      </w:r>
      <w:r w:rsidRPr="0082348E">
        <w:rPr>
          <w:u w:val="single"/>
        </w:rPr>
        <w:t xml:space="preserve">In other words, </w:t>
      </w:r>
      <w:r w:rsidRPr="00F058BC">
        <w:rPr>
          <w:highlight w:val="green"/>
          <w:u w:val="single"/>
        </w:rPr>
        <w:t>the Directive allows for “</w:t>
      </w:r>
      <w:r w:rsidRPr="00F058BC">
        <w:rPr>
          <w:rStyle w:val="Emphasis"/>
          <w:highlight w:val="green"/>
        </w:rPr>
        <w:t>a rebalancing</w:t>
      </w:r>
      <w:r w:rsidRPr="0082348E">
        <w:rPr>
          <w:u w:val="single"/>
        </w:rPr>
        <w:t xml:space="preserve"> between secrecy, security and freedom of information” </w:t>
      </w:r>
      <w:r w:rsidRPr="00F058BC">
        <w:rPr>
          <w:rStyle w:val="Emphasis"/>
          <w:highlight w:val="green"/>
        </w:rPr>
        <w:t xml:space="preserve">in </w:t>
      </w:r>
      <w:proofErr w:type="spellStart"/>
      <w:r w:rsidRPr="00F058BC">
        <w:rPr>
          <w:rStyle w:val="Emphasis"/>
          <w:highlight w:val="green"/>
        </w:rPr>
        <w:t>favour</w:t>
      </w:r>
      <w:proofErr w:type="spellEnd"/>
      <w:r w:rsidRPr="00F058BC">
        <w:rPr>
          <w:rStyle w:val="Emphasis"/>
          <w:highlight w:val="green"/>
        </w:rPr>
        <w:t xml:space="preserve"> of the reporting person</w:t>
      </w:r>
      <w:r w:rsidRPr="00431004">
        <w:t>.42</w:t>
      </w:r>
    </w:p>
    <w:p w14:paraId="7539012F" w14:textId="77777777" w:rsidR="00721169" w:rsidRPr="009D5531" w:rsidRDefault="00721169" w:rsidP="00721169">
      <w:pPr>
        <w:pStyle w:val="Heading3"/>
      </w:pPr>
      <w:r>
        <w:lastRenderedPageBreak/>
        <w:t>Adv 1</w:t>
      </w:r>
    </w:p>
    <w:p w14:paraId="26EF5BD7" w14:textId="77777777" w:rsidR="00721169" w:rsidRDefault="00721169" w:rsidP="00721169">
      <w:pPr>
        <w:pStyle w:val="Heading4"/>
        <w:spacing w:before="0" w:line="240" w:lineRule="auto"/>
      </w:pPr>
      <w:r>
        <w:t xml:space="preserve">1] Whistleblowing fails- Dreyfus is about Chinese </w:t>
      </w:r>
      <w:r>
        <w:rPr>
          <w:u w:val="single"/>
        </w:rPr>
        <w:t xml:space="preserve">whistleblowers </w:t>
      </w:r>
      <w:r>
        <w:t xml:space="preserve">like </w:t>
      </w:r>
      <w:r>
        <w:rPr>
          <w:u w:val="single"/>
        </w:rPr>
        <w:t>Dr. Li Wenliang</w:t>
      </w:r>
      <w:r w:rsidRPr="003541D6">
        <w:t xml:space="preserve"> – they </w:t>
      </w:r>
      <w:r>
        <w:t xml:space="preserve">didn’t </w:t>
      </w:r>
      <w:r>
        <w:rPr>
          <w:u w:val="single"/>
        </w:rPr>
        <w:t xml:space="preserve">stop COVID </w:t>
      </w:r>
      <w:r>
        <w:t xml:space="preserve">from spreading in the West. Governments fail to act even if they have good information—Delta wave </w:t>
      </w:r>
      <w:r>
        <w:rPr>
          <w:u w:val="single"/>
        </w:rPr>
        <w:t xml:space="preserve">currently </w:t>
      </w:r>
      <w:r>
        <w:t>proves</w:t>
      </w:r>
    </w:p>
    <w:p w14:paraId="47A31302" w14:textId="77777777" w:rsidR="00721169" w:rsidRDefault="00721169" w:rsidP="00721169">
      <w:pPr>
        <w:pStyle w:val="Heading4"/>
        <w:spacing w:line="240" w:lineRule="auto"/>
      </w:pPr>
      <w:r>
        <w:t>2] EU whistleblowers are ignored 90% of the time</w:t>
      </w:r>
    </w:p>
    <w:p w14:paraId="561D0DA4" w14:textId="77777777" w:rsidR="00721169" w:rsidRDefault="00721169" w:rsidP="00721169">
      <w:pPr>
        <w:rPr>
          <w:sz w:val="18"/>
          <w:szCs w:val="18"/>
        </w:rPr>
      </w:pPr>
      <w:proofErr w:type="spellStart"/>
      <w:r w:rsidRPr="003541D6">
        <w:rPr>
          <w:b/>
          <w:bCs/>
          <w:sz w:val="26"/>
          <w:szCs w:val="26"/>
        </w:rPr>
        <w:t>Albon</w:t>
      </w:r>
      <w:proofErr w:type="spellEnd"/>
      <w:r w:rsidRPr="003541D6">
        <w:rPr>
          <w:b/>
          <w:bCs/>
          <w:sz w:val="26"/>
          <w:szCs w:val="26"/>
        </w:rPr>
        <w:t xml:space="preserve"> 20</w:t>
      </w:r>
      <w:r w:rsidRPr="003541D6">
        <w:rPr>
          <w:sz w:val="18"/>
          <w:szCs w:val="18"/>
        </w:rPr>
        <w:t xml:space="preserve"> (Victoria, writer for Dentons-- the world's largest law firm, delivering quality and value to clients around the globe. Dentons is a leader on the </w:t>
      </w:r>
      <w:proofErr w:type="spellStart"/>
      <w:r w:rsidRPr="003541D6">
        <w:rPr>
          <w:sz w:val="18"/>
          <w:szCs w:val="18"/>
        </w:rPr>
        <w:t>Acritas</w:t>
      </w:r>
      <w:proofErr w:type="spellEnd"/>
      <w:r w:rsidRPr="003541D6">
        <w:rPr>
          <w:sz w:val="18"/>
          <w:szCs w:val="18"/>
        </w:rPr>
        <w:t xml:space="preserve"> Global Elite Brand Index, a BTI Client Service 30 Award winner and recognized by prominent business and legal publications for its innovations in client service, including founding </w:t>
      </w:r>
      <w:proofErr w:type="spellStart"/>
      <w:r w:rsidRPr="003541D6">
        <w:rPr>
          <w:sz w:val="18"/>
          <w:szCs w:val="18"/>
        </w:rPr>
        <w:t>Nextlaw</w:t>
      </w:r>
      <w:proofErr w:type="spellEnd"/>
      <w:r w:rsidRPr="003541D6">
        <w:rPr>
          <w:sz w:val="18"/>
          <w:szCs w:val="18"/>
        </w:rPr>
        <w:t xml:space="preserve"> Labs and the </w:t>
      </w:r>
      <w:proofErr w:type="spellStart"/>
      <w:r w:rsidRPr="003541D6">
        <w:rPr>
          <w:sz w:val="18"/>
          <w:szCs w:val="18"/>
        </w:rPr>
        <w:t>Nextlaw</w:t>
      </w:r>
      <w:proofErr w:type="spellEnd"/>
      <w:r w:rsidRPr="003541D6">
        <w:rPr>
          <w:sz w:val="18"/>
          <w:szCs w:val="18"/>
        </w:rPr>
        <w:t xml:space="preserve"> Global Referral Network. Dentons' polycentric approach and world-class talent challenge the status quo to advance client interests in the communities in which we live and work. “Report reveals 20% of COVID-19 whistleblowers dismissed” </w:t>
      </w:r>
      <w:hyperlink r:id="rId30" w:history="1">
        <w:r w:rsidRPr="003541D6">
          <w:rPr>
            <w:rStyle w:val="Hyperlink"/>
            <w:sz w:val="18"/>
            <w:szCs w:val="18"/>
          </w:rPr>
          <w:t>https://www.lexology.com/library/detail.aspx?g=f3a952a0-c7a6-4bb7-b769-b505c9f53f77</w:t>
        </w:r>
      </w:hyperlink>
      <w:r w:rsidRPr="003541D6">
        <w:rPr>
          <w:sz w:val="18"/>
          <w:szCs w:val="18"/>
        </w:rPr>
        <w:t xml:space="preserve"> November 12, </w:t>
      </w:r>
      <w:proofErr w:type="gramStart"/>
      <w:r w:rsidRPr="003541D6">
        <w:rPr>
          <w:sz w:val="18"/>
          <w:szCs w:val="18"/>
        </w:rPr>
        <w:t>2020)DR</w:t>
      </w:r>
      <w:proofErr w:type="gramEnd"/>
      <w:r w:rsidRPr="003541D6">
        <w:rPr>
          <w:sz w:val="18"/>
          <w:szCs w:val="18"/>
        </w:rPr>
        <w:t xml:space="preserve"> 21</w:t>
      </w:r>
    </w:p>
    <w:p w14:paraId="33A12538" w14:textId="77777777" w:rsidR="00721169" w:rsidRPr="003541D6" w:rsidRDefault="00721169" w:rsidP="00721169">
      <w:r w:rsidRPr="003541D6">
        <w:t xml:space="preserve">On 2 November </w:t>
      </w:r>
      <w:r w:rsidRPr="003541D6">
        <w:rPr>
          <w:u w:val="single"/>
        </w:rPr>
        <w:t xml:space="preserve">the whistleblowing charity, Protect, published </w:t>
      </w:r>
      <w:r w:rsidRPr="00F058BC">
        <w:rPr>
          <w:highlight w:val="green"/>
          <w:u w:val="single"/>
        </w:rPr>
        <w:t>a report on</w:t>
      </w:r>
      <w:r w:rsidRPr="003541D6">
        <w:rPr>
          <w:u w:val="single"/>
        </w:rPr>
        <w:t xml:space="preserve"> the treatment of </w:t>
      </w:r>
      <w:r w:rsidRPr="00F058BC">
        <w:rPr>
          <w:rStyle w:val="Emphasis"/>
          <w:highlight w:val="green"/>
        </w:rPr>
        <w:t>COVID-19 whistleblowers</w:t>
      </w:r>
      <w:r w:rsidRPr="003541D6">
        <w:t>. The report is based on 638 COVID-19-related cases about which the charity’s advice line was contacted. It revealed that, of those 638 cases, 20% of employees who raised concerns about either COVID-19 safety measures in their workplace or fraud in relation to the furlough scheme were dismissed.</w:t>
      </w:r>
    </w:p>
    <w:p w14:paraId="481DAA9D" w14:textId="77777777" w:rsidR="00721169" w:rsidRPr="003541D6" w:rsidRDefault="00721169" w:rsidP="00721169">
      <w:pPr>
        <w:rPr>
          <w:u w:val="single"/>
        </w:rPr>
      </w:pPr>
      <w:r w:rsidRPr="003541D6">
        <w:t xml:space="preserve">The report also stated that </w:t>
      </w:r>
      <w:r w:rsidRPr="00F058BC">
        <w:rPr>
          <w:rStyle w:val="Emphasis"/>
          <w:highlight w:val="green"/>
        </w:rPr>
        <w:t>41%</w:t>
      </w:r>
      <w:r w:rsidRPr="003541D6">
        <w:rPr>
          <w:u w:val="single"/>
        </w:rPr>
        <w:t xml:space="preserve"> of the employees </w:t>
      </w:r>
      <w:r w:rsidRPr="00F058BC">
        <w:rPr>
          <w:highlight w:val="green"/>
          <w:u w:val="single"/>
        </w:rPr>
        <w:t>who raised</w:t>
      </w:r>
      <w:r w:rsidRPr="003541D6">
        <w:rPr>
          <w:u w:val="single"/>
        </w:rPr>
        <w:t xml:space="preserve"> such concerns </w:t>
      </w:r>
      <w:r w:rsidRPr="00F058BC">
        <w:rPr>
          <w:rStyle w:val="Emphasis"/>
          <w:highlight w:val="green"/>
        </w:rPr>
        <w:t>were</w:t>
      </w:r>
      <w:r w:rsidRPr="003541D6">
        <w:rPr>
          <w:rStyle w:val="Emphasis"/>
        </w:rPr>
        <w:t xml:space="preserve"> simply </w:t>
      </w:r>
      <w:r w:rsidRPr="00F058BC">
        <w:rPr>
          <w:rStyle w:val="Emphasis"/>
          <w:highlight w:val="green"/>
        </w:rPr>
        <w:t>ignored</w:t>
      </w:r>
      <w:r w:rsidRPr="003541D6">
        <w:rPr>
          <w:u w:val="single"/>
        </w:rPr>
        <w:t xml:space="preserve"> by their employers. Where </w:t>
      </w:r>
      <w:r w:rsidRPr="00F058BC">
        <w:rPr>
          <w:highlight w:val="green"/>
          <w:u w:val="single"/>
        </w:rPr>
        <w:t>concerns</w:t>
      </w:r>
      <w:r w:rsidRPr="003541D6">
        <w:rPr>
          <w:u w:val="single"/>
        </w:rPr>
        <w:t xml:space="preserve"> were </w:t>
      </w:r>
      <w:r w:rsidRPr="00F058BC">
        <w:rPr>
          <w:highlight w:val="green"/>
          <w:u w:val="single"/>
        </w:rPr>
        <w:t>raised by key workers in</w:t>
      </w:r>
      <w:r w:rsidRPr="003541D6">
        <w:rPr>
          <w:u w:val="single"/>
        </w:rPr>
        <w:t xml:space="preserve"> the </w:t>
      </w:r>
      <w:r w:rsidRPr="00F058BC">
        <w:rPr>
          <w:rStyle w:val="Emphasis"/>
          <w:highlight w:val="green"/>
        </w:rPr>
        <w:t>health</w:t>
      </w:r>
      <w:r w:rsidRPr="003541D6">
        <w:rPr>
          <w:u w:val="single"/>
        </w:rPr>
        <w:t xml:space="preserve"> </w:t>
      </w:r>
      <w:r w:rsidRPr="00F058BC">
        <w:rPr>
          <w:highlight w:val="green"/>
          <w:u w:val="single"/>
        </w:rPr>
        <w:t xml:space="preserve">and </w:t>
      </w:r>
      <w:r w:rsidRPr="00F058BC">
        <w:rPr>
          <w:rStyle w:val="Emphasis"/>
          <w:highlight w:val="green"/>
        </w:rPr>
        <w:t>care sectors</w:t>
      </w:r>
      <w:r w:rsidRPr="00F058BC">
        <w:rPr>
          <w:highlight w:val="green"/>
          <w:u w:val="single"/>
        </w:rPr>
        <w:t xml:space="preserve">, </w:t>
      </w:r>
      <w:r w:rsidRPr="00F058BC">
        <w:rPr>
          <w:rStyle w:val="Emphasis"/>
          <w:highlight w:val="green"/>
        </w:rPr>
        <w:t>just 10%</w:t>
      </w:r>
      <w:r w:rsidRPr="003541D6">
        <w:rPr>
          <w:u w:val="single"/>
        </w:rPr>
        <w:t xml:space="preserve"> of those whistleblowing concerns </w:t>
      </w:r>
      <w:r w:rsidRPr="00F058BC">
        <w:rPr>
          <w:highlight w:val="green"/>
          <w:u w:val="single"/>
        </w:rPr>
        <w:t xml:space="preserve">were </w:t>
      </w:r>
      <w:r w:rsidRPr="00F058BC">
        <w:rPr>
          <w:rStyle w:val="Emphasis"/>
          <w:highlight w:val="green"/>
        </w:rPr>
        <w:t>investigated</w:t>
      </w:r>
      <w:r w:rsidRPr="00F058BC">
        <w:rPr>
          <w:highlight w:val="green"/>
          <w:u w:val="single"/>
        </w:rPr>
        <w:t>.</w:t>
      </w:r>
    </w:p>
    <w:p w14:paraId="352717A3" w14:textId="77777777" w:rsidR="00721169" w:rsidRDefault="00721169" w:rsidP="00721169">
      <w:pPr>
        <w:pStyle w:val="Heading4"/>
      </w:pPr>
      <w:r>
        <w:t>3] 197 other countries thump - EU preparedness isn’t key to stop a global pandemic- they imported vaccines</w:t>
      </w:r>
    </w:p>
    <w:p w14:paraId="37C29072" w14:textId="77777777" w:rsidR="00721169" w:rsidRDefault="00721169" w:rsidP="00721169">
      <w:pPr>
        <w:pStyle w:val="Heading4"/>
      </w:pPr>
      <w:r>
        <w:t>4] Only internal is about increased funding— EU just dumped 5.3 billion Euros into disease preparedness</w:t>
      </w:r>
    </w:p>
    <w:p w14:paraId="3E2C4326" w14:textId="77777777" w:rsidR="00721169" w:rsidRDefault="00721169" w:rsidP="00721169">
      <w:pPr>
        <w:rPr>
          <w:sz w:val="18"/>
          <w:szCs w:val="18"/>
        </w:rPr>
      </w:pPr>
      <w:r w:rsidRPr="0002481D">
        <w:rPr>
          <w:b/>
          <w:bCs/>
          <w:sz w:val="26"/>
          <w:szCs w:val="26"/>
        </w:rPr>
        <w:t>European Commission ND</w:t>
      </w:r>
      <w:r>
        <w:t xml:space="preserve"> </w:t>
      </w:r>
      <w:r w:rsidRPr="0002481D">
        <w:rPr>
          <w:sz w:val="18"/>
          <w:szCs w:val="18"/>
        </w:rPr>
        <w:t xml:space="preserve">(The people who run Europe. “EU4Health 2021-2027 – a vision for a healthier European Union” </w:t>
      </w:r>
      <w:hyperlink r:id="rId31" w:history="1">
        <w:r w:rsidRPr="0002481D">
          <w:rPr>
            <w:rStyle w:val="Hyperlink"/>
            <w:sz w:val="18"/>
            <w:szCs w:val="18"/>
          </w:rPr>
          <w:t>https://ec.europa.eu/health/funding/eu4health_en</w:t>
        </w:r>
      </w:hyperlink>
      <w:r w:rsidRPr="0002481D">
        <w:rPr>
          <w:sz w:val="18"/>
          <w:szCs w:val="18"/>
        </w:rPr>
        <w:t xml:space="preserve"> no date but it’s about a 2021-2027 </w:t>
      </w:r>
      <w:proofErr w:type="gramStart"/>
      <w:r w:rsidRPr="0002481D">
        <w:rPr>
          <w:sz w:val="18"/>
          <w:szCs w:val="18"/>
        </w:rPr>
        <w:t>program)DR</w:t>
      </w:r>
      <w:proofErr w:type="gramEnd"/>
      <w:r w:rsidRPr="0002481D">
        <w:rPr>
          <w:sz w:val="18"/>
          <w:szCs w:val="18"/>
        </w:rPr>
        <w:t xml:space="preserve"> 21</w:t>
      </w:r>
    </w:p>
    <w:p w14:paraId="4318EB8F" w14:textId="77777777" w:rsidR="00721169" w:rsidRPr="0002481D" w:rsidRDefault="00721169" w:rsidP="00721169">
      <w:r w:rsidRPr="0002481D">
        <w:t>***NOTE: €5.3 billion</w:t>
      </w:r>
      <w:r>
        <w:t xml:space="preserve"> = $6.26 billion***</w:t>
      </w:r>
    </w:p>
    <w:p w14:paraId="2E11B63A" w14:textId="77777777" w:rsidR="00721169" w:rsidRPr="0002481D" w:rsidRDefault="00721169" w:rsidP="00721169">
      <w:r w:rsidRPr="00F058BC">
        <w:rPr>
          <w:rStyle w:val="Emphasis"/>
          <w:highlight w:val="green"/>
        </w:rPr>
        <w:t>EU4Health</w:t>
      </w:r>
      <w:r w:rsidRPr="0002481D">
        <w:rPr>
          <w:rStyle w:val="Emphasis"/>
        </w:rPr>
        <w:t xml:space="preserve"> 2021-2027</w:t>
      </w:r>
      <w:r w:rsidRPr="0002481D">
        <w:t xml:space="preserve"> – a vision for a healthier European Union</w:t>
      </w:r>
    </w:p>
    <w:p w14:paraId="78888A69" w14:textId="77777777" w:rsidR="00721169" w:rsidRPr="0002481D" w:rsidRDefault="00721169" w:rsidP="00721169">
      <w:r w:rsidRPr="0002481D">
        <w:t xml:space="preserve">EU4Health </w:t>
      </w:r>
      <w:r w:rsidRPr="00F058BC">
        <w:rPr>
          <w:highlight w:val="green"/>
          <w:u w:val="single"/>
        </w:rPr>
        <w:t>is the EU’s ambitious response to COVID</w:t>
      </w:r>
      <w:r w:rsidRPr="0002481D">
        <w:rPr>
          <w:u w:val="single"/>
        </w:rPr>
        <w:t>-19</w:t>
      </w:r>
      <w:r w:rsidRPr="0002481D">
        <w:t xml:space="preserve">. The pandemic has a major impact on patients, medical and healthcare staff, and health systems in Europe. </w:t>
      </w:r>
      <w:r w:rsidRPr="0002481D">
        <w:rPr>
          <w:b/>
          <w:bCs/>
          <w:u w:val="single"/>
        </w:rPr>
        <w:t xml:space="preserve">The new EU4Health </w:t>
      </w:r>
      <w:proofErr w:type="spellStart"/>
      <w:r w:rsidRPr="0002481D">
        <w:rPr>
          <w:b/>
          <w:bCs/>
          <w:u w:val="single"/>
        </w:rPr>
        <w:t>programme</w:t>
      </w:r>
      <w:proofErr w:type="spellEnd"/>
      <w:r w:rsidRPr="0002481D">
        <w:rPr>
          <w:b/>
          <w:bCs/>
          <w:u w:val="single"/>
        </w:rPr>
        <w:t xml:space="preserve"> will go </w:t>
      </w:r>
      <w:r w:rsidRPr="00F058BC">
        <w:rPr>
          <w:b/>
          <w:bCs/>
          <w:highlight w:val="green"/>
          <w:u w:val="single"/>
        </w:rPr>
        <w:t>beyond crisis response to address healthcare systems’ resilience.</w:t>
      </w:r>
      <w:r w:rsidRPr="0002481D">
        <w:t> </w:t>
      </w:r>
    </w:p>
    <w:p w14:paraId="2932D8F4" w14:textId="77777777" w:rsidR="00721169" w:rsidRPr="0002481D" w:rsidRDefault="00721169" w:rsidP="00721169">
      <w:pPr>
        <w:rPr>
          <w:sz w:val="12"/>
          <w:szCs w:val="12"/>
        </w:rPr>
      </w:pPr>
      <w:r w:rsidRPr="0002481D">
        <w:rPr>
          <w:sz w:val="12"/>
          <w:szCs w:val="12"/>
        </w:rPr>
        <w:t>EU4Health, established by </w:t>
      </w:r>
      <w:hyperlink r:id="rId32" w:tgtFrame="_blank" w:history="1">
        <w:r w:rsidRPr="0002481D">
          <w:rPr>
            <w:rStyle w:val="Hyperlink"/>
            <w:sz w:val="12"/>
            <w:szCs w:val="12"/>
          </w:rPr>
          <w:t>Regulation (EU) 2021/522</w:t>
        </w:r>
      </w:hyperlink>
      <w:r w:rsidRPr="0002481D">
        <w:rPr>
          <w:sz w:val="12"/>
          <w:szCs w:val="12"/>
        </w:rPr>
        <w:t xml:space="preserve">, will provide funding to eligible entities, health </w:t>
      </w:r>
      <w:proofErr w:type="spellStart"/>
      <w:r w:rsidRPr="0002481D">
        <w:rPr>
          <w:sz w:val="12"/>
          <w:szCs w:val="12"/>
        </w:rPr>
        <w:t>organisations</w:t>
      </w:r>
      <w:proofErr w:type="spellEnd"/>
      <w:r w:rsidRPr="0002481D">
        <w:rPr>
          <w:sz w:val="12"/>
          <w:szCs w:val="12"/>
        </w:rPr>
        <w:t xml:space="preserve"> and NGOs from EU countries, or non-EU countries associated to the </w:t>
      </w:r>
      <w:proofErr w:type="spellStart"/>
      <w:r w:rsidRPr="0002481D">
        <w:rPr>
          <w:sz w:val="12"/>
          <w:szCs w:val="12"/>
        </w:rPr>
        <w:t>programme</w:t>
      </w:r>
      <w:proofErr w:type="spellEnd"/>
      <w:r w:rsidRPr="0002481D">
        <w:rPr>
          <w:sz w:val="12"/>
          <w:szCs w:val="12"/>
        </w:rPr>
        <w:t>.</w:t>
      </w:r>
    </w:p>
    <w:p w14:paraId="1EB9D765" w14:textId="77777777" w:rsidR="00721169" w:rsidRPr="0002481D" w:rsidRDefault="00721169" w:rsidP="00721169">
      <w:r w:rsidRPr="0002481D">
        <w:rPr>
          <w:sz w:val="12"/>
          <w:szCs w:val="12"/>
        </w:rPr>
        <w:t>Areas of action</w:t>
      </w:r>
    </w:p>
    <w:p w14:paraId="5A88ED7F" w14:textId="77777777" w:rsidR="00721169" w:rsidRPr="0002481D" w:rsidRDefault="00721169" w:rsidP="00721169">
      <w:r w:rsidRPr="0002481D">
        <w:t xml:space="preserve">With EU4Health, </w:t>
      </w:r>
      <w:r w:rsidRPr="00F058BC">
        <w:rPr>
          <w:b/>
          <w:bCs/>
          <w:highlight w:val="green"/>
          <w:u w:val="single"/>
        </w:rPr>
        <w:t xml:space="preserve">the EU will invest </w:t>
      </w:r>
      <w:r w:rsidRPr="00F058BC">
        <w:rPr>
          <w:rStyle w:val="Emphasis"/>
          <w:highlight w:val="green"/>
        </w:rPr>
        <w:t>€5.3 billion</w:t>
      </w:r>
      <w:r w:rsidRPr="0002481D">
        <w:rPr>
          <w:rStyle w:val="Emphasis"/>
        </w:rPr>
        <w:t xml:space="preserve"> </w:t>
      </w:r>
      <w:r w:rsidRPr="00F058BC">
        <w:rPr>
          <w:highlight w:val="green"/>
          <w:u w:val="single"/>
        </w:rPr>
        <w:t>in</w:t>
      </w:r>
      <w:r w:rsidRPr="0002481D">
        <w:t xml:space="preserve"> current prices in actions with an EU added value, complementing EU countries’ </w:t>
      </w:r>
      <w:proofErr w:type="gramStart"/>
      <w:r w:rsidRPr="0002481D">
        <w:t>policies</w:t>
      </w:r>
      <w:proofErr w:type="gramEnd"/>
      <w:r w:rsidRPr="0002481D">
        <w:t xml:space="preserve"> and pursuing one or several of EU4Health´s objectives:</w:t>
      </w:r>
    </w:p>
    <w:p w14:paraId="520BF6A1" w14:textId="77777777" w:rsidR="00721169" w:rsidRPr="0002481D" w:rsidRDefault="00721169" w:rsidP="00721169">
      <w:pPr>
        <w:rPr>
          <w:sz w:val="14"/>
        </w:rPr>
      </w:pPr>
      <w:r w:rsidRPr="0002481D">
        <w:rPr>
          <w:b/>
          <w:bCs/>
          <w:u w:val="single"/>
        </w:rPr>
        <w:t>The 10 specific objectives</w:t>
      </w:r>
      <w:r w:rsidRPr="0002481D">
        <w:rPr>
          <w:sz w:val="14"/>
        </w:rPr>
        <w:t xml:space="preserve"> under the 4 general goals are:</w:t>
      </w:r>
    </w:p>
    <w:p w14:paraId="300161FF" w14:textId="77777777" w:rsidR="00721169" w:rsidRPr="0002481D" w:rsidRDefault="00721169" w:rsidP="00721169">
      <w:pPr>
        <w:rPr>
          <w:sz w:val="14"/>
          <w:szCs w:val="14"/>
        </w:rPr>
      </w:pPr>
      <w:r w:rsidRPr="0002481D">
        <w:rPr>
          <w:sz w:val="14"/>
          <w:szCs w:val="14"/>
        </w:rPr>
        <w:lastRenderedPageBreak/>
        <w:t>To improve and foster health in the Union</w:t>
      </w:r>
    </w:p>
    <w:p w14:paraId="40192F81" w14:textId="77777777" w:rsidR="00721169" w:rsidRPr="0002481D" w:rsidRDefault="00721169" w:rsidP="00721169">
      <w:pPr>
        <w:rPr>
          <w:sz w:val="14"/>
        </w:rPr>
      </w:pPr>
      <w:r w:rsidRPr="00F058BC">
        <w:rPr>
          <w:rStyle w:val="Emphasis"/>
          <w:highlight w:val="green"/>
        </w:rPr>
        <w:t>disease prevention</w:t>
      </w:r>
      <w:r w:rsidRPr="0002481D">
        <w:rPr>
          <w:sz w:val="14"/>
        </w:rPr>
        <w:t xml:space="preserve"> &amp; health promotion</w:t>
      </w:r>
    </w:p>
    <w:p w14:paraId="214046BA" w14:textId="77777777" w:rsidR="00721169" w:rsidRPr="0002481D" w:rsidRDefault="00721169" w:rsidP="00721169">
      <w:pPr>
        <w:rPr>
          <w:szCs w:val="16"/>
        </w:rPr>
      </w:pPr>
      <w:r w:rsidRPr="0002481D">
        <w:rPr>
          <w:szCs w:val="16"/>
        </w:rPr>
        <w:t>international health initiatives &amp; cooperation</w:t>
      </w:r>
    </w:p>
    <w:p w14:paraId="39E5FF66" w14:textId="77777777" w:rsidR="00721169" w:rsidRPr="0002481D" w:rsidRDefault="00721169" w:rsidP="00721169">
      <w:r w:rsidRPr="0002481D">
        <w:rPr>
          <w:b/>
          <w:bCs/>
          <w:u w:val="single"/>
        </w:rPr>
        <w:t>To tackle cross-border health threats</w:t>
      </w:r>
    </w:p>
    <w:p w14:paraId="4783BDE0" w14:textId="77777777" w:rsidR="00721169" w:rsidRPr="0002481D" w:rsidRDefault="00721169" w:rsidP="00721169">
      <w:pPr>
        <w:rPr>
          <w:sz w:val="14"/>
        </w:rPr>
      </w:pPr>
      <w:r w:rsidRPr="0002481D">
        <w:rPr>
          <w:rStyle w:val="Emphasis"/>
        </w:rPr>
        <w:t>prevention</w:t>
      </w:r>
      <w:r w:rsidRPr="0002481D">
        <w:rPr>
          <w:sz w:val="14"/>
        </w:rPr>
        <w:t xml:space="preserve">, </w:t>
      </w:r>
      <w:r w:rsidRPr="00F058BC">
        <w:rPr>
          <w:rStyle w:val="Emphasis"/>
          <w:highlight w:val="green"/>
        </w:rPr>
        <w:t>preparedness</w:t>
      </w:r>
      <w:r w:rsidRPr="0002481D">
        <w:rPr>
          <w:sz w:val="14"/>
        </w:rPr>
        <w:t xml:space="preserve"> </w:t>
      </w:r>
      <w:r w:rsidRPr="00F058BC">
        <w:rPr>
          <w:rStyle w:val="Emphasis"/>
          <w:highlight w:val="green"/>
        </w:rPr>
        <w:t>&amp; response</w:t>
      </w:r>
      <w:r w:rsidRPr="0002481D">
        <w:rPr>
          <w:sz w:val="14"/>
        </w:rPr>
        <w:t xml:space="preserve"> to cross-border health threats</w:t>
      </w:r>
    </w:p>
    <w:p w14:paraId="241821B4" w14:textId="77777777" w:rsidR="00721169" w:rsidRPr="0002481D" w:rsidRDefault="00721169" w:rsidP="00721169">
      <w:pPr>
        <w:rPr>
          <w:sz w:val="14"/>
        </w:rPr>
      </w:pPr>
      <w:r w:rsidRPr="0002481D">
        <w:rPr>
          <w:sz w:val="14"/>
        </w:rPr>
        <w:t xml:space="preserve">complementing national </w:t>
      </w:r>
      <w:r w:rsidRPr="00F058BC">
        <w:rPr>
          <w:rStyle w:val="Emphasis"/>
          <w:highlight w:val="green"/>
        </w:rPr>
        <w:t>stockpiling</w:t>
      </w:r>
      <w:r w:rsidRPr="0002481D">
        <w:rPr>
          <w:rStyle w:val="Emphasis"/>
        </w:rPr>
        <w:t xml:space="preserve"> of essential </w:t>
      </w:r>
      <w:r w:rsidRPr="00F058BC">
        <w:rPr>
          <w:rStyle w:val="Emphasis"/>
          <w:highlight w:val="green"/>
        </w:rPr>
        <w:t>crisis</w:t>
      </w:r>
      <w:r w:rsidRPr="0002481D">
        <w:rPr>
          <w:rStyle w:val="Emphasis"/>
        </w:rPr>
        <w:t xml:space="preserve">-relevant </w:t>
      </w:r>
      <w:r w:rsidRPr="00F058BC">
        <w:rPr>
          <w:rStyle w:val="Emphasis"/>
          <w:highlight w:val="green"/>
        </w:rPr>
        <w:t>products</w:t>
      </w:r>
    </w:p>
    <w:p w14:paraId="4CD1BC60" w14:textId="77777777" w:rsidR="00721169" w:rsidRPr="0002481D" w:rsidRDefault="00721169" w:rsidP="00721169">
      <w:pPr>
        <w:rPr>
          <w:sz w:val="14"/>
        </w:rPr>
      </w:pPr>
      <w:r w:rsidRPr="0002481D">
        <w:rPr>
          <w:sz w:val="14"/>
        </w:rPr>
        <w:t xml:space="preserve">establishing </w:t>
      </w:r>
      <w:r w:rsidRPr="0002481D">
        <w:rPr>
          <w:rStyle w:val="Emphasis"/>
        </w:rPr>
        <w:t xml:space="preserve">a reserve of </w:t>
      </w:r>
      <w:r w:rsidRPr="00F058BC">
        <w:rPr>
          <w:rStyle w:val="Emphasis"/>
          <w:highlight w:val="green"/>
        </w:rPr>
        <w:t>medical</w:t>
      </w:r>
      <w:r w:rsidRPr="0002481D">
        <w:rPr>
          <w:sz w:val="14"/>
        </w:rPr>
        <w:t xml:space="preserve">, healthcare &amp; support </w:t>
      </w:r>
      <w:r w:rsidRPr="00F058BC">
        <w:rPr>
          <w:rStyle w:val="Emphasis"/>
          <w:highlight w:val="green"/>
        </w:rPr>
        <w:t>staff</w:t>
      </w:r>
      <w:r w:rsidRPr="0002481D">
        <w:rPr>
          <w:sz w:val="14"/>
        </w:rPr>
        <w:t> </w:t>
      </w:r>
    </w:p>
    <w:p w14:paraId="25347B61" w14:textId="77777777" w:rsidR="00721169" w:rsidRPr="0002481D" w:rsidRDefault="00721169" w:rsidP="00721169">
      <w:pPr>
        <w:rPr>
          <w:sz w:val="14"/>
        </w:rPr>
      </w:pPr>
      <w:r w:rsidRPr="0002481D">
        <w:rPr>
          <w:sz w:val="14"/>
        </w:rPr>
        <w:t xml:space="preserve">To </w:t>
      </w:r>
      <w:r w:rsidRPr="0002481D">
        <w:rPr>
          <w:rStyle w:val="Emphasis"/>
        </w:rPr>
        <w:t>improve medicinal products</w:t>
      </w:r>
      <w:r w:rsidRPr="0002481D">
        <w:rPr>
          <w:sz w:val="14"/>
        </w:rPr>
        <w:t xml:space="preserve">, medical </w:t>
      </w:r>
      <w:proofErr w:type="gramStart"/>
      <w:r w:rsidRPr="0002481D">
        <w:rPr>
          <w:rStyle w:val="Emphasis"/>
        </w:rPr>
        <w:t>devices</w:t>
      </w:r>
      <w:proofErr w:type="gramEnd"/>
      <w:r w:rsidRPr="0002481D">
        <w:rPr>
          <w:sz w:val="14"/>
        </w:rPr>
        <w:t xml:space="preserve"> and crisis-relevant products</w:t>
      </w:r>
    </w:p>
    <w:p w14:paraId="696DFD2C" w14:textId="77777777" w:rsidR="00721169" w:rsidRPr="0002481D" w:rsidRDefault="00721169" w:rsidP="00721169">
      <w:pPr>
        <w:rPr>
          <w:szCs w:val="16"/>
        </w:rPr>
      </w:pPr>
      <w:r w:rsidRPr="0002481D">
        <w:rPr>
          <w:szCs w:val="16"/>
        </w:rPr>
        <w:t xml:space="preserve">making medicinal products, medical </w:t>
      </w:r>
      <w:proofErr w:type="gramStart"/>
      <w:r w:rsidRPr="0002481D">
        <w:rPr>
          <w:szCs w:val="16"/>
        </w:rPr>
        <w:t>devices</w:t>
      </w:r>
      <w:proofErr w:type="gramEnd"/>
      <w:r w:rsidRPr="0002481D">
        <w:rPr>
          <w:szCs w:val="16"/>
        </w:rPr>
        <w:t xml:space="preserve"> and crisis-relevant products available and affordable</w:t>
      </w:r>
    </w:p>
    <w:p w14:paraId="3B965F05" w14:textId="77777777" w:rsidR="00721169" w:rsidRPr="0002481D" w:rsidRDefault="00721169" w:rsidP="00721169">
      <w:pPr>
        <w:rPr>
          <w:b/>
          <w:bCs/>
          <w:u w:val="single"/>
        </w:rPr>
      </w:pPr>
      <w:r w:rsidRPr="0002481D">
        <w:rPr>
          <w:b/>
          <w:bCs/>
          <w:u w:val="single"/>
        </w:rPr>
        <w:t>To strengthen health systems, their resilience and resource efficiency</w:t>
      </w:r>
    </w:p>
    <w:p w14:paraId="12C81B16" w14:textId="77777777" w:rsidR="00721169" w:rsidRPr="0002481D" w:rsidRDefault="00721169" w:rsidP="00721169">
      <w:pPr>
        <w:rPr>
          <w:szCs w:val="16"/>
        </w:rPr>
      </w:pPr>
      <w:r w:rsidRPr="0002481D">
        <w:rPr>
          <w:szCs w:val="16"/>
        </w:rPr>
        <w:t>strengthening health data, digital tools &amp; services, digital transformation of healthcare</w:t>
      </w:r>
    </w:p>
    <w:p w14:paraId="21C3CD6C" w14:textId="77777777" w:rsidR="00721169" w:rsidRPr="0002481D" w:rsidRDefault="00721169" w:rsidP="00721169">
      <w:pPr>
        <w:rPr>
          <w:b/>
          <w:bCs/>
          <w:u w:val="single"/>
        </w:rPr>
      </w:pPr>
      <w:r w:rsidRPr="0002481D">
        <w:rPr>
          <w:b/>
          <w:bCs/>
          <w:u w:val="single"/>
        </w:rPr>
        <w:t>improving access to healthcare</w:t>
      </w:r>
    </w:p>
    <w:p w14:paraId="6FAC6513" w14:textId="77777777" w:rsidR="00721169" w:rsidRPr="0002481D" w:rsidRDefault="00721169" w:rsidP="00721169">
      <w:pPr>
        <w:rPr>
          <w:szCs w:val="16"/>
        </w:rPr>
      </w:pPr>
      <w:r w:rsidRPr="0002481D">
        <w:rPr>
          <w:szCs w:val="16"/>
        </w:rPr>
        <w:t>developing and implementing EU health legislation and evidence-based decision making </w:t>
      </w:r>
    </w:p>
    <w:p w14:paraId="43AE76A0" w14:textId="77777777" w:rsidR="00721169" w:rsidRPr="0002481D" w:rsidRDefault="00721169" w:rsidP="00721169">
      <w:pPr>
        <w:rPr>
          <w:szCs w:val="16"/>
        </w:rPr>
      </w:pPr>
      <w:r w:rsidRPr="0002481D">
        <w:rPr>
          <w:szCs w:val="16"/>
        </w:rPr>
        <w:t>integrated work among national health systems</w:t>
      </w:r>
    </w:p>
    <w:p w14:paraId="1709A12F" w14:textId="77777777" w:rsidR="00721169" w:rsidRPr="0002481D" w:rsidRDefault="00721169" w:rsidP="00721169">
      <w:pPr>
        <w:rPr>
          <w:szCs w:val="16"/>
        </w:rPr>
      </w:pPr>
      <w:r w:rsidRPr="0002481D">
        <w:rPr>
          <w:szCs w:val="16"/>
        </w:rPr>
        <w:t>EU4Health will pave the way to a </w:t>
      </w:r>
      <w:hyperlink r:id="rId33" w:history="1">
        <w:r w:rsidRPr="0002481D">
          <w:rPr>
            <w:rStyle w:val="Hyperlink"/>
            <w:szCs w:val="16"/>
          </w:rPr>
          <w:t>European Health Union</w:t>
        </w:r>
      </w:hyperlink>
      <w:r w:rsidRPr="0002481D">
        <w:rPr>
          <w:szCs w:val="16"/>
        </w:rPr>
        <w:t> by investing in urgent health priorities:</w:t>
      </w:r>
    </w:p>
    <w:p w14:paraId="67793F5F" w14:textId="77777777" w:rsidR="00721169" w:rsidRPr="0002481D" w:rsidRDefault="00721169" w:rsidP="00721169">
      <w:pPr>
        <w:rPr>
          <w:szCs w:val="16"/>
        </w:rPr>
      </w:pPr>
      <w:r w:rsidRPr="0002481D">
        <w:rPr>
          <w:szCs w:val="16"/>
        </w:rPr>
        <w:t>the </w:t>
      </w:r>
      <w:hyperlink r:id="rId34" w:history="1">
        <w:r w:rsidRPr="0002481D">
          <w:rPr>
            <w:rStyle w:val="Hyperlink"/>
            <w:szCs w:val="16"/>
          </w:rPr>
          <w:t>response to the COVID-19 crisis</w:t>
        </w:r>
      </w:hyperlink>
      <w:r w:rsidRPr="0002481D">
        <w:rPr>
          <w:szCs w:val="16"/>
        </w:rPr>
        <w:t> and reinforcing the EU’s resilience for </w:t>
      </w:r>
      <w:hyperlink r:id="rId35" w:history="1">
        <w:r w:rsidRPr="0002481D">
          <w:rPr>
            <w:rStyle w:val="Hyperlink"/>
            <w:szCs w:val="16"/>
          </w:rPr>
          <w:t>cross-border health threats</w:t>
        </w:r>
      </w:hyperlink>
    </w:p>
    <w:p w14:paraId="3180FB4D" w14:textId="77777777" w:rsidR="00721169" w:rsidRPr="0002481D" w:rsidRDefault="00721169" w:rsidP="00721169">
      <w:pPr>
        <w:rPr>
          <w:szCs w:val="16"/>
        </w:rPr>
      </w:pPr>
      <w:hyperlink r:id="rId36" w:history="1">
        <w:r w:rsidRPr="0002481D">
          <w:rPr>
            <w:rStyle w:val="Hyperlink"/>
            <w:szCs w:val="16"/>
          </w:rPr>
          <w:t>Europe’s Beating Cancer Plan</w:t>
        </w:r>
      </w:hyperlink>
      <w:r w:rsidRPr="0002481D">
        <w:rPr>
          <w:szCs w:val="16"/>
        </w:rPr>
        <w:t>, and </w:t>
      </w:r>
    </w:p>
    <w:p w14:paraId="3C358001" w14:textId="77777777" w:rsidR="00721169" w:rsidRPr="0002481D" w:rsidRDefault="00721169" w:rsidP="00721169">
      <w:pPr>
        <w:rPr>
          <w:szCs w:val="16"/>
        </w:rPr>
      </w:pPr>
      <w:r w:rsidRPr="0002481D">
        <w:rPr>
          <w:szCs w:val="16"/>
        </w:rPr>
        <w:t>the </w:t>
      </w:r>
      <w:hyperlink r:id="rId37" w:history="1">
        <w:r w:rsidRPr="0002481D">
          <w:rPr>
            <w:rStyle w:val="Hyperlink"/>
            <w:szCs w:val="16"/>
          </w:rPr>
          <w:t>Pharmaceutical Strategy</w:t>
        </w:r>
      </w:hyperlink>
      <w:r w:rsidRPr="0002481D">
        <w:rPr>
          <w:szCs w:val="16"/>
        </w:rPr>
        <w:t> for Europe </w:t>
      </w:r>
    </w:p>
    <w:p w14:paraId="6B7C87B1" w14:textId="77777777" w:rsidR="00721169" w:rsidRDefault="00721169" w:rsidP="00721169">
      <w:pPr>
        <w:rPr>
          <w:b/>
          <w:bCs/>
          <w:u w:val="single"/>
        </w:rPr>
      </w:pPr>
      <w:r w:rsidRPr="0002481D">
        <w:t>Other areas, such as health systems’ </w:t>
      </w:r>
      <w:proofErr w:type="spellStart"/>
      <w:r>
        <w:fldChar w:fldCharType="begin"/>
      </w:r>
      <w:r>
        <w:instrText xml:space="preserve"> HYPERLINK "https://ec.europa.eu/health/ehealth/home_en" </w:instrText>
      </w:r>
      <w:r>
        <w:fldChar w:fldCharType="separate"/>
      </w:r>
      <w:r w:rsidRPr="0002481D">
        <w:rPr>
          <w:rStyle w:val="Hyperlink"/>
        </w:rPr>
        <w:t>digitalisation</w:t>
      </w:r>
      <w:proofErr w:type="spellEnd"/>
      <w:r>
        <w:rPr>
          <w:rStyle w:val="Hyperlink"/>
        </w:rPr>
        <w:fldChar w:fldCharType="end"/>
      </w:r>
      <w:r w:rsidRPr="0002481D">
        <w:t xml:space="preserve">, </w:t>
      </w:r>
      <w:r w:rsidRPr="00CC6C76">
        <w:rPr>
          <w:rStyle w:val="Emphasis"/>
        </w:rPr>
        <w:t>reducing</w:t>
      </w:r>
      <w:r w:rsidRPr="0002481D">
        <w:rPr>
          <w:b/>
          <w:bCs/>
          <w:u w:val="single"/>
        </w:rPr>
        <w:t xml:space="preserve"> the </w:t>
      </w:r>
      <w:r w:rsidRPr="00CC6C76">
        <w:rPr>
          <w:b/>
          <w:bCs/>
          <w:u w:val="single"/>
        </w:rPr>
        <w:t xml:space="preserve">number </w:t>
      </w:r>
      <w:r w:rsidRPr="00CC6C76">
        <w:rPr>
          <w:rStyle w:val="Emphasis"/>
        </w:rPr>
        <w:t>of </w:t>
      </w:r>
      <w:hyperlink r:id="rId38" w:history="1">
        <w:r w:rsidRPr="00CC6C76">
          <w:rPr>
            <w:rStyle w:val="Emphasis"/>
          </w:rPr>
          <w:t>antimicrobial-resistant infections</w:t>
        </w:r>
      </w:hyperlink>
      <w:r w:rsidRPr="00CC6C76">
        <w:rPr>
          <w:b/>
          <w:bCs/>
          <w:u w:val="single"/>
        </w:rPr>
        <w:t xml:space="preserve"> and </w:t>
      </w:r>
      <w:r w:rsidRPr="00F058BC">
        <w:rPr>
          <w:rStyle w:val="Emphasis"/>
          <w:highlight w:val="green"/>
        </w:rPr>
        <w:t>improving </w:t>
      </w:r>
      <w:hyperlink r:id="rId39" w:history="1">
        <w:r w:rsidRPr="00F058BC">
          <w:rPr>
            <w:rStyle w:val="Emphasis"/>
            <w:highlight w:val="green"/>
          </w:rPr>
          <w:t>vaccination</w:t>
        </w:r>
      </w:hyperlink>
      <w:r w:rsidRPr="0002481D">
        <w:rPr>
          <w:rStyle w:val="Emphasis"/>
        </w:rPr>
        <w:t> rates</w:t>
      </w:r>
      <w:r w:rsidRPr="0002481D">
        <w:rPr>
          <w:b/>
          <w:bCs/>
          <w:u w:val="single"/>
        </w:rPr>
        <w:t xml:space="preserve"> will also be boosted.</w:t>
      </w:r>
    </w:p>
    <w:p w14:paraId="1ACCFACD" w14:textId="481BBA71" w:rsidR="00E01BB8" w:rsidRPr="00A90B91" w:rsidRDefault="0070350E" w:rsidP="00E01BB8">
      <w:pPr>
        <w:pStyle w:val="Heading4"/>
        <w:rPr>
          <w:rFonts w:cs="Calibri"/>
        </w:rPr>
      </w:pPr>
      <w:r>
        <w:rPr>
          <w:rFonts w:cs="Calibri"/>
        </w:rPr>
        <w:t xml:space="preserve">5] </w:t>
      </w:r>
      <w:r w:rsidR="00E01BB8" w:rsidRPr="00A90B91">
        <w:rPr>
          <w:rFonts w:cs="Calibri"/>
        </w:rPr>
        <w:t>Natural pandemics won’t cause extinction</w:t>
      </w:r>
    </w:p>
    <w:p w14:paraId="44BE4BE3" w14:textId="77777777" w:rsidR="00E01BB8" w:rsidRPr="00A90B91" w:rsidRDefault="00E01BB8" w:rsidP="00E01BB8">
      <w:r w:rsidRPr="00A90B91">
        <w:t xml:space="preserve">Sebastian </w:t>
      </w:r>
      <w:r w:rsidRPr="00A90B91">
        <w:rPr>
          <w:rStyle w:val="Style13ptBold"/>
        </w:rPr>
        <w:t>Farquhar</w:t>
      </w:r>
      <w:r w:rsidRPr="00A90B91">
        <w:t xml:space="preserve"> 1/23/</w:t>
      </w:r>
      <w:r w:rsidRPr="00A90B91">
        <w:rPr>
          <w:rStyle w:val="Style13ptBold"/>
        </w:rPr>
        <w:t>17</w:t>
      </w:r>
      <w:r w:rsidRPr="00A90B91">
        <w:t xml:space="preserve">, director at Oxford's Global Priorities Project, Owen Cotton-Barratt, a Lecturer in Mathematics at St Hugh’s College, Oxford, John Halstead, Stefan Schubert, Haydn Belfield, Andrew Snyder-Beattie, "Existential Risk Diplomacy and Governance", GLOBAL PRIORITIES PROJECT 2017, </w:t>
      </w:r>
      <w:hyperlink r:id="rId40" w:history="1">
        <w:r w:rsidRPr="001462B9">
          <w:rPr>
            <w:rStyle w:val="Hyperlink"/>
          </w:rPr>
          <w:t>https://www.fhi.ox.ac.uk/wp-content/uploads/Existential-Risks-2017-01-23.pdf</w:t>
        </w:r>
      </w:hyperlink>
    </w:p>
    <w:p w14:paraId="236E8FA2" w14:textId="59658754" w:rsidR="00721169" w:rsidRPr="00E01BB8" w:rsidRDefault="00E01BB8" w:rsidP="00721169">
      <w:pPr>
        <w:rPr>
          <w:sz w:val="16"/>
        </w:rPr>
      </w:pPr>
      <w:r w:rsidRPr="00A90B91">
        <w:rPr>
          <w:sz w:val="16"/>
        </w:rPr>
        <w:t xml:space="preserve">1.1.3 Engineered pandemics </w:t>
      </w:r>
      <w:proofErr w:type="gramStart"/>
      <w:r w:rsidRPr="00A90B91">
        <w:rPr>
          <w:sz w:val="16"/>
        </w:rPr>
        <w:t>For</w:t>
      </w:r>
      <w:proofErr w:type="gramEnd"/>
      <w:r w:rsidRPr="00A90B91">
        <w:rPr>
          <w:sz w:val="16"/>
        </w:rPr>
        <w:t xml:space="preserve"> most of human history, natural pandemics have posed the greatest risk of mass global</w:t>
      </w:r>
      <w:r w:rsidRPr="00A90B91">
        <w:rPr>
          <w:rStyle w:val="StyleUnderline"/>
        </w:rPr>
        <w:t xml:space="preserve"> </w:t>
      </w:r>
      <w:r w:rsidRPr="00A90B91">
        <w:rPr>
          <w:sz w:val="16"/>
        </w:rPr>
        <w:t>fatalities</w:t>
      </w:r>
      <w:r w:rsidRPr="00A90B91">
        <w:rPr>
          <w:rStyle w:val="StyleUnderline"/>
        </w:rPr>
        <w:t>.</w:t>
      </w:r>
      <w:r w:rsidRPr="00A90B91">
        <w:rPr>
          <w:sz w:val="16"/>
        </w:rPr>
        <w:t xml:space="preserve">37 However, there are some reasons to believe that </w:t>
      </w:r>
      <w:r w:rsidRPr="00645BCD">
        <w:rPr>
          <w:rStyle w:val="Emphasis"/>
          <w:highlight w:val="green"/>
        </w:rPr>
        <w:t>natural pandemics are very unlikely to cause human extinction</w:t>
      </w:r>
      <w:r w:rsidRPr="00A90B91">
        <w:rPr>
          <w:sz w:val="16"/>
        </w:rPr>
        <w:t xml:space="preserve">. Analysis of the International Union for Conservation of Nature (IUCN) red list database has shown that </w:t>
      </w:r>
      <w:r w:rsidRPr="00645BCD">
        <w:rPr>
          <w:rStyle w:val="StyleUnderline"/>
          <w:highlight w:val="green"/>
        </w:rPr>
        <w:t xml:space="preserve">of </w:t>
      </w:r>
      <w:r w:rsidRPr="00A90B91">
        <w:rPr>
          <w:rStyle w:val="StyleUnderline"/>
        </w:rPr>
        <w:t xml:space="preserve">the 833 recorded </w:t>
      </w:r>
      <w:r w:rsidRPr="00A90B91">
        <w:rPr>
          <w:sz w:val="16"/>
        </w:rPr>
        <w:t xml:space="preserve">plant and animal </w:t>
      </w:r>
      <w:r w:rsidRPr="00A506C5">
        <w:rPr>
          <w:rStyle w:val="StyleUnderline"/>
        </w:rPr>
        <w:t xml:space="preserve">species </w:t>
      </w:r>
      <w:r w:rsidRPr="00A506C5">
        <w:rPr>
          <w:rStyle w:val="StyleUnderline"/>
          <w:highlight w:val="green"/>
        </w:rPr>
        <w:t>extinctions</w:t>
      </w:r>
      <w:r w:rsidRPr="00A90B91">
        <w:rPr>
          <w:sz w:val="16"/>
        </w:rPr>
        <w:t xml:space="preserve"> known to have occurred </w:t>
      </w:r>
      <w:r w:rsidRPr="00A90B91">
        <w:rPr>
          <w:rStyle w:val="StyleUnderline"/>
        </w:rPr>
        <w:t xml:space="preserve">since 1500, </w:t>
      </w:r>
      <w:r w:rsidRPr="00645BCD">
        <w:rPr>
          <w:rStyle w:val="StyleUnderline"/>
          <w:highlight w:val="green"/>
        </w:rPr>
        <w:t>less than 4%</w:t>
      </w:r>
      <w:r w:rsidRPr="00A90B91">
        <w:rPr>
          <w:rStyle w:val="StyleUnderline"/>
        </w:rPr>
        <w:t xml:space="preserve"> (31 </w:t>
      </w:r>
      <w:r w:rsidRPr="00A90B91">
        <w:rPr>
          <w:rStyle w:val="StyleUnderline"/>
        </w:rPr>
        <w:lastRenderedPageBreak/>
        <w:t xml:space="preserve">species) </w:t>
      </w:r>
      <w:r w:rsidRPr="00645BCD">
        <w:rPr>
          <w:rStyle w:val="StyleUnderline"/>
          <w:highlight w:val="green"/>
        </w:rPr>
        <w:t>were</w:t>
      </w:r>
      <w:r w:rsidRPr="00A90B91">
        <w:rPr>
          <w:rStyle w:val="StyleUnderline"/>
        </w:rPr>
        <w:t xml:space="preserve"> ascribed to </w:t>
      </w:r>
      <w:r w:rsidRPr="00A506C5">
        <w:rPr>
          <w:rStyle w:val="StyleUnderline"/>
        </w:rPr>
        <w:t xml:space="preserve">infectious </w:t>
      </w:r>
      <w:r w:rsidRPr="00645BCD">
        <w:rPr>
          <w:rStyle w:val="StyleUnderline"/>
          <w:highlight w:val="green"/>
        </w:rPr>
        <w:t>disease</w:t>
      </w:r>
      <w:r w:rsidRPr="00A90B91">
        <w:rPr>
          <w:sz w:val="16"/>
        </w:rPr>
        <w:t xml:space="preserve">.38 </w:t>
      </w:r>
      <w:r w:rsidRPr="00A506C5">
        <w:rPr>
          <w:rStyle w:val="StyleUnderline"/>
        </w:rPr>
        <w:t>None of the mammals and amphibians on this list were globally dispersed, and other factors aside from infectious disease also contributed to their extinction. It therefore seems th</w:t>
      </w:r>
      <w:r w:rsidRPr="00A90B91">
        <w:rPr>
          <w:rStyle w:val="StyleUnderline"/>
        </w:rPr>
        <w:t xml:space="preserve">at </w:t>
      </w:r>
      <w:r w:rsidRPr="00645BCD">
        <w:rPr>
          <w:rStyle w:val="StyleUnderline"/>
          <w:highlight w:val="green"/>
        </w:rPr>
        <w:t>our</w:t>
      </w:r>
      <w:r w:rsidRPr="00A90B91">
        <w:rPr>
          <w:rStyle w:val="StyleUnderline"/>
        </w:rPr>
        <w:t xml:space="preserve"> own </w:t>
      </w:r>
      <w:r w:rsidRPr="00645BCD">
        <w:rPr>
          <w:rStyle w:val="StyleUnderline"/>
          <w:highlight w:val="green"/>
        </w:rPr>
        <w:t>species</w:t>
      </w:r>
      <w:r w:rsidRPr="00A90B91">
        <w:rPr>
          <w:rStyle w:val="StyleUnderline"/>
        </w:rPr>
        <w:t xml:space="preserve">, which </w:t>
      </w:r>
      <w:r w:rsidRPr="00645BCD">
        <w:rPr>
          <w:rStyle w:val="StyleUnderline"/>
          <w:highlight w:val="green"/>
        </w:rPr>
        <w:t>is</w:t>
      </w:r>
      <w:r w:rsidRPr="00A90B91">
        <w:rPr>
          <w:rStyle w:val="StyleUnderline"/>
        </w:rPr>
        <w:t xml:space="preserve"> very </w:t>
      </w:r>
      <w:r w:rsidRPr="00645BCD">
        <w:rPr>
          <w:rStyle w:val="Emphasis"/>
          <w:highlight w:val="green"/>
        </w:rPr>
        <w:t>numerous</w:t>
      </w:r>
      <w:r w:rsidRPr="00A90B91">
        <w:rPr>
          <w:rStyle w:val="StyleUnderline"/>
        </w:rPr>
        <w:t xml:space="preserve">, globally </w:t>
      </w:r>
      <w:r w:rsidRPr="00645BCD">
        <w:rPr>
          <w:rStyle w:val="Emphasis"/>
          <w:highlight w:val="green"/>
        </w:rPr>
        <w:t>dispersed</w:t>
      </w:r>
      <w:r w:rsidRPr="00645BCD">
        <w:rPr>
          <w:rStyle w:val="StyleUnderline"/>
          <w:highlight w:val="green"/>
        </w:rPr>
        <w:t>, and capable of</w:t>
      </w:r>
      <w:r w:rsidRPr="00A90B91">
        <w:rPr>
          <w:rStyle w:val="StyleUnderline"/>
        </w:rPr>
        <w:t xml:space="preserve"> a </w:t>
      </w:r>
      <w:r w:rsidRPr="00645BCD">
        <w:rPr>
          <w:rStyle w:val="Emphasis"/>
          <w:highlight w:val="green"/>
        </w:rPr>
        <w:t>rational response</w:t>
      </w:r>
      <w:r w:rsidRPr="00A90B91">
        <w:rPr>
          <w:rStyle w:val="StyleUnderline"/>
        </w:rPr>
        <w:t xml:space="preserve"> to problems, </w:t>
      </w:r>
      <w:r w:rsidRPr="00A506C5">
        <w:rPr>
          <w:rStyle w:val="Emphasis"/>
        </w:rPr>
        <w:t>is very unlikely to be killed off by a natural pandemic</w:t>
      </w:r>
      <w:r w:rsidRPr="00A506C5">
        <w:rPr>
          <w:sz w:val="16"/>
        </w:rPr>
        <w:t>. One underlying</w:t>
      </w:r>
      <w:r w:rsidRPr="00A90B91">
        <w:rPr>
          <w:sz w:val="16"/>
        </w:rPr>
        <w:t xml:space="preserve"> explanation for this is that </w:t>
      </w:r>
      <w:r w:rsidRPr="00645BCD">
        <w:rPr>
          <w:rStyle w:val="StyleUnderline"/>
          <w:highlight w:val="green"/>
        </w:rPr>
        <w:t>highly lethal pathogens</w:t>
      </w:r>
      <w:r w:rsidRPr="00A90B91">
        <w:rPr>
          <w:rStyle w:val="StyleUnderline"/>
        </w:rPr>
        <w:t xml:space="preserve"> can </w:t>
      </w:r>
      <w:r w:rsidRPr="00645BCD">
        <w:rPr>
          <w:rStyle w:val="StyleUnderline"/>
          <w:highlight w:val="green"/>
        </w:rPr>
        <w:t>kill their hosts before they</w:t>
      </w:r>
      <w:r w:rsidRPr="00A90B91">
        <w:rPr>
          <w:rStyle w:val="StyleUnderline"/>
        </w:rPr>
        <w:t xml:space="preserve"> have a chance to </w:t>
      </w:r>
      <w:r w:rsidRPr="00645BCD">
        <w:rPr>
          <w:rStyle w:val="StyleUnderline"/>
          <w:highlight w:val="green"/>
        </w:rPr>
        <w:t xml:space="preserve">spread, so </w:t>
      </w:r>
      <w:r w:rsidRPr="00645BCD">
        <w:rPr>
          <w:rStyle w:val="Emphasis"/>
          <w:highlight w:val="green"/>
        </w:rPr>
        <w:t>there is a selective pressure for pathogens not to be highly lethal</w:t>
      </w:r>
      <w:r w:rsidRPr="00A90B91">
        <w:rPr>
          <w:rStyle w:val="StyleUnderline"/>
        </w:rPr>
        <w:t>. Therefore, pathogens are likely to co-evolve with their hosts rather than kill all possible hosts</w:t>
      </w:r>
      <w:r w:rsidRPr="00A90B91">
        <w:rPr>
          <w:sz w:val="16"/>
        </w:rPr>
        <w:t>.39</w:t>
      </w:r>
    </w:p>
    <w:p w14:paraId="6388F6EB" w14:textId="77777777" w:rsidR="00721169" w:rsidRDefault="00721169" w:rsidP="00721169">
      <w:pPr>
        <w:pStyle w:val="Heading3"/>
      </w:pPr>
      <w:r>
        <w:lastRenderedPageBreak/>
        <w:t>Adv 2</w:t>
      </w:r>
    </w:p>
    <w:p w14:paraId="187570A3" w14:textId="1657CA59" w:rsidR="00721169" w:rsidRPr="00AC61D2" w:rsidRDefault="00721169" w:rsidP="00721169">
      <w:pPr>
        <w:pStyle w:val="Heading4"/>
        <w:rPr>
          <w:u w:val="single"/>
        </w:rPr>
      </w:pPr>
      <w:r>
        <w:t xml:space="preserve">1] </w:t>
      </w:r>
      <w:proofErr w:type="spellStart"/>
      <w:r>
        <w:t>Junge</w:t>
      </w:r>
      <w:proofErr w:type="spellEnd"/>
      <w:r>
        <w:t xml:space="preserve"> is about </w:t>
      </w:r>
      <w:r>
        <w:rPr>
          <w:u w:val="single"/>
        </w:rPr>
        <w:t>overall trade d</w:t>
      </w:r>
      <w:r w:rsidR="00B93B36">
        <w:rPr>
          <w:u w:val="single"/>
        </w:rPr>
        <w:t>i</w:t>
      </w:r>
      <w:r>
        <w:rPr>
          <w:u w:val="single"/>
        </w:rPr>
        <w:t xml:space="preserve">screpancies </w:t>
      </w:r>
      <w:r>
        <w:t xml:space="preserve">– whistleblowers aren’t key—border laws and foreign litigation cause </w:t>
      </w:r>
      <w:r>
        <w:rPr>
          <w:u w:val="single"/>
        </w:rPr>
        <w:t>disharmony</w:t>
      </w:r>
    </w:p>
    <w:p w14:paraId="6C6ED9D4" w14:textId="77777777" w:rsidR="00721169" w:rsidRPr="00AC61D2" w:rsidRDefault="00721169" w:rsidP="00721169">
      <w:pPr>
        <w:rPr>
          <w:i/>
          <w:iCs/>
        </w:rPr>
      </w:pPr>
      <w:r>
        <w:rPr>
          <w:rStyle w:val="Style13ptBold"/>
        </w:rPr>
        <w:t xml:space="preserve">1AC </w:t>
      </w:r>
      <w:proofErr w:type="spellStart"/>
      <w:r w:rsidRPr="00F87FBD">
        <w:rPr>
          <w:rStyle w:val="Style13ptBold"/>
        </w:rPr>
        <w:t>Junge</w:t>
      </w:r>
      <w:proofErr w:type="spellEnd"/>
      <w:r w:rsidRPr="00F87FBD">
        <w:rPr>
          <w:rStyle w:val="Style13ptBold"/>
        </w:rPr>
        <w:t xml:space="preserve"> 16</w:t>
      </w:r>
      <w:r w:rsidRPr="00F87FBD">
        <w:t xml:space="preserve"> — (Fabian </w:t>
      </w:r>
      <w:proofErr w:type="spellStart"/>
      <w:r w:rsidRPr="00F87FBD">
        <w:t>Junge</w:t>
      </w:r>
      <w:proofErr w:type="spellEnd"/>
      <w:r w:rsidRPr="00F87FBD">
        <w:t xml:space="preserve">, Law @ Maastricht University, “THE NECESSITY OF EUROPEAN HARMONIZATION IN THE AREA OF TRADE SECRETS”, MAASTRICHT EUROPEAN PRIVATE LAW INSTITUTE WORKING PAPER No. 2016/04, Available Online at </w:t>
      </w:r>
      <w:hyperlink r:id="rId41" w:history="1">
        <w:r w:rsidRPr="00B60E99">
          <w:rPr>
            <w:rStyle w:val="Hyperlink"/>
          </w:rPr>
          <w:t>https://papers.ssrn.com/sol3/papers.cfm?abstract_id=2839693,)DR</w:t>
        </w:r>
      </w:hyperlink>
      <w:r>
        <w:t xml:space="preserve"> 21</w:t>
      </w:r>
    </w:p>
    <w:p w14:paraId="73A79831" w14:textId="77777777" w:rsidR="00721169" w:rsidRPr="00AC61D2" w:rsidRDefault="00721169" w:rsidP="00721169">
      <w:r w:rsidRPr="00F058BC">
        <w:rPr>
          <w:highlight w:val="green"/>
          <w:u w:val="single"/>
        </w:rPr>
        <w:t xml:space="preserve">If the </w:t>
      </w:r>
      <w:proofErr w:type="spellStart"/>
      <w:r w:rsidRPr="00F058BC">
        <w:rPr>
          <w:highlight w:val="green"/>
          <w:u w:val="single"/>
        </w:rPr>
        <w:t>misappropriator</w:t>
      </w:r>
      <w:proofErr w:type="spellEnd"/>
      <w:r w:rsidRPr="00F058BC">
        <w:rPr>
          <w:highlight w:val="green"/>
          <w:u w:val="single"/>
        </w:rPr>
        <w:t xml:space="preserve"> is</w:t>
      </w:r>
      <w:r w:rsidRPr="00AC61D2">
        <w:t xml:space="preserve"> solely residing </w:t>
      </w:r>
      <w:r w:rsidRPr="00F058BC">
        <w:rPr>
          <w:highlight w:val="green"/>
          <w:u w:val="single"/>
        </w:rPr>
        <w:t>in a third country</w:t>
      </w:r>
      <w:r w:rsidRPr="00AC61D2">
        <w:t xml:space="preserve">, the issue of </w:t>
      </w:r>
      <w:r w:rsidRPr="00F058BC">
        <w:rPr>
          <w:highlight w:val="green"/>
          <w:u w:val="single"/>
        </w:rPr>
        <w:t>the</w:t>
      </w:r>
      <w:r w:rsidRPr="00AC61D2">
        <w:t xml:space="preserve"> applicable </w:t>
      </w:r>
      <w:r w:rsidRPr="00F058BC">
        <w:rPr>
          <w:highlight w:val="green"/>
          <w:u w:val="single"/>
        </w:rPr>
        <w:t>law</w:t>
      </w:r>
      <w:r w:rsidRPr="00AC61D2">
        <w:t xml:space="preserve"> will be dealt with </w:t>
      </w:r>
      <w:proofErr w:type="gramStart"/>
      <w:r w:rsidRPr="00AC61D2">
        <w:t>on the basis of</w:t>
      </w:r>
      <w:proofErr w:type="gramEnd"/>
      <w:r w:rsidRPr="00AC61D2">
        <w:t xml:space="preserve"> national law, because it </w:t>
      </w:r>
      <w:r w:rsidRPr="00F058BC">
        <w:rPr>
          <w:highlight w:val="green"/>
          <w:u w:val="single"/>
        </w:rPr>
        <w:t>falls outside the scope of the Brussels</w:t>
      </w:r>
      <w:r w:rsidRPr="00AC61D2">
        <w:t xml:space="preserve"> I </w:t>
      </w:r>
      <w:r w:rsidRPr="00F058BC">
        <w:rPr>
          <w:highlight w:val="green"/>
          <w:u w:val="single"/>
        </w:rPr>
        <w:t>Regulation</w:t>
      </w:r>
      <w:r w:rsidRPr="00AC61D2">
        <w:rPr>
          <w:u w:val="single"/>
        </w:rPr>
        <w:t>95</w:t>
      </w:r>
      <w:r w:rsidRPr="00AC61D2">
        <w:t xml:space="preserve">. </w:t>
      </w:r>
      <w:r w:rsidRPr="00AC61D2">
        <w:rPr>
          <w:u w:val="single"/>
        </w:rPr>
        <w:t xml:space="preserve">Therefore, trade secret holders only have access to judicial protection or can enforce foreign </w:t>
      </w:r>
      <w:proofErr w:type="gramStart"/>
      <w:r w:rsidRPr="00AC61D2">
        <w:rPr>
          <w:u w:val="single"/>
        </w:rPr>
        <w:t>judgments, if</w:t>
      </w:r>
      <w:proofErr w:type="gramEnd"/>
      <w:r w:rsidRPr="00AC61D2">
        <w:rPr>
          <w:u w:val="single"/>
        </w:rPr>
        <w:t xml:space="preserve"> domestic law allows it</w:t>
      </w:r>
      <w:r w:rsidRPr="00AC61D2">
        <w:t xml:space="preserve">. </w:t>
      </w:r>
      <w:r w:rsidRPr="00AC61D2">
        <w:rPr>
          <w:b/>
          <w:bCs/>
          <w:u w:val="single"/>
        </w:rPr>
        <w:t>The conditions for</w:t>
      </w:r>
      <w:r w:rsidRPr="00AC61D2">
        <w:rPr>
          <w:u w:val="single"/>
        </w:rPr>
        <w:t xml:space="preserve"> access as well as for recognition and </w:t>
      </w:r>
      <w:r w:rsidRPr="00F058BC">
        <w:rPr>
          <w:rStyle w:val="Emphasis"/>
          <w:highlight w:val="green"/>
        </w:rPr>
        <w:t>enforcement of third country judgments differ greatly</w:t>
      </w:r>
      <w:r w:rsidRPr="00F058BC">
        <w:rPr>
          <w:highlight w:val="green"/>
          <w:u w:val="single"/>
        </w:rPr>
        <w:t xml:space="preserve"> between</w:t>
      </w:r>
      <w:r w:rsidRPr="00AC61D2">
        <w:rPr>
          <w:u w:val="single"/>
        </w:rPr>
        <w:t xml:space="preserve"> the </w:t>
      </w:r>
      <w:r w:rsidRPr="00AC61D2">
        <w:rPr>
          <w:b/>
          <w:bCs/>
          <w:u w:val="single"/>
        </w:rPr>
        <w:t xml:space="preserve">Member </w:t>
      </w:r>
      <w:r w:rsidRPr="00F058BC">
        <w:rPr>
          <w:b/>
          <w:bCs/>
          <w:highlight w:val="green"/>
          <w:u w:val="single"/>
        </w:rPr>
        <w:t>States</w:t>
      </w:r>
      <w:r w:rsidRPr="00AC61D2">
        <w:t xml:space="preserve">.96 In principle, </w:t>
      </w:r>
      <w:r w:rsidRPr="00AC61D2">
        <w:rPr>
          <w:u w:val="single"/>
        </w:rPr>
        <w:t xml:space="preserve">goods produced by the </w:t>
      </w:r>
      <w:proofErr w:type="spellStart"/>
      <w:r w:rsidRPr="00AC61D2">
        <w:rPr>
          <w:u w:val="single"/>
        </w:rPr>
        <w:t>misappropriator</w:t>
      </w:r>
      <w:proofErr w:type="spellEnd"/>
      <w:r w:rsidRPr="00AC61D2">
        <w:rPr>
          <w:u w:val="single"/>
        </w:rPr>
        <w:t xml:space="preserve"> in a Member State or third country not providing trade secret protection for the legitimate trade secret holder could be freely sold on the internal market.</w:t>
      </w:r>
    </w:p>
    <w:p w14:paraId="7F868B81" w14:textId="77777777" w:rsidR="00721169" w:rsidRPr="00EF7593" w:rsidRDefault="00721169" w:rsidP="00721169">
      <w:r w:rsidRPr="00F058BC">
        <w:rPr>
          <w:rStyle w:val="Emphasis"/>
          <w:highlight w:val="green"/>
        </w:rPr>
        <w:t>Difficulties with both</w:t>
      </w:r>
      <w:r w:rsidRPr="00F058BC">
        <w:rPr>
          <w:rStyle w:val="StyleUnderline"/>
          <w:highlight w:val="green"/>
        </w:rPr>
        <w:t xml:space="preserve"> </w:t>
      </w:r>
      <w:r w:rsidRPr="00F058BC">
        <w:rPr>
          <w:rStyle w:val="Emphasis"/>
          <w:highlight w:val="green"/>
        </w:rPr>
        <w:t>cross-border</w:t>
      </w:r>
      <w:r w:rsidRPr="00AC61D2">
        <w:rPr>
          <w:rStyle w:val="Emphasis"/>
        </w:rPr>
        <w:t xml:space="preserve"> litigation</w:t>
      </w:r>
      <w:r w:rsidRPr="00AC61D2">
        <w:rPr>
          <w:rStyle w:val="StyleUnderline"/>
        </w:rPr>
        <w:t xml:space="preserve"> </w:t>
      </w:r>
      <w:r w:rsidRPr="00F058BC">
        <w:rPr>
          <w:rStyle w:val="StyleUnderline"/>
          <w:highlight w:val="green"/>
        </w:rPr>
        <w:t xml:space="preserve">and </w:t>
      </w:r>
      <w:r w:rsidRPr="00F058BC">
        <w:rPr>
          <w:rStyle w:val="Emphasis"/>
          <w:highlight w:val="green"/>
        </w:rPr>
        <w:t>domestic litigation</w:t>
      </w:r>
      <w:r w:rsidRPr="00AC61D2">
        <w:rPr>
          <w:rStyle w:val="StyleUnderline"/>
        </w:rPr>
        <w:t xml:space="preserve"> on trade secrets are supported by the fact that, while only a limited number of domestic cases have been reported, </w:t>
      </w:r>
      <w:r w:rsidRPr="00F058BC">
        <w:rPr>
          <w:rStyle w:val="Emphasis"/>
          <w:highlight w:val="green"/>
        </w:rPr>
        <w:t>cross-border case law appears to be completely absent</w:t>
      </w:r>
      <w:r w:rsidRPr="00F058BC">
        <w:rPr>
          <w:highlight w:val="green"/>
        </w:rPr>
        <w:t>.</w:t>
      </w:r>
      <w:r w:rsidRPr="00EF7593">
        <w:t xml:space="preserve"> Reminiscing the number of companies being the target of misappropriation, or attempts to misappropriate, their reluctance to bring an action is </w:t>
      </w:r>
      <w:r w:rsidRPr="00AC61D2">
        <w:rPr>
          <w:b/>
          <w:bCs/>
          <w:u w:val="single"/>
        </w:rPr>
        <w:t xml:space="preserve">certainly </w:t>
      </w:r>
      <w:r w:rsidRPr="00F058BC">
        <w:rPr>
          <w:rStyle w:val="Emphasis"/>
          <w:highlight w:val="green"/>
        </w:rPr>
        <w:t>worrisome</w:t>
      </w:r>
      <w:r w:rsidRPr="00F058BC">
        <w:rPr>
          <w:b/>
          <w:bCs/>
          <w:highlight w:val="green"/>
          <w:u w:val="single"/>
        </w:rPr>
        <w:t xml:space="preserve"> with respect to the EU’s</w:t>
      </w:r>
      <w:r w:rsidRPr="00AC61D2">
        <w:rPr>
          <w:b/>
          <w:bCs/>
          <w:u w:val="single"/>
        </w:rPr>
        <w:t xml:space="preserve"> and its Member States’ capacity for an effective </w:t>
      </w:r>
      <w:r w:rsidRPr="00F058BC">
        <w:rPr>
          <w:b/>
          <w:bCs/>
          <w:highlight w:val="green"/>
          <w:u w:val="single"/>
        </w:rPr>
        <w:t>enforcement mechanism</w:t>
      </w:r>
      <w:r w:rsidRPr="00EF7593">
        <w:t>.97</w:t>
      </w:r>
    </w:p>
    <w:p w14:paraId="67A2CFDE" w14:textId="77777777" w:rsidR="00721169" w:rsidRDefault="00721169" w:rsidP="00721169">
      <w:pPr>
        <w:pStyle w:val="Heading4"/>
      </w:pPr>
      <w:r>
        <w:t>2] Econ impact is a joke- global economic collapse and EU economy tanked to zero in in 2021--- didn’t cause a single war.</w:t>
      </w:r>
    </w:p>
    <w:p w14:paraId="6C0D692A" w14:textId="77777777" w:rsidR="00721169" w:rsidRDefault="00721169" w:rsidP="00721169">
      <w:pPr>
        <w:pStyle w:val="Heading4"/>
      </w:pPr>
      <w:r>
        <w:t xml:space="preserve">3] EU isn’t key to the global economy- China and the US </w:t>
      </w:r>
      <w:r w:rsidRPr="000C2607">
        <w:rPr>
          <w:u w:val="single"/>
        </w:rPr>
        <w:t>grew</w:t>
      </w:r>
      <w:r>
        <w:t xml:space="preserve"> during Eurozone crisis</w:t>
      </w:r>
    </w:p>
    <w:p w14:paraId="59885137" w14:textId="5B478FDB" w:rsidR="00721169" w:rsidRDefault="00721169" w:rsidP="00721169">
      <w:pPr>
        <w:pStyle w:val="Heading4"/>
      </w:pPr>
      <w:r>
        <w:t>4] Decline inevitable</w:t>
      </w:r>
      <w:r w:rsidR="008E6C97">
        <w:t xml:space="preserve"> – COVID</w:t>
      </w:r>
      <w:r>
        <w:t xml:space="preserve"> Delta</w:t>
      </w:r>
      <w:r w:rsidR="00E165BB">
        <w:t xml:space="preserve"> variant</w:t>
      </w:r>
      <w:r>
        <w:t xml:space="preserve"> is crushing the European economy</w:t>
      </w:r>
    </w:p>
    <w:p w14:paraId="5DA0869E" w14:textId="77777777" w:rsidR="00721169" w:rsidRPr="000B3D8F" w:rsidRDefault="00721169" w:rsidP="00721169">
      <w:r w:rsidRPr="000B3D8F">
        <w:rPr>
          <w:b/>
          <w:bCs/>
          <w:sz w:val="26"/>
          <w:szCs w:val="26"/>
        </w:rPr>
        <w:t>Matsuo et al. 08/24</w:t>
      </w:r>
      <w:r w:rsidRPr="0024216B">
        <w:t>/2021</w:t>
      </w:r>
      <w:r>
        <w:t xml:space="preserve"> </w:t>
      </w:r>
      <w:r w:rsidRPr="000B3D8F">
        <w:rPr>
          <w:sz w:val="18"/>
          <w:szCs w:val="18"/>
        </w:rPr>
        <w:t xml:space="preserve">(YOHEI MATSUO, TATSUYA GOTO and RINTARO HOSOKAWA, Nikkei staff writers. “COVID-19 casts shadow over US and European economic optimism” </w:t>
      </w:r>
      <w:hyperlink r:id="rId42" w:history="1">
        <w:r w:rsidRPr="000B3D8F">
          <w:rPr>
            <w:rStyle w:val="Hyperlink"/>
            <w:sz w:val="18"/>
            <w:szCs w:val="18"/>
          </w:rPr>
          <w:t>https://asia.nikkei.com/Spotlight/Datawatch/COVID-19-casts-shadow-over-US-and-European-economic-optimism</w:t>
        </w:r>
      </w:hyperlink>
      <w:r w:rsidRPr="000B3D8F">
        <w:rPr>
          <w:sz w:val="18"/>
          <w:szCs w:val="18"/>
        </w:rPr>
        <w:t xml:space="preserve"> August 24, 2021)DR 21</w:t>
      </w:r>
    </w:p>
    <w:p w14:paraId="72593ADB" w14:textId="77777777" w:rsidR="00721169" w:rsidRPr="000B3D8F" w:rsidRDefault="00721169" w:rsidP="00721169">
      <w:pPr>
        <w:rPr>
          <w:u w:val="single"/>
        </w:rPr>
      </w:pPr>
      <w:r w:rsidRPr="000B3D8F">
        <w:t xml:space="preserve">Even </w:t>
      </w:r>
      <w:r w:rsidRPr="00F058BC">
        <w:rPr>
          <w:highlight w:val="green"/>
          <w:u w:val="single"/>
        </w:rPr>
        <w:t>in Europe</w:t>
      </w:r>
      <w:r w:rsidRPr="000B3D8F">
        <w:t xml:space="preserve">, however, </w:t>
      </w:r>
      <w:r w:rsidRPr="000B3D8F">
        <w:rPr>
          <w:u w:val="single"/>
        </w:rPr>
        <w:t xml:space="preserve">the </w:t>
      </w:r>
      <w:r w:rsidRPr="00F058BC">
        <w:rPr>
          <w:b/>
          <w:bCs/>
          <w:highlight w:val="green"/>
          <w:u w:val="single"/>
        </w:rPr>
        <w:t>delta</w:t>
      </w:r>
      <w:r w:rsidRPr="000B3D8F">
        <w:rPr>
          <w:u w:val="single"/>
        </w:rPr>
        <w:t xml:space="preserve"> variant </w:t>
      </w:r>
      <w:r w:rsidRPr="00F058BC">
        <w:rPr>
          <w:rStyle w:val="Emphasis"/>
          <w:highlight w:val="green"/>
        </w:rPr>
        <w:t>is casting shadows over its economic outlook</w:t>
      </w:r>
      <w:r w:rsidRPr="000B3D8F">
        <w:rPr>
          <w:u w:val="single"/>
        </w:rPr>
        <w:t xml:space="preserve">. </w:t>
      </w:r>
      <w:r w:rsidRPr="00F058BC">
        <w:rPr>
          <w:highlight w:val="green"/>
          <w:u w:val="single"/>
        </w:rPr>
        <w:t>The economic</w:t>
      </w:r>
      <w:r w:rsidRPr="000B3D8F">
        <w:rPr>
          <w:u w:val="single"/>
        </w:rPr>
        <w:t xml:space="preserve"> sentiment </w:t>
      </w:r>
      <w:r w:rsidRPr="00F058BC">
        <w:rPr>
          <w:highlight w:val="green"/>
          <w:u w:val="single"/>
        </w:rPr>
        <w:t>indicator, compiled by Germany</w:t>
      </w:r>
      <w:r w:rsidRPr="000B3D8F">
        <w:rPr>
          <w:u w:val="single"/>
        </w:rPr>
        <w:t xml:space="preserve">'s Center for European Economic Research (ZEW), </w:t>
      </w:r>
      <w:r w:rsidRPr="00F058BC">
        <w:rPr>
          <w:highlight w:val="green"/>
          <w:u w:val="single"/>
        </w:rPr>
        <w:t>came</w:t>
      </w:r>
      <w:r w:rsidRPr="000B3D8F">
        <w:rPr>
          <w:u w:val="single"/>
        </w:rPr>
        <w:t xml:space="preserve"> to 40.4 in August, </w:t>
      </w:r>
      <w:r w:rsidRPr="00F058BC">
        <w:rPr>
          <w:highlight w:val="green"/>
          <w:u w:val="single"/>
        </w:rPr>
        <w:t>down 22.9 points in the third consecutive</w:t>
      </w:r>
      <w:r w:rsidRPr="000B3D8F">
        <w:rPr>
          <w:u w:val="single"/>
        </w:rPr>
        <w:t xml:space="preserve"> month-to-month </w:t>
      </w:r>
      <w:r w:rsidRPr="00F058BC">
        <w:rPr>
          <w:b/>
          <w:bCs/>
          <w:highlight w:val="green"/>
          <w:u w:val="single"/>
        </w:rPr>
        <w:t>fall</w:t>
      </w:r>
      <w:r w:rsidRPr="000B3D8F">
        <w:rPr>
          <w:u w:val="single"/>
        </w:rPr>
        <w:t>.</w:t>
      </w:r>
    </w:p>
    <w:p w14:paraId="6433CD21" w14:textId="77777777" w:rsidR="00721169" w:rsidRPr="000B3D8F" w:rsidRDefault="00721169" w:rsidP="00721169">
      <w:r w:rsidRPr="000B3D8F">
        <w:t xml:space="preserve">Christine </w:t>
      </w:r>
      <w:r w:rsidRPr="00F058BC">
        <w:rPr>
          <w:b/>
          <w:bCs/>
          <w:highlight w:val="green"/>
          <w:u w:val="single"/>
        </w:rPr>
        <w:t>Lagarde</w:t>
      </w:r>
      <w:r w:rsidRPr="000B3D8F">
        <w:rPr>
          <w:u w:val="single"/>
        </w:rPr>
        <w:t xml:space="preserve">, </w:t>
      </w:r>
      <w:r w:rsidRPr="000B3D8F">
        <w:rPr>
          <w:rStyle w:val="Emphasis"/>
        </w:rPr>
        <w:t>president of the European Central Bank</w:t>
      </w:r>
      <w:r w:rsidRPr="000B3D8F">
        <w:rPr>
          <w:u w:val="single"/>
        </w:rPr>
        <w:t xml:space="preserve">, </w:t>
      </w:r>
      <w:r w:rsidRPr="00F058BC">
        <w:rPr>
          <w:highlight w:val="green"/>
          <w:u w:val="single"/>
        </w:rPr>
        <w:t>warned</w:t>
      </w:r>
      <w:r w:rsidRPr="000B3D8F">
        <w:rPr>
          <w:u w:val="single"/>
        </w:rPr>
        <w:t xml:space="preserve"> that the </w:t>
      </w:r>
      <w:r w:rsidRPr="00F058BC">
        <w:rPr>
          <w:rStyle w:val="Emphasis"/>
          <w:highlight w:val="green"/>
        </w:rPr>
        <w:t>delta</w:t>
      </w:r>
      <w:r w:rsidRPr="000B3D8F">
        <w:rPr>
          <w:u w:val="single"/>
        </w:rPr>
        <w:t xml:space="preserve"> variant "</w:t>
      </w:r>
      <w:r w:rsidRPr="00F058BC">
        <w:rPr>
          <w:highlight w:val="green"/>
          <w:u w:val="single"/>
        </w:rPr>
        <w:t xml:space="preserve">could </w:t>
      </w:r>
      <w:r w:rsidRPr="00F058BC">
        <w:rPr>
          <w:rStyle w:val="Emphasis"/>
          <w:highlight w:val="green"/>
        </w:rPr>
        <w:t>slow down</w:t>
      </w:r>
      <w:r w:rsidRPr="00F058BC">
        <w:rPr>
          <w:highlight w:val="green"/>
          <w:u w:val="single"/>
        </w:rPr>
        <w:t xml:space="preserve">" </w:t>
      </w:r>
      <w:r w:rsidRPr="00F058BC">
        <w:rPr>
          <w:rStyle w:val="Emphasis"/>
          <w:highlight w:val="green"/>
        </w:rPr>
        <w:t>the recovery</w:t>
      </w:r>
      <w:r w:rsidRPr="000B3D8F">
        <w:rPr>
          <w:u w:val="single"/>
        </w:rPr>
        <w:t xml:space="preserve"> in services, "</w:t>
      </w:r>
      <w:r w:rsidRPr="00F058BC">
        <w:rPr>
          <w:highlight w:val="green"/>
          <w:u w:val="single"/>
        </w:rPr>
        <w:t xml:space="preserve">especially in </w:t>
      </w:r>
      <w:r w:rsidRPr="00F058BC">
        <w:rPr>
          <w:rStyle w:val="Emphasis"/>
          <w:highlight w:val="green"/>
        </w:rPr>
        <w:t>tourism</w:t>
      </w:r>
      <w:r w:rsidRPr="00F058BC">
        <w:rPr>
          <w:highlight w:val="green"/>
          <w:u w:val="single"/>
        </w:rPr>
        <w:t xml:space="preserve"> and </w:t>
      </w:r>
      <w:r w:rsidRPr="00F058BC">
        <w:rPr>
          <w:rStyle w:val="Emphasis"/>
          <w:highlight w:val="green"/>
        </w:rPr>
        <w:t>hospitality</w:t>
      </w:r>
      <w:r w:rsidRPr="00F058BC">
        <w:rPr>
          <w:highlight w:val="green"/>
          <w:u w:val="single"/>
        </w:rPr>
        <w:t>."</w:t>
      </w:r>
    </w:p>
    <w:p w14:paraId="325168A5" w14:textId="77777777" w:rsidR="00721169" w:rsidRPr="000B3D8F" w:rsidRDefault="00721169" w:rsidP="00721169">
      <w:r w:rsidRPr="000B3D8F">
        <w:rPr>
          <w:u w:val="single"/>
        </w:rPr>
        <w:lastRenderedPageBreak/>
        <w:t xml:space="preserve">The </w:t>
      </w:r>
      <w:r w:rsidRPr="00F058BC">
        <w:rPr>
          <w:highlight w:val="green"/>
          <w:u w:val="single"/>
        </w:rPr>
        <w:t>delta</w:t>
      </w:r>
      <w:r w:rsidRPr="000B3D8F">
        <w:rPr>
          <w:u w:val="single"/>
        </w:rPr>
        <w:t xml:space="preserve"> variant </w:t>
      </w:r>
      <w:r w:rsidRPr="00F058BC">
        <w:rPr>
          <w:highlight w:val="green"/>
          <w:u w:val="single"/>
        </w:rPr>
        <w:t>is</w:t>
      </w:r>
      <w:r w:rsidRPr="000B3D8F">
        <w:rPr>
          <w:u w:val="single"/>
        </w:rPr>
        <w:t xml:space="preserve"> also </w:t>
      </w:r>
      <w:r w:rsidRPr="00F058BC">
        <w:rPr>
          <w:highlight w:val="green"/>
          <w:u w:val="single"/>
        </w:rPr>
        <w:t>on a rampage in Asia</w:t>
      </w:r>
      <w:r w:rsidRPr="000B3D8F">
        <w:rPr>
          <w:u w:val="single"/>
        </w:rPr>
        <w:t>, throwing factories and ports into turmoil. Toyota Motor will slash global production for September by 40% from its previous plan as the spread of infections in Southeast Asia adds to supply troubles for the biggest Japanese carmaker. China has shut down a key terminal for container ships</w:t>
      </w:r>
      <w:r w:rsidRPr="000B3D8F">
        <w:t>.</w:t>
      </w:r>
    </w:p>
    <w:p w14:paraId="78284CDE" w14:textId="77777777" w:rsidR="00721169" w:rsidRPr="000B3D8F" w:rsidRDefault="00721169" w:rsidP="00721169">
      <w:r w:rsidRPr="000B3D8F">
        <w:rPr>
          <w:u w:val="single"/>
        </w:rPr>
        <w:t xml:space="preserve">If the chaotic situation drags on, </w:t>
      </w:r>
      <w:r w:rsidRPr="00F058BC">
        <w:rPr>
          <w:b/>
          <w:bCs/>
          <w:highlight w:val="green"/>
          <w:u w:val="single"/>
        </w:rPr>
        <w:t>price rises resulting from supply-side troubles may add to concern</w:t>
      </w:r>
      <w:r w:rsidRPr="00F058BC">
        <w:rPr>
          <w:highlight w:val="green"/>
          <w:u w:val="single"/>
        </w:rPr>
        <w:t xml:space="preserve"> about</w:t>
      </w:r>
      <w:r w:rsidRPr="000B3D8F">
        <w:rPr>
          <w:u w:val="single"/>
        </w:rPr>
        <w:t xml:space="preserve"> the outlook for </w:t>
      </w:r>
      <w:r w:rsidRPr="00F058BC">
        <w:rPr>
          <w:highlight w:val="green"/>
          <w:u w:val="single"/>
        </w:rPr>
        <w:t>consumption in</w:t>
      </w:r>
      <w:r w:rsidRPr="000B3D8F">
        <w:t xml:space="preserve"> the U.S. and </w:t>
      </w:r>
      <w:r w:rsidRPr="00F058BC">
        <w:rPr>
          <w:highlight w:val="green"/>
          <w:u w:val="single"/>
        </w:rPr>
        <w:t>Europe</w:t>
      </w:r>
      <w:r w:rsidRPr="000B3D8F">
        <w:rPr>
          <w:u w:val="single"/>
        </w:rPr>
        <w:t>.</w:t>
      </w:r>
    </w:p>
    <w:p w14:paraId="3D19D310" w14:textId="77777777" w:rsidR="00721169" w:rsidRDefault="00721169" w:rsidP="00721169">
      <w:r w:rsidRPr="000B3D8F">
        <w:t xml:space="preserve">The workability of U.S. and </w:t>
      </w:r>
      <w:r w:rsidRPr="000B3D8F">
        <w:rPr>
          <w:u w:val="single"/>
        </w:rPr>
        <w:t>European strategies to achieve economic recovery</w:t>
      </w:r>
      <w:r w:rsidRPr="000B3D8F">
        <w:t xml:space="preserve"> and contain coronavirus infections at the same time </w:t>
      </w:r>
      <w:r w:rsidRPr="000B3D8F">
        <w:rPr>
          <w:u w:val="single"/>
        </w:rPr>
        <w:t>is being tested.</w:t>
      </w:r>
    </w:p>
    <w:p w14:paraId="22C2F4BD" w14:textId="77777777" w:rsidR="00721169" w:rsidRPr="000B3D8F" w:rsidRDefault="00721169" w:rsidP="00721169"/>
    <w:p w14:paraId="2C33CE07" w14:textId="10F53BCB" w:rsidR="00721169" w:rsidRDefault="00721169" w:rsidP="00721169">
      <w:pPr>
        <w:pStyle w:val="Heading4"/>
      </w:pPr>
      <w:r>
        <w:t xml:space="preserve">5] Warrant </w:t>
      </w:r>
      <w:r w:rsidRPr="000B3D8F">
        <w:t xml:space="preserve">in the Wright 12 card is: </w:t>
      </w:r>
      <w:r w:rsidRPr="000B3D8F">
        <w:rPr>
          <w:rStyle w:val="StyleUnderline"/>
        </w:rPr>
        <w:t xml:space="preserve">Political </w:t>
      </w:r>
      <w:r w:rsidRPr="00F058BC">
        <w:rPr>
          <w:rStyle w:val="StyleUnderline"/>
          <w:highlight w:val="green"/>
        </w:rPr>
        <w:t>instability in</w:t>
      </w:r>
      <w:r w:rsidRPr="000B3D8F">
        <w:rPr>
          <w:rStyle w:val="StyleUnderline"/>
        </w:rPr>
        <w:t xml:space="preserve">side </w:t>
      </w:r>
      <w:r w:rsidRPr="00F058BC">
        <w:rPr>
          <w:rStyle w:val="Emphasis"/>
          <w:highlight w:val="green"/>
        </w:rPr>
        <w:t>Middle East</w:t>
      </w:r>
      <w:r w:rsidRPr="000B3D8F">
        <w:rPr>
          <w:rStyle w:val="Emphasis"/>
        </w:rPr>
        <w:t xml:space="preserve">ern </w:t>
      </w:r>
      <w:r w:rsidRPr="00F058BC">
        <w:rPr>
          <w:rStyle w:val="Emphasis"/>
          <w:highlight w:val="green"/>
        </w:rPr>
        <w:t>countries</w:t>
      </w:r>
      <w:r w:rsidRPr="000B3D8F">
        <w:rPr>
          <w:rStyle w:val="StyleUnderline"/>
        </w:rPr>
        <w:t xml:space="preserve"> is likely to </w:t>
      </w:r>
      <w:r w:rsidRPr="00F058BC">
        <w:rPr>
          <w:rStyle w:val="StyleUnderline"/>
          <w:highlight w:val="green"/>
        </w:rPr>
        <w:t>bring</w:t>
      </w:r>
      <w:r w:rsidRPr="000B3D8F">
        <w:rPr>
          <w:rStyle w:val="StyleUnderline"/>
        </w:rPr>
        <w:t xml:space="preserve"> with it great </w:t>
      </w:r>
      <w:r w:rsidRPr="00F058BC">
        <w:rPr>
          <w:rStyle w:val="Emphasis"/>
          <w:highlight w:val="green"/>
        </w:rPr>
        <w:t>geopolitical risks</w:t>
      </w:r>
      <w:r w:rsidRPr="000B3D8F">
        <w:t xml:space="preserve"> </w:t>
      </w:r>
      <w:r>
        <w:t>----</w:t>
      </w:r>
      <w:r>
        <w:t xml:space="preserve"> the recent Taliban takeover of Afghanistan thumps.</w:t>
      </w:r>
      <w:r w:rsidRPr="000B3D8F">
        <w:t xml:space="preserve"> </w:t>
      </w:r>
    </w:p>
    <w:p w14:paraId="5A73B470" w14:textId="77777777" w:rsidR="00721169" w:rsidRPr="000B3D8F" w:rsidRDefault="00721169" w:rsidP="00721169"/>
    <w:p w14:paraId="23DE1AFC" w14:textId="317AF87E" w:rsidR="00721169" w:rsidRPr="000B3D8F" w:rsidRDefault="00721169" w:rsidP="00721169">
      <w:pPr>
        <w:pStyle w:val="Heading4"/>
        <w:rPr>
          <w:rFonts w:cstheme="majorHAnsi"/>
        </w:rPr>
      </w:pPr>
      <w:r>
        <w:rPr>
          <w:rFonts w:cstheme="majorHAnsi"/>
        </w:rPr>
        <w:t xml:space="preserve">6] </w:t>
      </w:r>
      <w:r w:rsidRPr="000B3D8F">
        <w:rPr>
          <w:rFonts w:cstheme="majorHAnsi"/>
        </w:rPr>
        <w:t xml:space="preserve">No impact to economic decline---countries </w:t>
      </w:r>
      <w:proofErr w:type="gramStart"/>
      <w:r w:rsidRPr="000B3D8F">
        <w:rPr>
          <w:rFonts w:cstheme="majorHAnsi"/>
        </w:rPr>
        <w:t>respond</w:t>
      </w:r>
      <w:proofErr w:type="gramEnd"/>
      <w:r w:rsidRPr="000B3D8F">
        <w:rPr>
          <w:rFonts w:cstheme="majorHAnsi"/>
        </w:rPr>
        <w:t xml:space="preserve"> with coop not conflict.</w:t>
      </w:r>
    </w:p>
    <w:p w14:paraId="1ABDF769" w14:textId="77777777" w:rsidR="00721169" w:rsidRPr="000B3D8F" w:rsidRDefault="00721169" w:rsidP="00721169">
      <w:pPr>
        <w:rPr>
          <w:rFonts w:cstheme="majorHAnsi"/>
        </w:rPr>
      </w:pPr>
      <w:r w:rsidRPr="000B3D8F">
        <w:rPr>
          <w:rFonts w:cstheme="majorHAnsi"/>
        </w:rPr>
        <w:t xml:space="preserve">Christopher </w:t>
      </w:r>
      <w:r w:rsidRPr="000B3D8F">
        <w:rPr>
          <w:rStyle w:val="Style13ptBold"/>
          <w:rFonts w:cstheme="majorHAnsi"/>
        </w:rPr>
        <w:t>Clary 15</w:t>
      </w:r>
      <w:r w:rsidRPr="000B3D8F">
        <w:rPr>
          <w:rFonts w:cstheme="majorHAnsi"/>
        </w:rPr>
        <w:t xml:space="preserve">. PhD in Political Science, MIT; Postdoctoral Fellow, Brown’s Watson Institute for International and Public Affairs. “Economic Stress and International Cooperation: Evidence from International Rivalries.” </w:t>
      </w:r>
      <w:r w:rsidRPr="000B3D8F">
        <w:rPr>
          <w:rFonts w:cstheme="majorHAnsi"/>
          <w:i/>
        </w:rPr>
        <w:t>MIT Political Science Department</w:t>
      </w:r>
      <w:r w:rsidRPr="000B3D8F">
        <w:rPr>
          <w:rFonts w:cstheme="majorHAnsi"/>
        </w:rPr>
        <w:t>. Research Paper 8: 4.</w:t>
      </w:r>
    </w:p>
    <w:p w14:paraId="061BD7F8" w14:textId="7ED9BA61" w:rsidR="00721169" w:rsidRPr="00721169" w:rsidRDefault="00721169" w:rsidP="00721169">
      <w:pPr>
        <w:rPr>
          <w:rFonts w:cstheme="majorHAnsi"/>
          <w:b/>
          <w:iCs/>
          <w:u w:val="single"/>
        </w:rPr>
      </w:pPr>
      <w:r w:rsidRPr="00F058BC">
        <w:rPr>
          <w:rStyle w:val="StyleUnderline"/>
          <w:rFonts w:cstheme="majorHAnsi"/>
          <w:highlight w:val="green"/>
        </w:rPr>
        <w:t xml:space="preserve">Economic crises lead to </w:t>
      </w:r>
      <w:r w:rsidRPr="00F058BC">
        <w:rPr>
          <w:rStyle w:val="Emphasis"/>
          <w:rFonts w:cstheme="majorHAnsi"/>
          <w:highlight w:val="green"/>
        </w:rPr>
        <w:t>conciliatory behavior</w:t>
      </w:r>
      <w:r w:rsidRPr="000B3D8F">
        <w:rPr>
          <w:rFonts w:cstheme="majorHAnsi"/>
        </w:rPr>
        <w:t xml:space="preserve"> through five primary channels. </w:t>
      </w:r>
      <w:r w:rsidRPr="000B3D8F">
        <w:rPr>
          <w:rStyle w:val="StyleUnderline"/>
          <w:rFonts w:cstheme="majorHAnsi"/>
        </w:rPr>
        <w:t xml:space="preserve">(1) Economic crises lead to </w:t>
      </w:r>
      <w:r w:rsidRPr="00F058BC">
        <w:rPr>
          <w:rStyle w:val="StyleUnderline"/>
          <w:rFonts w:cstheme="majorHAnsi"/>
          <w:highlight w:val="green"/>
        </w:rPr>
        <w:t>austerity pressures</w:t>
      </w:r>
      <w:r w:rsidRPr="000B3D8F">
        <w:rPr>
          <w:rStyle w:val="StyleUnderline"/>
          <w:rFonts w:cstheme="majorHAnsi"/>
        </w:rPr>
        <w:t xml:space="preserve">, which in turn </w:t>
      </w:r>
      <w:r w:rsidRPr="00F058BC">
        <w:rPr>
          <w:rStyle w:val="StyleUnderline"/>
          <w:rFonts w:cstheme="majorHAnsi"/>
          <w:highlight w:val="green"/>
        </w:rPr>
        <w:t>incent leaders to</w:t>
      </w:r>
      <w:r w:rsidRPr="000B3D8F">
        <w:rPr>
          <w:rFonts w:cstheme="majorHAnsi"/>
        </w:rPr>
        <w:t xml:space="preserve"> search for ways to </w:t>
      </w:r>
      <w:r w:rsidRPr="00F058BC">
        <w:rPr>
          <w:rStyle w:val="Emphasis"/>
          <w:rFonts w:cstheme="majorHAnsi"/>
          <w:highlight w:val="green"/>
        </w:rPr>
        <w:t>cut defense</w:t>
      </w:r>
      <w:r w:rsidRPr="000B3D8F">
        <w:rPr>
          <w:rStyle w:val="StyleUnderline"/>
          <w:rFonts w:cstheme="majorHAnsi"/>
        </w:rPr>
        <w:t xml:space="preserve"> expenditures</w:t>
      </w:r>
      <w:r w:rsidRPr="000B3D8F">
        <w:rPr>
          <w:rFonts w:cstheme="majorHAnsi"/>
        </w:rPr>
        <w:t xml:space="preserve">. </w:t>
      </w:r>
      <w:r w:rsidRPr="000B3D8F">
        <w:rPr>
          <w:rStyle w:val="StyleUnderline"/>
          <w:rFonts w:cstheme="majorHAnsi"/>
        </w:rPr>
        <w:t>(2) Economic crises</w:t>
      </w:r>
      <w:r w:rsidRPr="000B3D8F">
        <w:rPr>
          <w:rFonts w:cstheme="majorHAnsi"/>
        </w:rPr>
        <w:t xml:space="preserve"> also </w:t>
      </w:r>
      <w:r w:rsidRPr="00F058BC">
        <w:rPr>
          <w:rStyle w:val="StyleUnderline"/>
          <w:rFonts w:cstheme="majorHAnsi"/>
          <w:highlight w:val="green"/>
        </w:rPr>
        <w:t xml:space="preserve">encourage </w:t>
      </w:r>
      <w:r w:rsidRPr="00F058BC">
        <w:rPr>
          <w:rStyle w:val="Emphasis"/>
          <w:rFonts w:cstheme="majorHAnsi"/>
          <w:highlight w:val="green"/>
        </w:rPr>
        <w:t>strategic reassessment</w:t>
      </w:r>
      <w:r w:rsidRPr="000B3D8F">
        <w:rPr>
          <w:rStyle w:val="StyleUnderline"/>
          <w:rFonts w:cstheme="majorHAnsi"/>
        </w:rPr>
        <w:t>, so</w:t>
      </w:r>
      <w:r w:rsidRPr="000B3D8F">
        <w:rPr>
          <w:rFonts w:cstheme="majorHAnsi"/>
        </w:rPr>
        <w:t xml:space="preserve"> that </w:t>
      </w:r>
      <w:r w:rsidRPr="000B3D8F">
        <w:rPr>
          <w:rStyle w:val="StyleUnderline"/>
          <w:rFonts w:cstheme="majorHAnsi"/>
        </w:rPr>
        <w:t>leaders can argue to</w:t>
      </w:r>
      <w:r w:rsidRPr="000B3D8F">
        <w:rPr>
          <w:rFonts w:cstheme="majorHAnsi"/>
        </w:rPr>
        <w:t xml:space="preserve"> their peers and </w:t>
      </w:r>
      <w:r w:rsidRPr="000B3D8F">
        <w:rPr>
          <w:rStyle w:val="StyleUnderline"/>
          <w:rFonts w:cstheme="majorHAnsi"/>
        </w:rPr>
        <w:t>their publics that defense spending can be arrested without endangering the state</w:t>
      </w:r>
      <w:r w:rsidRPr="000B3D8F">
        <w:rPr>
          <w:rFonts w:cstheme="majorHAnsi"/>
        </w:rPr>
        <w:t xml:space="preserve">. </w:t>
      </w:r>
      <w:r w:rsidRPr="000B3D8F">
        <w:rPr>
          <w:rStyle w:val="StyleUnderline"/>
          <w:rFonts w:cstheme="majorHAnsi"/>
        </w:rPr>
        <w:t xml:space="preserve">This can </w:t>
      </w:r>
      <w:r w:rsidRPr="00F058BC">
        <w:rPr>
          <w:rStyle w:val="StyleUnderline"/>
          <w:rFonts w:cstheme="majorHAnsi"/>
          <w:highlight w:val="green"/>
        </w:rPr>
        <w:t xml:space="preserve">lead to </w:t>
      </w:r>
      <w:r w:rsidRPr="00F058BC">
        <w:rPr>
          <w:rStyle w:val="Emphasis"/>
          <w:rFonts w:cstheme="majorHAnsi"/>
          <w:highlight w:val="green"/>
        </w:rPr>
        <w:t>threat deflation</w:t>
      </w:r>
      <w:r w:rsidRPr="000B3D8F">
        <w:rPr>
          <w:rFonts w:cstheme="majorHAnsi"/>
        </w:rPr>
        <w:t xml:space="preserve">, where elites attempt to downplay the seriousness of the threat posed by a former rival. </w:t>
      </w:r>
      <w:r w:rsidRPr="000B3D8F">
        <w:rPr>
          <w:rStyle w:val="StyleUnderline"/>
          <w:rFonts w:cstheme="majorHAnsi"/>
        </w:rPr>
        <w:t xml:space="preserve">(3) If a state faces multiple threats, economic crises provoke elites to consider </w:t>
      </w:r>
      <w:r w:rsidRPr="00F058BC">
        <w:rPr>
          <w:rStyle w:val="Emphasis"/>
          <w:rFonts w:cstheme="majorHAnsi"/>
          <w:highlight w:val="green"/>
        </w:rPr>
        <w:t>threat prioritization</w:t>
      </w:r>
      <w:r w:rsidRPr="000B3D8F">
        <w:rPr>
          <w:rStyle w:val="StyleUnderline"/>
          <w:rFonts w:cstheme="majorHAnsi"/>
        </w:rPr>
        <w:t>, a process that is postponed during</w:t>
      </w:r>
      <w:r w:rsidRPr="000B3D8F">
        <w:rPr>
          <w:rFonts w:cstheme="majorHAnsi"/>
        </w:rPr>
        <w:t xml:space="preserve"> periods of </w:t>
      </w:r>
      <w:r w:rsidRPr="000B3D8F">
        <w:rPr>
          <w:rStyle w:val="StyleUnderline"/>
          <w:rFonts w:cstheme="majorHAnsi"/>
        </w:rPr>
        <w:t>economic normalcy</w:t>
      </w:r>
      <w:r w:rsidRPr="000B3D8F">
        <w:rPr>
          <w:rFonts w:cstheme="majorHAnsi"/>
        </w:rPr>
        <w:t xml:space="preserve">. </w:t>
      </w:r>
      <w:r w:rsidRPr="000B3D8F">
        <w:rPr>
          <w:rStyle w:val="StyleUnderline"/>
          <w:rFonts w:cstheme="majorHAnsi"/>
        </w:rPr>
        <w:t xml:space="preserve">(4) Economic </w:t>
      </w:r>
      <w:r w:rsidRPr="00F058BC">
        <w:rPr>
          <w:rStyle w:val="StyleUnderline"/>
          <w:rFonts w:cstheme="majorHAnsi"/>
          <w:highlight w:val="green"/>
        </w:rPr>
        <w:t xml:space="preserve">crises increase the </w:t>
      </w:r>
      <w:r w:rsidRPr="00F058BC">
        <w:rPr>
          <w:rStyle w:val="Emphasis"/>
          <w:rFonts w:cstheme="majorHAnsi"/>
          <w:highlight w:val="green"/>
        </w:rPr>
        <w:t>political and economic benefit</w:t>
      </w:r>
      <w:r w:rsidRPr="00F058BC">
        <w:rPr>
          <w:rStyle w:val="StyleUnderline"/>
          <w:rFonts w:cstheme="majorHAnsi"/>
          <w:highlight w:val="green"/>
        </w:rPr>
        <w:t xml:space="preserve"> from</w:t>
      </w:r>
      <w:r w:rsidRPr="000B3D8F">
        <w:rPr>
          <w:rStyle w:val="StyleUnderline"/>
          <w:rFonts w:cstheme="majorHAnsi"/>
        </w:rPr>
        <w:t xml:space="preserve"> international economic </w:t>
      </w:r>
      <w:r w:rsidRPr="00F058BC">
        <w:rPr>
          <w:rStyle w:val="Emphasis"/>
          <w:rFonts w:cstheme="majorHAnsi"/>
          <w:highlight w:val="green"/>
        </w:rPr>
        <w:t>coop</w:t>
      </w:r>
      <w:r w:rsidRPr="00984E80">
        <w:rPr>
          <w:rStyle w:val="Emphasis"/>
          <w:rFonts w:cstheme="majorHAnsi"/>
        </w:rPr>
        <w:t>eration</w:t>
      </w:r>
      <w:r w:rsidRPr="000B3D8F">
        <w:rPr>
          <w:rFonts w:cstheme="majorHAnsi"/>
        </w:rPr>
        <w:t xml:space="preserve">. </w:t>
      </w:r>
      <w:r w:rsidRPr="00F058BC">
        <w:rPr>
          <w:rStyle w:val="StyleUnderline"/>
          <w:rFonts w:cstheme="majorHAnsi"/>
          <w:highlight w:val="green"/>
        </w:rPr>
        <w:t>Leaders seek</w:t>
      </w:r>
      <w:r w:rsidRPr="000B3D8F">
        <w:rPr>
          <w:rStyle w:val="StyleUnderline"/>
          <w:rFonts w:cstheme="majorHAnsi"/>
        </w:rPr>
        <w:t xml:space="preserve"> foreign </w:t>
      </w:r>
      <w:r w:rsidRPr="00F058BC">
        <w:rPr>
          <w:rStyle w:val="Emphasis"/>
          <w:rFonts w:cstheme="majorHAnsi"/>
          <w:highlight w:val="green"/>
        </w:rPr>
        <w:t>aid</w:t>
      </w:r>
      <w:r w:rsidRPr="000B3D8F">
        <w:rPr>
          <w:rStyle w:val="StyleUnderline"/>
          <w:rFonts w:cstheme="majorHAnsi"/>
        </w:rPr>
        <w:t xml:space="preserve">, enhanced </w:t>
      </w:r>
      <w:r w:rsidRPr="00F058BC">
        <w:rPr>
          <w:rStyle w:val="Emphasis"/>
          <w:rFonts w:cstheme="majorHAnsi"/>
          <w:highlight w:val="green"/>
        </w:rPr>
        <w:t>trade</w:t>
      </w:r>
      <w:r w:rsidRPr="00F058BC">
        <w:rPr>
          <w:rStyle w:val="StyleUnderline"/>
          <w:rFonts w:cstheme="majorHAnsi"/>
          <w:highlight w:val="green"/>
        </w:rPr>
        <w:t>, and</w:t>
      </w:r>
      <w:r w:rsidRPr="000B3D8F">
        <w:rPr>
          <w:rStyle w:val="StyleUnderline"/>
          <w:rFonts w:cstheme="majorHAnsi"/>
        </w:rPr>
        <w:t xml:space="preserve"> increased </w:t>
      </w:r>
      <w:r w:rsidRPr="00F058BC">
        <w:rPr>
          <w:rStyle w:val="Emphasis"/>
          <w:rFonts w:cstheme="majorHAnsi"/>
          <w:highlight w:val="green"/>
        </w:rPr>
        <w:t>investment</w:t>
      </w:r>
      <w:r w:rsidRPr="000B3D8F">
        <w:rPr>
          <w:rStyle w:val="StyleUnderline"/>
          <w:rFonts w:cstheme="majorHAnsi"/>
        </w:rPr>
        <w:t xml:space="preserve"> from abroad during</w:t>
      </w:r>
      <w:r w:rsidRPr="000B3D8F">
        <w:rPr>
          <w:rFonts w:cstheme="majorHAnsi"/>
        </w:rPr>
        <w:t xml:space="preserve"> periods of </w:t>
      </w:r>
      <w:r w:rsidRPr="000B3D8F">
        <w:rPr>
          <w:rStyle w:val="StyleUnderline"/>
          <w:rFonts w:cstheme="majorHAnsi"/>
        </w:rPr>
        <w:t>economic trouble</w:t>
      </w:r>
      <w:r w:rsidRPr="000B3D8F">
        <w:rPr>
          <w:rFonts w:cstheme="majorHAnsi"/>
        </w:rPr>
        <w:t xml:space="preserve">. </w:t>
      </w:r>
      <w:r w:rsidRPr="00F058BC">
        <w:rPr>
          <w:rStyle w:val="StyleUnderline"/>
          <w:rFonts w:cstheme="majorHAnsi"/>
          <w:highlight w:val="green"/>
        </w:rPr>
        <w:t>This</w:t>
      </w:r>
      <w:r w:rsidRPr="000B3D8F">
        <w:rPr>
          <w:rFonts w:cstheme="majorHAnsi"/>
        </w:rPr>
        <w:t xml:space="preserve"> search </w:t>
      </w:r>
      <w:r w:rsidRPr="00F058BC">
        <w:rPr>
          <w:rStyle w:val="StyleUnderline"/>
          <w:rFonts w:cstheme="majorHAnsi"/>
          <w:highlight w:val="green"/>
        </w:rPr>
        <w:t>is</w:t>
      </w:r>
      <w:r w:rsidRPr="000B3D8F">
        <w:rPr>
          <w:rFonts w:cstheme="majorHAnsi"/>
        </w:rPr>
        <w:t xml:space="preserve"> made </w:t>
      </w:r>
      <w:r w:rsidRPr="00F058BC">
        <w:rPr>
          <w:rStyle w:val="StyleUnderline"/>
          <w:rFonts w:cstheme="majorHAnsi"/>
          <w:highlight w:val="green"/>
        </w:rPr>
        <w:t xml:space="preserve">easier if </w:t>
      </w:r>
      <w:r w:rsidRPr="00F058BC">
        <w:rPr>
          <w:rStyle w:val="Emphasis"/>
          <w:rFonts w:cstheme="majorHAnsi"/>
          <w:highlight w:val="green"/>
        </w:rPr>
        <w:t>tensions are reduced</w:t>
      </w:r>
      <w:r>
        <w:rPr>
          <w:rStyle w:val="Emphasis"/>
          <w:rFonts w:cstheme="majorHAnsi"/>
        </w:rPr>
        <w:t xml:space="preserve"> </w:t>
      </w:r>
      <w:r w:rsidRPr="000B3D8F">
        <w:rPr>
          <w:rStyle w:val="StyleUnderline"/>
          <w:rFonts w:cstheme="majorHAnsi"/>
        </w:rPr>
        <w:t>with historic rivals</w:t>
      </w:r>
      <w:r w:rsidRPr="000B3D8F">
        <w:rPr>
          <w:rFonts w:cstheme="majorHAnsi"/>
        </w:rPr>
        <w:t xml:space="preserve">. </w:t>
      </w:r>
      <w:r w:rsidRPr="000B3D8F">
        <w:rPr>
          <w:rStyle w:val="StyleUnderline"/>
          <w:rFonts w:cstheme="majorHAnsi"/>
        </w:rPr>
        <w:t>(5)</w:t>
      </w:r>
      <w:r w:rsidRPr="000B3D8F">
        <w:rPr>
          <w:rFonts w:cstheme="majorHAnsi"/>
        </w:rPr>
        <w:t xml:space="preserve"> Finally, </w:t>
      </w:r>
      <w:r w:rsidRPr="000B3D8F">
        <w:rPr>
          <w:rStyle w:val="StyleUnderline"/>
          <w:rFonts w:cstheme="majorHAnsi"/>
        </w:rPr>
        <w:t xml:space="preserve">during crises, </w:t>
      </w:r>
      <w:r w:rsidRPr="00F058BC">
        <w:rPr>
          <w:rStyle w:val="StyleUnderline"/>
          <w:rFonts w:cstheme="majorHAnsi"/>
          <w:highlight w:val="green"/>
        </w:rPr>
        <w:t>elites</w:t>
      </w:r>
      <w:r w:rsidRPr="000B3D8F">
        <w:rPr>
          <w:rFonts w:cstheme="majorHAnsi"/>
        </w:rPr>
        <w:t xml:space="preserve"> are more prone to </w:t>
      </w:r>
      <w:r w:rsidRPr="00F058BC">
        <w:rPr>
          <w:rStyle w:val="StyleUnderline"/>
          <w:rFonts w:cstheme="majorHAnsi"/>
          <w:highlight w:val="green"/>
        </w:rPr>
        <w:t>select</w:t>
      </w:r>
      <w:r w:rsidRPr="000B3D8F">
        <w:rPr>
          <w:rStyle w:val="StyleUnderline"/>
          <w:rFonts w:cstheme="majorHAnsi"/>
        </w:rPr>
        <w:t xml:space="preserve"> leaders who are</w:t>
      </w:r>
      <w:r w:rsidRPr="000B3D8F">
        <w:rPr>
          <w:rFonts w:cstheme="majorHAnsi"/>
        </w:rPr>
        <w:t xml:space="preserve"> perceived as </w:t>
      </w:r>
      <w:r w:rsidRPr="000B3D8F">
        <w:rPr>
          <w:rStyle w:val="StyleUnderline"/>
          <w:rFonts w:cstheme="majorHAnsi"/>
        </w:rPr>
        <w:t xml:space="preserve">capable of resolving economic difficulties, permitting the emergence of leaders who hold </w:t>
      </w:r>
      <w:r w:rsidRPr="00F058BC">
        <w:rPr>
          <w:rStyle w:val="Emphasis"/>
          <w:rFonts w:cstheme="majorHAnsi"/>
          <w:highlight w:val="green"/>
        </w:rPr>
        <w:t>heterodox foreign policy</w:t>
      </w:r>
      <w:r w:rsidRPr="000B3D8F">
        <w:rPr>
          <w:rFonts w:cstheme="majorHAnsi"/>
        </w:rPr>
        <w:t xml:space="preserve"> views. Collectively, </w:t>
      </w:r>
      <w:r w:rsidRPr="00F058BC">
        <w:rPr>
          <w:rStyle w:val="StyleUnderline"/>
          <w:rFonts w:cstheme="majorHAnsi"/>
          <w:highlight w:val="green"/>
        </w:rPr>
        <w:t>these</w:t>
      </w:r>
      <w:r w:rsidRPr="000B3D8F">
        <w:rPr>
          <w:rStyle w:val="StyleUnderline"/>
          <w:rFonts w:cstheme="majorHAnsi"/>
        </w:rPr>
        <w:t xml:space="preserve"> mechanisms make it much more likely that a leader will </w:t>
      </w:r>
      <w:r w:rsidRPr="00F058BC">
        <w:rPr>
          <w:rStyle w:val="StyleUnderline"/>
          <w:rFonts w:cstheme="majorHAnsi"/>
          <w:highlight w:val="green"/>
        </w:rPr>
        <w:t xml:space="preserve">prefer </w:t>
      </w:r>
      <w:r w:rsidRPr="00F058BC">
        <w:rPr>
          <w:rStyle w:val="Emphasis"/>
          <w:rFonts w:cstheme="majorHAnsi"/>
          <w:highlight w:val="green"/>
        </w:rPr>
        <w:t>conciliatory policies</w:t>
      </w:r>
      <w:r w:rsidRPr="000B3D8F">
        <w:rPr>
          <w:rStyle w:val="StyleUnderline"/>
          <w:rFonts w:cstheme="majorHAnsi"/>
        </w:rPr>
        <w:t xml:space="preserve"> compared to during periods of economic normalcy</w:t>
      </w:r>
      <w:r w:rsidRPr="000B3D8F">
        <w:rPr>
          <w:rFonts w:cstheme="majorHAnsi"/>
        </w:rPr>
        <w:t>. This section reviews this causal logic in greater detail, while also providing historical examples that these mechanisms recur in practice.</w:t>
      </w:r>
    </w:p>
    <w:sectPr w:rsidR="00721169" w:rsidRPr="0072116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B GARAMOND REGULAR ROMAN">
    <w:panose1 w:val="00000000000000000000"/>
    <w:charset w:val="00"/>
    <w:family w:val="auto"/>
    <w:pitch w:val="variable"/>
    <w:sig w:usb0="E00002FF" w:usb1="5201E4FB" w:usb2="00000028"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5F5082"/>
    <w:multiLevelType w:val="hybridMultilevel"/>
    <w:tmpl w:val="32540D60"/>
    <w:lvl w:ilvl="0" w:tplc="DC66B26A">
      <w:numFmt w:val="bullet"/>
      <w:lvlText w:val="-"/>
      <w:lvlJc w:val="left"/>
      <w:pPr>
        <w:ind w:left="1080" w:hanging="360"/>
      </w:pPr>
      <w:rPr>
        <w:rFonts w:ascii="Garamond" w:eastAsiaTheme="majorEastAsia" w:hAnsi="Garamond"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79974BB"/>
    <w:multiLevelType w:val="hybridMultilevel"/>
    <w:tmpl w:val="FB5EC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1A35BD"/>
    <w:multiLevelType w:val="multilevel"/>
    <w:tmpl w:val="80C68A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C323C10"/>
    <w:multiLevelType w:val="hybridMultilevel"/>
    <w:tmpl w:val="6A04AC96"/>
    <w:lvl w:ilvl="0" w:tplc="F3966746">
      <w:numFmt w:val="bullet"/>
      <w:lvlText w:val="-"/>
      <w:lvlJc w:val="left"/>
      <w:pPr>
        <w:ind w:left="1080" w:hanging="360"/>
      </w:pPr>
      <w:rPr>
        <w:rFonts w:ascii="Garamond" w:eastAsiaTheme="majorEastAsia" w:hAnsi="Garamond"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9081B2E"/>
    <w:multiLevelType w:val="hybridMultilevel"/>
    <w:tmpl w:val="97783CE6"/>
    <w:lvl w:ilvl="0" w:tplc="0F36CCA0">
      <w:numFmt w:val="bullet"/>
      <w:lvlText w:val="-"/>
      <w:lvlJc w:val="left"/>
      <w:pPr>
        <w:ind w:left="1080" w:hanging="360"/>
      </w:pPr>
      <w:rPr>
        <w:rFonts w:ascii="Garamond" w:eastAsiaTheme="majorEastAsia" w:hAnsi="Garamond"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A803FB"/>
    <w:multiLevelType w:val="hybridMultilevel"/>
    <w:tmpl w:val="59A6B5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4"/>
  </w:num>
  <w:num w:numId="15">
    <w:abstractNumId w:val="11"/>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01ED"/>
    <w:rsid w:val="000029E3"/>
    <w:rsid w:val="000029E8"/>
    <w:rsid w:val="00004225"/>
    <w:rsid w:val="000066CA"/>
    <w:rsid w:val="00007264"/>
    <w:rsid w:val="000076A9"/>
    <w:rsid w:val="00014029"/>
    <w:rsid w:val="00014FAD"/>
    <w:rsid w:val="00015D2A"/>
    <w:rsid w:val="0002490B"/>
    <w:rsid w:val="00026465"/>
    <w:rsid w:val="00030204"/>
    <w:rsid w:val="000312A0"/>
    <w:rsid w:val="0003396C"/>
    <w:rsid w:val="00035337"/>
    <w:rsid w:val="00052FB1"/>
    <w:rsid w:val="00054276"/>
    <w:rsid w:val="000547B1"/>
    <w:rsid w:val="0006091E"/>
    <w:rsid w:val="000638C1"/>
    <w:rsid w:val="000659ED"/>
    <w:rsid w:val="00065FEE"/>
    <w:rsid w:val="00066E3C"/>
    <w:rsid w:val="00072718"/>
    <w:rsid w:val="0007381E"/>
    <w:rsid w:val="00076094"/>
    <w:rsid w:val="0008785F"/>
    <w:rsid w:val="00090CBE"/>
    <w:rsid w:val="000930FD"/>
    <w:rsid w:val="00094DEC"/>
    <w:rsid w:val="000A2D8A"/>
    <w:rsid w:val="000D26A6"/>
    <w:rsid w:val="000D2B90"/>
    <w:rsid w:val="000D6ED8"/>
    <w:rsid w:val="000D717B"/>
    <w:rsid w:val="00100B28"/>
    <w:rsid w:val="001060DD"/>
    <w:rsid w:val="00117316"/>
    <w:rsid w:val="001209B4"/>
    <w:rsid w:val="001761FC"/>
    <w:rsid w:val="00182655"/>
    <w:rsid w:val="001840F2"/>
    <w:rsid w:val="00185134"/>
    <w:rsid w:val="001856C6"/>
    <w:rsid w:val="00190D6E"/>
    <w:rsid w:val="00191B5F"/>
    <w:rsid w:val="00192487"/>
    <w:rsid w:val="00193416"/>
    <w:rsid w:val="00195073"/>
    <w:rsid w:val="0019668D"/>
    <w:rsid w:val="001A1535"/>
    <w:rsid w:val="001A25FD"/>
    <w:rsid w:val="001A5371"/>
    <w:rsid w:val="001A72C7"/>
    <w:rsid w:val="001B73E3"/>
    <w:rsid w:val="001C316D"/>
    <w:rsid w:val="001D1A0D"/>
    <w:rsid w:val="001D36BF"/>
    <w:rsid w:val="001D4C28"/>
    <w:rsid w:val="001E0B1F"/>
    <w:rsid w:val="001E0C0F"/>
    <w:rsid w:val="001E1E0B"/>
    <w:rsid w:val="001E4B7C"/>
    <w:rsid w:val="001F1173"/>
    <w:rsid w:val="001F79C5"/>
    <w:rsid w:val="002005A8"/>
    <w:rsid w:val="00203DD8"/>
    <w:rsid w:val="00204E1D"/>
    <w:rsid w:val="002059BD"/>
    <w:rsid w:val="00207FD8"/>
    <w:rsid w:val="00210FAF"/>
    <w:rsid w:val="00213B1E"/>
    <w:rsid w:val="00215284"/>
    <w:rsid w:val="002168F2"/>
    <w:rsid w:val="00217024"/>
    <w:rsid w:val="0022589F"/>
    <w:rsid w:val="002343FE"/>
    <w:rsid w:val="00235F7B"/>
    <w:rsid w:val="00236620"/>
    <w:rsid w:val="0024216B"/>
    <w:rsid w:val="0024316C"/>
    <w:rsid w:val="00245F7D"/>
    <w:rsid w:val="002502CF"/>
    <w:rsid w:val="00267EBB"/>
    <w:rsid w:val="0027023B"/>
    <w:rsid w:val="00272F3F"/>
    <w:rsid w:val="00274EDB"/>
    <w:rsid w:val="0027729E"/>
    <w:rsid w:val="002843B2"/>
    <w:rsid w:val="00284ED6"/>
    <w:rsid w:val="00290C5A"/>
    <w:rsid w:val="00290C92"/>
    <w:rsid w:val="0029647A"/>
    <w:rsid w:val="00296504"/>
    <w:rsid w:val="002A4682"/>
    <w:rsid w:val="002B3597"/>
    <w:rsid w:val="002B5511"/>
    <w:rsid w:val="002B7ACF"/>
    <w:rsid w:val="002E0599"/>
    <w:rsid w:val="002E0643"/>
    <w:rsid w:val="002E392E"/>
    <w:rsid w:val="002E6BBC"/>
    <w:rsid w:val="002F1BA9"/>
    <w:rsid w:val="002F6E74"/>
    <w:rsid w:val="003106B3"/>
    <w:rsid w:val="00311E0B"/>
    <w:rsid w:val="0031385D"/>
    <w:rsid w:val="003171AB"/>
    <w:rsid w:val="003223B2"/>
    <w:rsid w:val="00322A67"/>
    <w:rsid w:val="00330E13"/>
    <w:rsid w:val="00331A81"/>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A1"/>
    <w:rsid w:val="003D5EA8"/>
    <w:rsid w:val="003D66CF"/>
    <w:rsid w:val="003D7B28"/>
    <w:rsid w:val="003E305E"/>
    <w:rsid w:val="003E34DB"/>
    <w:rsid w:val="003E5302"/>
    <w:rsid w:val="003E5BF1"/>
    <w:rsid w:val="003F2452"/>
    <w:rsid w:val="003F41EA"/>
    <w:rsid w:val="003F7DF0"/>
    <w:rsid w:val="004039AF"/>
    <w:rsid w:val="00407AFF"/>
    <w:rsid w:val="0041015B"/>
    <w:rsid w:val="0041155D"/>
    <w:rsid w:val="004170BF"/>
    <w:rsid w:val="004270E3"/>
    <w:rsid w:val="00430AB4"/>
    <w:rsid w:val="004348DC"/>
    <w:rsid w:val="00434921"/>
    <w:rsid w:val="00442018"/>
    <w:rsid w:val="00446567"/>
    <w:rsid w:val="00447B10"/>
    <w:rsid w:val="00451BE0"/>
    <w:rsid w:val="00452EE4"/>
    <w:rsid w:val="00452F0B"/>
    <w:rsid w:val="004536D6"/>
    <w:rsid w:val="00457224"/>
    <w:rsid w:val="0047482C"/>
    <w:rsid w:val="00475436"/>
    <w:rsid w:val="00476E97"/>
    <w:rsid w:val="0048047E"/>
    <w:rsid w:val="00482AF9"/>
    <w:rsid w:val="00487976"/>
    <w:rsid w:val="004965D0"/>
    <w:rsid w:val="00496BB2"/>
    <w:rsid w:val="004979E5"/>
    <w:rsid w:val="004B37B4"/>
    <w:rsid w:val="004B3EDA"/>
    <w:rsid w:val="004B72B4"/>
    <w:rsid w:val="004C0314"/>
    <w:rsid w:val="004C0D3D"/>
    <w:rsid w:val="004C213E"/>
    <w:rsid w:val="004C376C"/>
    <w:rsid w:val="004C657F"/>
    <w:rsid w:val="004D17D8"/>
    <w:rsid w:val="004D52D8"/>
    <w:rsid w:val="004E355B"/>
    <w:rsid w:val="004E5605"/>
    <w:rsid w:val="005028E5"/>
    <w:rsid w:val="00503735"/>
    <w:rsid w:val="005053F1"/>
    <w:rsid w:val="00515626"/>
    <w:rsid w:val="00516A88"/>
    <w:rsid w:val="00522065"/>
    <w:rsid w:val="005224F2"/>
    <w:rsid w:val="00527443"/>
    <w:rsid w:val="00533F1C"/>
    <w:rsid w:val="00535CDE"/>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666"/>
    <w:rsid w:val="005A4D4E"/>
    <w:rsid w:val="005A7237"/>
    <w:rsid w:val="005B21FA"/>
    <w:rsid w:val="005B3244"/>
    <w:rsid w:val="005B6EE8"/>
    <w:rsid w:val="005B7731"/>
    <w:rsid w:val="005C4515"/>
    <w:rsid w:val="005C5602"/>
    <w:rsid w:val="005C74A6"/>
    <w:rsid w:val="005D3B4D"/>
    <w:rsid w:val="005D615C"/>
    <w:rsid w:val="005E1860"/>
    <w:rsid w:val="005F063B"/>
    <w:rsid w:val="005F0DDB"/>
    <w:rsid w:val="005F192D"/>
    <w:rsid w:val="005F24C8"/>
    <w:rsid w:val="005F26AF"/>
    <w:rsid w:val="00607D6C"/>
    <w:rsid w:val="0061383D"/>
    <w:rsid w:val="00614D69"/>
    <w:rsid w:val="00617030"/>
    <w:rsid w:val="00621301"/>
    <w:rsid w:val="0062173F"/>
    <w:rsid w:val="006235FB"/>
    <w:rsid w:val="00626A15"/>
    <w:rsid w:val="00627796"/>
    <w:rsid w:val="00633B22"/>
    <w:rsid w:val="006379E9"/>
    <w:rsid w:val="006438CB"/>
    <w:rsid w:val="006529B9"/>
    <w:rsid w:val="00654695"/>
    <w:rsid w:val="0065500A"/>
    <w:rsid w:val="00655217"/>
    <w:rsid w:val="0065727C"/>
    <w:rsid w:val="00671B66"/>
    <w:rsid w:val="00674A78"/>
    <w:rsid w:val="00696A16"/>
    <w:rsid w:val="006A07ED"/>
    <w:rsid w:val="006A4840"/>
    <w:rsid w:val="006A52A0"/>
    <w:rsid w:val="006A7E1D"/>
    <w:rsid w:val="006C3A24"/>
    <w:rsid w:val="006C3A56"/>
    <w:rsid w:val="006D13F4"/>
    <w:rsid w:val="006D680C"/>
    <w:rsid w:val="006D6AED"/>
    <w:rsid w:val="006E6D0B"/>
    <w:rsid w:val="006F06D0"/>
    <w:rsid w:val="006F126E"/>
    <w:rsid w:val="006F32C9"/>
    <w:rsid w:val="006F3834"/>
    <w:rsid w:val="006F5693"/>
    <w:rsid w:val="006F5D4C"/>
    <w:rsid w:val="00703091"/>
    <w:rsid w:val="0070350E"/>
    <w:rsid w:val="00711659"/>
    <w:rsid w:val="00717B01"/>
    <w:rsid w:val="00721169"/>
    <w:rsid w:val="007227D9"/>
    <w:rsid w:val="0072491F"/>
    <w:rsid w:val="00725598"/>
    <w:rsid w:val="00734B99"/>
    <w:rsid w:val="007374A1"/>
    <w:rsid w:val="00741501"/>
    <w:rsid w:val="00744352"/>
    <w:rsid w:val="00752712"/>
    <w:rsid w:val="00753A84"/>
    <w:rsid w:val="00756855"/>
    <w:rsid w:val="007611F5"/>
    <w:rsid w:val="007619E4"/>
    <w:rsid w:val="00761E75"/>
    <w:rsid w:val="0076495E"/>
    <w:rsid w:val="00765FC8"/>
    <w:rsid w:val="00775694"/>
    <w:rsid w:val="007873AB"/>
    <w:rsid w:val="00793F46"/>
    <w:rsid w:val="007973C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DF3"/>
    <w:rsid w:val="008266F9"/>
    <w:rsid w:val="008267E2"/>
    <w:rsid w:val="00826A9B"/>
    <w:rsid w:val="0083322E"/>
    <w:rsid w:val="00834842"/>
    <w:rsid w:val="00840E7B"/>
    <w:rsid w:val="008536AF"/>
    <w:rsid w:val="00853D40"/>
    <w:rsid w:val="008564FC"/>
    <w:rsid w:val="00863C75"/>
    <w:rsid w:val="00864E76"/>
    <w:rsid w:val="008721FA"/>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C97"/>
    <w:rsid w:val="008E7A3E"/>
    <w:rsid w:val="008F41FD"/>
    <w:rsid w:val="008F4479"/>
    <w:rsid w:val="008F4BA0"/>
    <w:rsid w:val="008F6A39"/>
    <w:rsid w:val="00901726"/>
    <w:rsid w:val="00920E6A"/>
    <w:rsid w:val="00931816"/>
    <w:rsid w:val="00932C71"/>
    <w:rsid w:val="009509D5"/>
    <w:rsid w:val="009538F5"/>
    <w:rsid w:val="00955ADE"/>
    <w:rsid w:val="00955B12"/>
    <w:rsid w:val="00957187"/>
    <w:rsid w:val="00960255"/>
    <w:rsid w:val="009603E1"/>
    <w:rsid w:val="00961590"/>
    <w:rsid w:val="00961C9D"/>
    <w:rsid w:val="00963065"/>
    <w:rsid w:val="0097151F"/>
    <w:rsid w:val="00973777"/>
    <w:rsid w:val="00976E78"/>
    <w:rsid w:val="009775C0"/>
    <w:rsid w:val="00981F23"/>
    <w:rsid w:val="00984E80"/>
    <w:rsid w:val="00990634"/>
    <w:rsid w:val="00991733"/>
    <w:rsid w:val="00992078"/>
    <w:rsid w:val="00992BE3"/>
    <w:rsid w:val="009A1467"/>
    <w:rsid w:val="009A6464"/>
    <w:rsid w:val="009B01ED"/>
    <w:rsid w:val="009B55DC"/>
    <w:rsid w:val="009B69F5"/>
    <w:rsid w:val="009C0DB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6C5"/>
    <w:rsid w:val="00A54315"/>
    <w:rsid w:val="00A57F7E"/>
    <w:rsid w:val="00A60FBC"/>
    <w:rsid w:val="00A65C0B"/>
    <w:rsid w:val="00A776BA"/>
    <w:rsid w:val="00A81FD2"/>
    <w:rsid w:val="00A8441A"/>
    <w:rsid w:val="00A8674A"/>
    <w:rsid w:val="00A96E24"/>
    <w:rsid w:val="00AA6F6E"/>
    <w:rsid w:val="00AB122B"/>
    <w:rsid w:val="00AB21B0"/>
    <w:rsid w:val="00AB48D3"/>
    <w:rsid w:val="00AD4C03"/>
    <w:rsid w:val="00AE0243"/>
    <w:rsid w:val="00AE1BAD"/>
    <w:rsid w:val="00AE2124"/>
    <w:rsid w:val="00AE24BC"/>
    <w:rsid w:val="00AE3E3F"/>
    <w:rsid w:val="00AF2516"/>
    <w:rsid w:val="00AF4710"/>
    <w:rsid w:val="00AF4760"/>
    <w:rsid w:val="00AF55D4"/>
    <w:rsid w:val="00B0505F"/>
    <w:rsid w:val="00B05C2D"/>
    <w:rsid w:val="00B12933"/>
    <w:rsid w:val="00B12B88"/>
    <w:rsid w:val="00B137E0"/>
    <w:rsid w:val="00B13BC8"/>
    <w:rsid w:val="00B24662"/>
    <w:rsid w:val="00B3239F"/>
    <w:rsid w:val="00B3569C"/>
    <w:rsid w:val="00B43676"/>
    <w:rsid w:val="00B5602D"/>
    <w:rsid w:val="00B60125"/>
    <w:rsid w:val="00B6656B"/>
    <w:rsid w:val="00B71625"/>
    <w:rsid w:val="00B722BD"/>
    <w:rsid w:val="00B75C54"/>
    <w:rsid w:val="00B8710E"/>
    <w:rsid w:val="00B92A93"/>
    <w:rsid w:val="00B93B36"/>
    <w:rsid w:val="00B965A9"/>
    <w:rsid w:val="00BA17A8"/>
    <w:rsid w:val="00BA3C33"/>
    <w:rsid w:val="00BB0878"/>
    <w:rsid w:val="00BB1879"/>
    <w:rsid w:val="00BB58ED"/>
    <w:rsid w:val="00BC0ABE"/>
    <w:rsid w:val="00BC30DB"/>
    <w:rsid w:val="00BC64FF"/>
    <w:rsid w:val="00BC7C37"/>
    <w:rsid w:val="00BD2244"/>
    <w:rsid w:val="00BE6472"/>
    <w:rsid w:val="00BF29B8"/>
    <w:rsid w:val="00BF46EA"/>
    <w:rsid w:val="00C07769"/>
    <w:rsid w:val="00C07D05"/>
    <w:rsid w:val="00C10856"/>
    <w:rsid w:val="00C203FA"/>
    <w:rsid w:val="00C244F5"/>
    <w:rsid w:val="00C30BD2"/>
    <w:rsid w:val="00C3164F"/>
    <w:rsid w:val="00C31B5E"/>
    <w:rsid w:val="00C34D3E"/>
    <w:rsid w:val="00C35B37"/>
    <w:rsid w:val="00C3747A"/>
    <w:rsid w:val="00C379E6"/>
    <w:rsid w:val="00C37F29"/>
    <w:rsid w:val="00C50589"/>
    <w:rsid w:val="00C54BE8"/>
    <w:rsid w:val="00C56DCC"/>
    <w:rsid w:val="00C57075"/>
    <w:rsid w:val="00C60635"/>
    <w:rsid w:val="00C661EC"/>
    <w:rsid w:val="00C72AFE"/>
    <w:rsid w:val="00C81619"/>
    <w:rsid w:val="00C81F66"/>
    <w:rsid w:val="00CA013C"/>
    <w:rsid w:val="00CA6D6D"/>
    <w:rsid w:val="00CC6C76"/>
    <w:rsid w:val="00CC7A4E"/>
    <w:rsid w:val="00CD1359"/>
    <w:rsid w:val="00CD4C83"/>
    <w:rsid w:val="00D01EDC"/>
    <w:rsid w:val="00D078AA"/>
    <w:rsid w:val="00D10058"/>
    <w:rsid w:val="00D111B0"/>
    <w:rsid w:val="00D1172A"/>
    <w:rsid w:val="00D11978"/>
    <w:rsid w:val="00D15E30"/>
    <w:rsid w:val="00D16129"/>
    <w:rsid w:val="00D25DBD"/>
    <w:rsid w:val="00D26929"/>
    <w:rsid w:val="00D30CBD"/>
    <w:rsid w:val="00D30D9E"/>
    <w:rsid w:val="00D33908"/>
    <w:rsid w:val="00D354F2"/>
    <w:rsid w:val="00D36C30"/>
    <w:rsid w:val="00D37C90"/>
    <w:rsid w:val="00D43A8C"/>
    <w:rsid w:val="00D53072"/>
    <w:rsid w:val="00D54AC8"/>
    <w:rsid w:val="00D61A4E"/>
    <w:rsid w:val="00D634EA"/>
    <w:rsid w:val="00D64CE2"/>
    <w:rsid w:val="00D713A1"/>
    <w:rsid w:val="00D77956"/>
    <w:rsid w:val="00D80F0C"/>
    <w:rsid w:val="00D92077"/>
    <w:rsid w:val="00D951E2"/>
    <w:rsid w:val="00D9565A"/>
    <w:rsid w:val="00DB0744"/>
    <w:rsid w:val="00DB2337"/>
    <w:rsid w:val="00DB5F87"/>
    <w:rsid w:val="00DB699B"/>
    <w:rsid w:val="00DC0376"/>
    <w:rsid w:val="00DC099B"/>
    <w:rsid w:val="00DC2BE5"/>
    <w:rsid w:val="00DC3720"/>
    <w:rsid w:val="00DD4CD4"/>
    <w:rsid w:val="00DD65A2"/>
    <w:rsid w:val="00DD6770"/>
    <w:rsid w:val="00DE0749"/>
    <w:rsid w:val="00DE1CE2"/>
    <w:rsid w:val="00DF1210"/>
    <w:rsid w:val="00DF31E9"/>
    <w:rsid w:val="00DF400D"/>
    <w:rsid w:val="00DF5C23"/>
    <w:rsid w:val="00E01980"/>
    <w:rsid w:val="00E01BB8"/>
    <w:rsid w:val="00E01DAD"/>
    <w:rsid w:val="00E021DC"/>
    <w:rsid w:val="00E03F91"/>
    <w:rsid w:val="00E064EF"/>
    <w:rsid w:val="00E064F2"/>
    <w:rsid w:val="00E0717B"/>
    <w:rsid w:val="00E15598"/>
    <w:rsid w:val="00E165BB"/>
    <w:rsid w:val="00E20D65"/>
    <w:rsid w:val="00E353A2"/>
    <w:rsid w:val="00E36881"/>
    <w:rsid w:val="00E42E4C"/>
    <w:rsid w:val="00E47013"/>
    <w:rsid w:val="00E541F9"/>
    <w:rsid w:val="00E57B79"/>
    <w:rsid w:val="00E63419"/>
    <w:rsid w:val="00E64496"/>
    <w:rsid w:val="00E72115"/>
    <w:rsid w:val="00E8322E"/>
    <w:rsid w:val="00E86AE1"/>
    <w:rsid w:val="00E903E0"/>
    <w:rsid w:val="00E964E0"/>
    <w:rsid w:val="00EA1115"/>
    <w:rsid w:val="00EA39EB"/>
    <w:rsid w:val="00EA58CE"/>
    <w:rsid w:val="00EB33FF"/>
    <w:rsid w:val="00EB3D1A"/>
    <w:rsid w:val="00EC2698"/>
    <w:rsid w:val="00EC2759"/>
    <w:rsid w:val="00EC7106"/>
    <w:rsid w:val="00ED0120"/>
    <w:rsid w:val="00ED3BBA"/>
    <w:rsid w:val="00ED4E12"/>
    <w:rsid w:val="00EE051B"/>
    <w:rsid w:val="00EE54B4"/>
    <w:rsid w:val="00EF1AD8"/>
    <w:rsid w:val="00EF2B5C"/>
    <w:rsid w:val="00EF7794"/>
    <w:rsid w:val="00F02046"/>
    <w:rsid w:val="00F053D8"/>
    <w:rsid w:val="00F058BC"/>
    <w:rsid w:val="00F07888"/>
    <w:rsid w:val="00F1313D"/>
    <w:rsid w:val="00F201E7"/>
    <w:rsid w:val="00F204E0"/>
    <w:rsid w:val="00F20B16"/>
    <w:rsid w:val="00F21C79"/>
    <w:rsid w:val="00F238C9"/>
    <w:rsid w:val="00F23CA5"/>
    <w:rsid w:val="00F277AA"/>
    <w:rsid w:val="00F31955"/>
    <w:rsid w:val="00F34C06"/>
    <w:rsid w:val="00F43EA3"/>
    <w:rsid w:val="00F4454E"/>
    <w:rsid w:val="00F50C55"/>
    <w:rsid w:val="00F57FFB"/>
    <w:rsid w:val="00F601E6"/>
    <w:rsid w:val="00F73954"/>
    <w:rsid w:val="00F8348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4A7AF9"/>
  <w14:defaultImageDpi w14:val="300"/>
  <w15:docId w15:val="{E6DC60C6-1964-F945-B431-19938CB18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01ED"/>
    <w:pPr>
      <w:spacing w:after="160" w:line="259" w:lineRule="auto"/>
    </w:pPr>
    <w:rPr>
      <w:rFonts w:ascii="Garamond" w:hAnsi="Garamond" w:cs="EB GARAMOND REGULAR ROMAN"/>
    </w:rPr>
  </w:style>
  <w:style w:type="paragraph" w:styleId="Heading1">
    <w:name w:val="heading 1"/>
    <w:aliases w:val="Pocket"/>
    <w:basedOn w:val="Normal"/>
    <w:next w:val="Normal"/>
    <w:link w:val="Heading1Char"/>
    <w:uiPriority w:val="9"/>
    <w:qFormat/>
    <w:rsid w:val="009B01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01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B01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no read,No Spacing211,No Spacing12,No Spacing2111,No Spacing4,No Spacing5,ta,No Spacing112,No Spacing1121,T,t,Tag1,tag, Ch,No Spacing21,tags,Ta"/>
    <w:basedOn w:val="Normal"/>
    <w:next w:val="Normal"/>
    <w:link w:val="Heading4Char"/>
    <w:uiPriority w:val="9"/>
    <w:unhideWhenUsed/>
    <w:qFormat/>
    <w:rsid w:val="009B01ED"/>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9B01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01ED"/>
  </w:style>
  <w:style w:type="character" w:customStyle="1" w:styleId="Heading1Char">
    <w:name w:val="Heading 1 Char"/>
    <w:aliases w:val="Pocket Char"/>
    <w:basedOn w:val="DefaultParagraphFont"/>
    <w:link w:val="Heading1"/>
    <w:uiPriority w:val="9"/>
    <w:rsid w:val="009B01ED"/>
    <w:rPr>
      <w:rFonts w:ascii="Garamond" w:eastAsiaTheme="majorEastAsia" w:hAnsi="Garamond" w:cstheme="majorBidi"/>
      <w:b/>
      <w:bCs/>
      <w:sz w:val="52"/>
      <w:szCs w:val="32"/>
    </w:rPr>
  </w:style>
  <w:style w:type="character" w:customStyle="1" w:styleId="Heading2Char">
    <w:name w:val="Heading 2 Char"/>
    <w:aliases w:val="Hat Char"/>
    <w:basedOn w:val="DefaultParagraphFont"/>
    <w:link w:val="Heading2"/>
    <w:uiPriority w:val="9"/>
    <w:rsid w:val="009B01ED"/>
    <w:rPr>
      <w:rFonts w:ascii="Garamond" w:eastAsiaTheme="majorEastAsia" w:hAnsi="Garamond" w:cstheme="majorBidi"/>
      <w:b/>
      <w:bCs/>
      <w:sz w:val="44"/>
      <w:szCs w:val="44"/>
      <w:u w:val="double"/>
    </w:rPr>
  </w:style>
  <w:style w:type="character" w:customStyle="1" w:styleId="Heading3Char">
    <w:name w:val="Heading 3 Char"/>
    <w:aliases w:val="Block Char"/>
    <w:basedOn w:val="DefaultParagraphFont"/>
    <w:link w:val="Heading3"/>
    <w:uiPriority w:val="9"/>
    <w:rsid w:val="009B01ED"/>
    <w:rPr>
      <w:rFonts w:ascii="Garamond" w:eastAsiaTheme="majorEastAsia" w:hAnsi="Garamond"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no read Char,No Spacing211 Char,No Spacing12 Char,No Spacing2111 Char,No Spacing4 Char,T Char"/>
    <w:basedOn w:val="DefaultParagraphFont"/>
    <w:link w:val="Heading4"/>
    <w:uiPriority w:val="9"/>
    <w:rsid w:val="009B01ED"/>
    <w:rPr>
      <w:rFonts w:ascii="Garamond" w:eastAsiaTheme="majorEastAsia" w:hAnsi="Garamond"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B01ED"/>
    <w:rPr>
      <w:b/>
      <w:sz w:val="28"/>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
    <w:basedOn w:val="DefaultParagraphFont"/>
    <w:uiPriority w:val="1"/>
    <w:qFormat/>
    <w:rsid w:val="009B01ED"/>
    <w:rPr>
      <w:b w:val="0"/>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9B01ED"/>
    <w:rPr>
      <w:rFonts w:ascii="Garamond" w:hAnsi="Garamond" w:cs="EB GARAMOND REGULAR ROMAN"/>
      <w:b/>
      <w:i w:val="0"/>
      <w:iCs/>
      <w:sz w:val="24"/>
      <w:u w:val="single"/>
      <w:bdr w:val="none" w:sz="0" w:space="0" w:color="auto"/>
    </w:rPr>
  </w:style>
  <w:style w:type="character" w:styleId="FollowedHyperlink">
    <w:name w:val="FollowedHyperlink"/>
    <w:basedOn w:val="DefaultParagraphFont"/>
    <w:uiPriority w:val="99"/>
    <w:semiHidden/>
    <w:unhideWhenUsed/>
    <w:rsid w:val="009B01ED"/>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B01ED"/>
    <w:rPr>
      <w:color w:val="auto"/>
      <w:u w:val="none"/>
    </w:rPr>
  </w:style>
  <w:style w:type="paragraph" w:styleId="DocumentMap">
    <w:name w:val="Document Map"/>
    <w:basedOn w:val="Normal"/>
    <w:link w:val="DocumentMapChar"/>
    <w:uiPriority w:val="99"/>
    <w:semiHidden/>
    <w:unhideWhenUsed/>
    <w:rsid w:val="009B01E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B01ED"/>
    <w:rPr>
      <w:rFonts w:ascii="Lucida Grande" w:hAnsi="Lucida Grande" w:cs="Lucida Grande"/>
    </w:rPr>
  </w:style>
  <w:style w:type="paragraph" w:customStyle="1" w:styleId="textbold">
    <w:name w:val="text bold"/>
    <w:basedOn w:val="Normal"/>
    <w:link w:val="Emphasis"/>
    <w:autoRedefine/>
    <w:uiPriority w:val="20"/>
    <w:qFormat/>
    <w:rsid w:val="00190D6E"/>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72116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3C73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atalyst.phrma.org/icymi-orphan-drug-development-brings-unique-challenges" TargetMode="External"/><Relationship Id="rId18" Type="http://schemas.openxmlformats.org/officeDocument/2006/relationships/hyperlink" Target="https://www.iqvia.com/institute/reports/the-global-use-of-medicine-in-2019-and-outlook-to-2023" TargetMode="External"/><Relationship Id="rId26" Type="http://schemas.openxmlformats.org/officeDocument/2006/relationships/hyperlink" Target="http://bionest.com/wp-content/uploads/2015/10/In_Vivo_Article_Bionest_web_final_IV1312.pdf" TargetMode="External"/><Relationship Id="rId39" Type="http://schemas.openxmlformats.org/officeDocument/2006/relationships/hyperlink" Target="https://ec.europa.eu/health/vaccination/overview_en" TargetMode="External"/><Relationship Id="rId21" Type="http://schemas.openxmlformats.org/officeDocument/2006/relationships/hyperlink" Target="https://www.sciencedirect.com/science/article/pii/S2452302X16300638" TargetMode="External"/><Relationship Id="rId34" Type="http://schemas.openxmlformats.org/officeDocument/2006/relationships/hyperlink" Target="https://ec.europa.eu/info/live-work-travel-eu/coronavirus-response/public-health_en" TargetMode="External"/><Relationship Id="rId42" Type="http://schemas.openxmlformats.org/officeDocument/2006/relationships/hyperlink" Target="https://asia.nikkei.com/Spotlight/Datawatch/COVID-19-casts-shadow-over-US-and-European-economic-optimis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researchgate.net/publication/327407817_Factors_Affecting_Pricing_in_Patent_Licensing_Contracts_in_the_Biopharmaceutical_Industry" TargetMode="External"/><Relationship Id="rId20" Type="http://schemas.openxmlformats.org/officeDocument/2006/relationships/hyperlink" Target="https://www.fda.gov/drugs/developmentapprovalprocess/druginnovation/default.htm" TargetMode="External"/><Relationship Id="rId29" Type="http://schemas.openxmlformats.org/officeDocument/2006/relationships/hyperlink" Target="https://www.google.com/search?q=europe+population&amp;rlz=1C5CHFA_enCA730CA732&amp;oq=europe+population&amp;aqs=chrome..69i57j0l5.2374j0j4&amp;sourceid=chrome&amp;ie=UTF-8" TargetMode="External"/><Relationship Id="rId41" Type="http://schemas.openxmlformats.org/officeDocument/2006/relationships/hyperlink" Target="https://papers.ssrn.com/sol3/papers.cfm?abstract_id=2839693,)D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talyst.phrma.org/ip-explained-three-forms-of-ip-protections-for-medicines" TargetMode="External"/><Relationship Id="rId24" Type="http://schemas.openxmlformats.org/officeDocument/2006/relationships/hyperlink" Target="https://www.ncbi.nlm.nih.gov/pmc/articles/PMC6091770/" TargetMode="External"/><Relationship Id="rId32" Type="http://schemas.openxmlformats.org/officeDocument/2006/relationships/hyperlink" Target="https://eur-lex.europa.eu/legal-content/EN/TXT/?uri=uriserv:OJ.L_.2021.107.01.0001.01.ENG" TargetMode="External"/><Relationship Id="rId37" Type="http://schemas.openxmlformats.org/officeDocument/2006/relationships/hyperlink" Target="https://ec.europa.eu/health/human-use/strategy_en" TargetMode="External"/><Relationship Id="rId40"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5" Type="http://schemas.openxmlformats.org/officeDocument/2006/relationships/hyperlink" Target="https://iccwbo.org/content/uploads/sites/3/2017/02/ICC-Research-Trade-Secrets-english.pdf" TargetMode="External"/><Relationship Id="rId23" Type="http://schemas.openxmlformats.org/officeDocument/2006/relationships/hyperlink" Target="https://www.sciencedirect.com/science/article/pii/S2452302X16300638" TargetMode="External"/><Relationship Id="rId28" Type="http://schemas.openxmlformats.org/officeDocument/2006/relationships/hyperlink" Target="https://www.fda.gov/ForConsumers/ConsumerUpdates/ucm246776.htm" TargetMode="External"/><Relationship Id="rId36" Type="http://schemas.openxmlformats.org/officeDocument/2006/relationships/hyperlink" Target="https://ec.europa.eu/health/non_communicable_diseases/cancer_en" TargetMode="External"/><Relationship Id="rId10" Type="http://schemas.openxmlformats.org/officeDocument/2006/relationships/hyperlink" Target="https://catalyst.phrma.org/ip-explained-three-forms-of-ip-protections-for-medicines" TargetMode="External"/><Relationship Id="rId19" Type="http://schemas.openxmlformats.org/officeDocument/2006/relationships/hyperlink" Target="https://www.fool.com/investing/2018/05/19/how-drug-approvals-in-europe-are-different-than-in.aspx" TargetMode="External"/><Relationship Id="rId31" Type="http://schemas.openxmlformats.org/officeDocument/2006/relationships/hyperlink" Target="https://ec.europa.eu/health/funding/eu4health_en"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atalyst.phrma.org/author/tom-wilbur" TargetMode="External"/><Relationship Id="rId14" Type="http://schemas.openxmlformats.org/officeDocument/2006/relationships/hyperlink" Target="https://knowledgehub.transparency.org/assets/uploads/helpdesk/Whistleblower-Reward-Programmes-2018.pdf" TargetMode="External"/><Relationship Id="rId22" Type="http://schemas.openxmlformats.org/officeDocument/2006/relationships/hyperlink" Target="https://www.ema.europa.eu/en/human-regulatory/marketing-authorisation/pre-authorisation-guidance" TargetMode="External"/><Relationship Id="rId27" Type="http://schemas.openxmlformats.org/officeDocument/2006/relationships/hyperlink" Target="http://www.ema.europa.eu/ema/index.jsp?curl=pages/regulation/general/eudra_gmp_database.jsp&amp;mid=WC0b01ac058006e06e" TargetMode="External"/><Relationship Id="rId30" Type="http://schemas.openxmlformats.org/officeDocument/2006/relationships/hyperlink" Target="https://www.lexology.com/library/detail.aspx?g=f3a952a0-c7a6-4bb7-b769-b505c9f53f77" TargetMode="External"/><Relationship Id="rId35" Type="http://schemas.openxmlformats.org/officeDocument/2006/relationships/hyperlink" Target="https://ec.europa.eu/health/security/overview_en"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catalyst.phrma.org/ip-explained-why-patents-are-so-critical-to-biopharmaceutical-innovation" TargetMode="External"/><Relationship Id="rId17" Type="http://schemas.openxmlformats.org/officeDocument/2006/relationships/hyperlink" Target="https://www.thebalance.com/ranking-the-top-biotech-countries-3973287" TargetMode="External"/><Relationship Id="rId25" Type="http://schemas.openxmlformats.org/officeDocument/2006/relationships/hyperlink" Target="https://www.researchgate.net/publication/327407817_Factors_Affecting_Pricing_in_Patent_Licensing_Contracts_in_the_Biopharmaceutical_Industry" TargetMode="External"/><Relationship Id="rId33" Type="http://schemas.openxmlformats.org/officeDocument/2006/relationships/hyperlink" Target="https://ec.europa.eu/info/strategy/priorities-2019-2024/promoting-our-european-way-life/european-health-union_en" TargetMode="External"/><Relationship Id="rId38" Type="http://schemas.openxmlformats.org/officeDocument/2006/relationships/hyperlink" Target="https://ec.europa.eu/health/antimicrobial-resistance/eu-action-on-antimicrobial-resistance_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eer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25</Pages>
  <Words>9849</Words>
  <Characters>56141</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65859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Shreeram Modi</dc:creator>
  <cp:keywords>5.2</cp:keywords>
  <dc:description/>
  <cp:lastModifiedBy>Shreeram Modi</cp:lastModifiedBy>
  <cp:revision>64</cp:revision>
  <dcterms:created xsi:type="dcterms:W3CDTF">2021-10-09T17:28:00Z</dcterms:created>
  <dcterms:modified xsi:type="dcterms:W3CDTF">2021-10-09T19:17:00Z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