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6CB32" w14:textId="753D3311" w:rsidR="00F65E6A" w:rsidRDefault="00AB2648" w:rsidP="00C72DA4">
      <w:pPr>
        <w:pStyle w:val="Heading3"/>
      </w:pPr>
      <w:r>
        <w:t>T Waiver</w:t>
      </w:r>
    </w:p>
    <w:p w14:paraId="66BD7C6B" w14:textId="22D82116" w:rsidR="00F65E6A" w:rsidRDefault="00F65E6A" w:rsidP="00F65E6A">
      <w:pPr>
        <w:pStyle w:val="Heading4"/>
        <w:numPr>
          <w:ilvl w:val="0"/>
          <w:numId w:val="13"/>
        </w:numPr>
        <w:rPr>
          <w:u w:val="single"/>
        </w:rPr>
      </w:pPr>
      <w:r>
        <w:t xml:space="preserve">Affirmatives must defend the reduction of intellectual property protections for </w:t>
      </w:r>
      <w:r>
        <w:rPr>
          <w:u w:val="single"/>
        </w:rPr>
        <w:t>medicine.</w:t>
      </w:r>
    </w:p>
    <w:p w14:paraId="587A0A54" w14:textId="67E52E6C" w:rsidR="00F65E6A" w:rsidRPr="00F65E6A" w:rsidRDefault="00F65E6A" w:rsidP="00F65E6A">
      <w:pPr>
        <w:pStyle w:val="Heading4"/>
      </w:pPr>
      <w:r>
        <w:t xml:space="preserve">Medicine treats disease </w:t>
      </w:r>
      <w:r w:rsidRPr="00F65E6A">
        <w:rPr>
          <w:rStyle w:val="Style13ptBold"/>
          <w:b/>
          <w:bCs w:val="0"/>
        </w:rPr>
        <w:t>Merriam-Webster n.d.</w:t>
      </w:r>
    </w:p>
    <w:p w14:paraId="62F5FCF5" w14:textId="7AD65AD1" w:rsidR="00F65E6A" w:rsidRPr="00C72DA4" w:rsidRDefault="00F65E6A" w:rsidP="00F65E6A">
      <w:r>
        <w:t>[https://www.merriam-webster.com/dictionary/medicine]</w:t>
      </w:r>
    </w:p>
    <w:p w14:paraId="11F62C6E" w14:textId="77777777" w:rsidR="00F65E6A" w:rsidRPr="00C72DA4" w:rsidRDefault="00F65E6A" w:rsidP="00F65E6A">
      <w:pPr>
        <w:rPr>
          <w:rStyle w:val="Emphasis"/>
        </w:rPr>
      </w:pPr>
      <w:r w:rsidRPr="00C72DA4">
        <w:rPr>
          <w:rStyle w:val="Emphasis"/>
          <w:highlight w:val="cyan"/>
        </w:rPr>
        <w:t>Medicine</w:t>
      </w:r>
      <w:r w:rsidRPr="00C72DA4">
        <w:rPr>
          <w:rStyle w:val="Emphasis"/>
        </w:rPr>
        <w:t xml:space="preserve"> definition </w:t>
      </w:r>
      <w:r w:rsidRPr="00C72DA4">
        <w:rPr>
          <w:rStyle w:val="Emphasis"/>
          <w:highlight w:val="cyan"/>
        </w:rPr>
        <w:t>is - a substance</w:t>
      </w:r>
      <w:r w:rsidRPr="00C72DA4">
        <w:rPr>
          <w:rStyle w:val="Emphasis"/>
        </w:rPr>
        <w:t xml:space="preserve"> or preparation </w:t>
      </w:r>
      <w:r w:rsidRPr="00C72DA4">
        <w:rPr>
          <w:rStyle w:val="Emphasis"/>
          <w:highlight w:val="cyan"/>
        </w:rPr>
        <w:t>used in treating disease</w:t>
      </w:r>
    </w:p>
    <w:p w14:paraId="303B308B" w14:textId="0CA41FBD" w:rsidR="0007323A" w:rsidRDefault="0007323A" w:rsidP="0007323A">
      <w:pPr>
        <w:pStyle w:val="Heading4"/>
        <w:numPr>
          <w:ilvl w:val="0"/>
          <w:numId w:val="13"/>
        </w:numPr>
      </w:pPr>
      <w:r>
        <w:t>They don’t</w:t>
      </w:r>
    </w:p>
    <w:p w14:paraId="665BB001" w14:textId="318BEBB9" w:rsidR="00C72DA4" w:rsidRDefault="00F65E6A" w:rsidP="0007323A">
      <w:pPr>
        <w:pStyle w:val="Heading4"/>
      </w:pPr>
      <w:r>
        <w:t>A WTO waiver covers non-medicine tech</w:t>
      </w:r>
    </w:p>
    <w:p w14:paraId="667C0B8D" w14:textId="77777777" w:rsidR="00C72DA4" w:rsidRPr="00213B67" w:rsidRDefault="00C72DA4" w:rsidP="00C72DA4">
      <w:proofErr w:type="spellStart"/>
      <w:r w:rsidRPr="00E1107C">
        <w:rPr>
          <w:rStyle w:val="Style13ptBold"/>
        </w:rPr>
        <w:t>Braman</w:t>
      </w:r>
      <w:proofErr w:type="spellEnd"/>
      <w:r w:rsidRPr="00E1107C">
        <w:rPr>
          <w:rStyle w:val="Style13ptBold"/>
        </w:rPr>
        <w:t xml:space="preserve"> 9/14</w:t>
      </w:r>
      <w:r>
        <w:t xml:space="preserve"> [Nancy </w:t>
      </w:r>
      <w:proofErr w:type="spellStart"/>
      <w:r>
        <w:t>Braman</w:t>
      </w:r>
      <w:proofErr w:type="spellEnd"/>
      <w:r>
        <w:t xml:space="preserve"> is a registered U.S. patent attorney. She has been contributing to </w:t>
      </w:r>
      <w:proofErr w:type="spellStart"/>
      <w:r>
        <w:t>IPWatchdog</w:t>
      </w:r>
      <w:proofErr w:type="spellEnd"/>
      <w:r>
        <w:t xml:space="preserve"> since 2019. 9/14/21, “</w:t>
      </w:r>
      <w:proofErr w:type="spellStart"/>
      <w:r>
        <w:t>Iancu</w:t>
      </w:r>
      <w:proofErr w:type="spellEnd"/>
      <w:r>
        <w:t xml:space="preserve">, </w:t>
      </w:r>
      <w:proofErr w:type="spellStart"/>
      <w:r>
        <w:t>Kilbride</w:t>
      </w:r>
      <w:proofErr w:type="spellEnd"/>
      <w:r>
        <w:t xml:space="preserve">, Israel Separate Fact from Fiction During </w:t>
      </w:r>
      <w:proofErr w:type="spellStart"/>
      <w:r>
        <w:t>IPWatchdog</w:t>
      </w:r>
      <w:proofErr w:type="spellEnd"/>
      <w:r>
        <w:t xml:space="preserve"> LIVE Panel on TRIPS IP Waiver,” IP Watchdog, </w:t>
      </w:r>
      <w:r w:rsidRPr="00213B67">
        <w:t>https://www.ipwatchdog.com/2021/09/14/iancu-kilbride-israel-separate-fact-fiction-ipwatchdog-live-panel-trips-ip-waiver/id=137589/</w:t>
      </w:r>
      <w:r>
        <w:t>/lhs-ap]</w:t>
      </w:r>
    </w:p>
    <w:p w14:paraId="42AB83CB" w14:textId="0F623D00" w:rsidR="00C72DA4" w:rsidRDefault="00C72DA4" w:rsidP="00C72DA4">
      <w:pPr>
        <w:rPr>
          <w:rStyle w:val="StyleUnderline"/>
        </w:rPr>
      </w:pPr>
      <w:r w:rsidRPr="00A0059D">
        <w:rPr>
          <w:rStyle w:val="StyleUnderline"/>
        </w:rPr>
        <w:t xml:space="preserve">Andrei </w:t>
      </w:r>
      <w:proofErr w:type="spellStart"/>
      <w:r w:rsidRPr="00A0059D">
        <w:rPr>
          <w:rStyle w:val="StyleUnderline"/>
        </w:rPr>
        <w:t>Iancu</w:t>
      </w:r>
      <w:proofErr w:type="spellEnd"/>
      <w:r>
        <w:t xml:space="preserve">, partner at </w:t>
      </w:r>
      <w:proofErr w:type="spellStart"/>
      <w:r>
        <w:t>Irell</w:t>
      </w:r>
      <w:proofErr w:type="spellEnd"/>
      <w:r>
        <w:t xml:space="preserve"> &amp; Manella and </w:t>
      </w:r>
      <w:r w:rsidRPr="00A0059D">
        <w:rPr>
          <w:rStyle w:val="StyleUnderline"/>
        </w:rPr>
        <w:t>former Director of the</w:t>
      </w:r>
      <w:r>
        <w:t xml:space="preserve"> United States Patent and Trademark Office (</w:t>
      </w:r>
      <w:r w:rsidRPr="00A0059D">
        <w:rPr>
          <w:rStyle w:val="StyleUnderline"/>
        </w:rPr>
        <w:t>USPTO</w:t>
      </w:r>
      <w:r>
        <w:t xml:space="preserve">), </w:t>
      </w:r>
      <w:r w:rsidRPr="00A0059D">
        <w:t>kicked off the discussion</w:t>
      </w:r>
      <w:r>
        <w:t xml:space="preserve">. He </w:t>
      </w:r>
      <w:r w:rsidRPr="00A0059D">
        <w:rPr>
          <w:rStyle w:val="StyleUnderline"/>
        </w:rPr>
        <w:t xml:space="preserve">explained that </w:t>
      </w:r>
      <w:r w:rsidRPr="00E1107C">
        <w:rPr>
          <w:rStyle w:val="StyleUnderline"/>
          <w:highlight w:val="cyan"/>
        </w:rPr>
        <w:t>the waiver is extraordinarily broad, not only</w:t>
      </w:r>
      <w:r w:rsidRPr="00A0059D">
        <w:rPr>
          <w:rStyle w:val="StyleUnderline"/>
        </w:rPr>
        <w:t xml:space="preserve"> requesting a waiver of patents related to </w:t>
      </w:r>
      <w:r w:rsidRPr="00E1107C">
        <w:rPr>
          <w:rStyle w:val="StyleUnderline"/>
          <w:highlight w:val="cyan"/>
        </w:rPr>
        <w:t>the</w:t>
      </w:r>
      <w:r w:rsidRPr="00A0059D">
        <w:rPr>
          <w:rStyle w:val="StyleUnderline"/>
        </w:rPr>
        <w:t xml:space="preserve"> COVID-19 </w:t>
      </w:r>
      <w:r w:rsidRPr="00E1107C">
        <w:rPr>
          <w:rStyle w:val="StyleUnderline"/>
          <w:highlight w:val="cyan"/>
        </w:rPr>
        <w:t>vaccine</w:t>
      </w:r>
      <w:r w:rsidRPr="00A0059D">
        <w:rPr>
          <w:rStyle w:val="StyleUnderline"/>
        </w:rPr>
        <w:t xml:space="preserve"> technology, </w:t>
      </w:r>
      <w:r w:rsidRPr="00E1107C">
        <w:rPr>
          <w:rStyle w:val="StyleUnderline"/>
          <w:highlight w:val="cyan"/>
        </w:rPr>
        <w:t>but all technologies that impact the treatment and care of COVID-19 related illnesses, including</w:t>
      </w:r>
      <w:r w:rsidRPr="00A0059D">
        <w:rPr>
          <w:rStyle w:val="StyleUnderline"/>
        </w:rPr>
        <w:t xml:space="preserve"> vaccines, </w:t>
      </w:r>
      <w:r w:rsidRPr="00E1107C">
        <w:rPr>
          <w:rStyle w:val="StyleUnderline"/>
          <w:highlight w:val="cyan"/>
        </w:rPr>
        <w:t>respirators, software related to contact tracing, etc.</w:t>
      </w:r>
      <w:r w:rsidRPr="00A0059D">
        <w:rPr>
          <w:rStyle w:val="StyleUnderline"/>
        </w:rPr>
        <w:t xml:space="preserve"> </w:t>
      </w:r>
      <w:r>
        <w:t xml:space="preserve">Furthermore, even though </w:t>
      </w:r>
      <w:r w:rsidRPr="00A0059D">
        <w:rPr>
          <w:rStyle w:val="StyleUnderline"/>
        </w:rPr>
        <w:t>the waiver</w:t>
      </w:r>
      <w:r>
        <w:t xml:space="preserve"> seems on its face to be a temporary solution, it </w:t>
      </w:r>
      <w:r w:rsidRPr="00A0059D">
        <w:rPr>
          <w:rStyle w:val="StyleUnderline"/>
        </w:rPr>
        <w:t>could have permanent consequences</w:t>
      </w:r>
      <w:r>
        <w:t xml:space="preserve">. He explained that the danger first lies in </w:t>
      </w:r>
      <w:r w:rsidRPr="00A0059D">
        <w:rPr>
          <w:rStyle w:val="StyleUnderline"/>
        </w:rPr>
        <w:t>the revised language</w:t>
      </w:r>
      <w:r>
        <w:t xml:space="preserve">, which </w:t>
      </w:r>
      <w:r w:rsidRPr="00A0059D">
        <w:rPr>
          <w:rStyle w:val="StyleUnderline"/>
        </w:rPr>
        <w:t>states that the waiver shall last for a minimum of three years</w:t>
      </w:r>
      <w:r>
        <w:t xml:space="preserve">, after which </w:t>
      </w:r>
      <w:r w:rsidRPr="00A0059D">
        <w:rPr>
          <w:rStyle w:val="StyleUnderline"/>
        </w:rPr>
        <w:t>the waiver can be ended by agreement by the WTO</w:t>
      </w:r>
      <w:r>
        <w:t xml:space="preserve">. This is problematic, said </w:t>
      </w:r>
      <w:proofErr w:type="spellStart"/>
      <w:r>
        <w:t>Iancu</w:t>
      </w:r>
      <w:proofErr w:type="spellEnd"/>
      <w:r>
        <w:t xml:space="preserve">, because </w:t>
      </w:r>
      <w:proofErr w:type="gramStart"/>
      <w:r>
        <w:t xml:space="preserve">in order </w:t>
      </w:r>
      <w:r w:rsidRPr="00A0059D">
        <w:rPr>
          <w:rStyle w:val="StyleUnderline"/>
        </w:rPr>
        <w:t>for</w:t>
      </w:r>
      <w:proofErr w:type="gramEnd"/>
      <w:r w:rsidRPr="00A0059D">
        <w:rPr>
          <w:rStyle w:val="StyleUnderline"/>
        </w:rPr>
        <w:t xml:space="preserve"> any change to be made at the WTO, all 164 member countries must unanimously agree. </w:t>
      </w:r>
      <w:r w:rsidRPr="00A0059D">
        <w:t>It</w:t>
      </w:r>
      <w:r>
        <w:t xml:space="preserve"> is conceivable that </w:t>
      </w:r>
      <w:r w:rsidRPr="00E1107C">
        <w:rPr>
          <w:rStyle w:val="StyleUnderline"/>
        </w:rPr>
        <w:t>at least one country would disagree, and thus the revised proposal effectively would make the waiver permanent.</w:t>
      </w:r>
    </w:p>
    <w:p w14:paraId="40046986" w14:textId="384322D5" w:rsidR="0007323A" w:rsidRPr="00C72DA4" w:rsidRDefault="00C85280" w:rsidP="0007323A">
      <w:pPr>
        <w:pStyle w:val="Heading4"/>
      </w:pPr>
      <w:r>
        <w:t>D</w:t>
      </w:r>
      <w:r w:rsidR="0007323A">
        <w:t xml:space="preserve">rop them for extra-topicality – a waiver justifies fiat abuse allowing </w:t>
      </w:r>
      <w:proofErr w:type="spellStart"/>
      <w:r w:rsidR="0007323A">
        <w:t>affs</w:t>
      </w:r>
      <w:proofErr w:type="spellEnd"/>
      <w:r w:rsidR="0007323A">
        <w:t xml:space="preserve"> to generate offense </w:t>
      </w:r>
      <w:proofErr w:type="gramStart"/>
      <w:r w:rsidR="0007323A">
        <w:t>off of</w:t>
      </w:r>
      <w:proofErr w:type="gramEnd"/>
      <w:r w:rsidR="0007323A">
        <w:t xml:space="preserve"> </w:t>
      </w:r>
      <w:r w:rsidR="00031390">
        <w:t>non-topical positions</w:t>
      </w:r>
    </w:p>
    <w:p w14:paraId="46CAEA56" w14:textId="5B241965" w:rsidR="0007323A" w:rsidRDefault="0007323A" w:rsidP="0007323A">
      <w:pPr>
        <w:pStyle w:val="Heading4"/>
        <w:rPr>
          <w:rStyle w:val="StyleUnderline"/>
        </w:rPr>
      </w:pPr>
      <w:r>
        <w:t xml:space="preserve"> </w:t>
      </w:r>
      <w:r w:rsidRPr="00C34D8C">
        <w:rPr>
          <w:rStyle w:val="StyleUnderline"/>
          <w:highlight w:val="yellow"/>
        </w:rPr>
        <w:t>[WAIVER ≠ IP REDUCTION CARD!!!]</w:t>
      </w:r>
    </w:p>
    <w:p w14:paraId="41CA4070" w14:textId="123BE743" w:rsidR="0007323A" w:rsidRPr="00C72DA4" w:rsidRDefault="00031390" w:rsidP="003B5FD6">
      <w:pPr>
        <w:pStyle w:val="Heading4"/>
        <w:numPr>
          <w:ilvl w:val="0"/>
          <w:numId w:val="13"/>
        </w:numPr>
      </w:pPr>
      <w:r>
        <w:t>Vote neg:</w:t>
      </w:r>
    </w:p>
    <w:p w14:paraId="075CF003" w14:textId="5E66E387" w:rsidR="00031390" w:rsidRDefault="00031390" w:rsidP="00F65E6A">
      <w:pPr>
        <w:pStyle w:val="Heading4"/>
      </w:pPr>
      <w:r>
        <w:t xml:space="preserve">1 – Semantics – controls the internal link to any pragmatic offense and determines what we research in the first place – </w:t>
      </w:r>
      <w:r w:rsidR="00A43DAB">
        <w:t xml:space="preserve">without grounding in the topic there’s no way to debate the </w:t>
      </w:r>
      <w:proofErr w:type="spellStart"/>
      <w:r w:rsidR="00A43DAB">
        <w:t>aff</w:t>
      </w:r>
      <w:proofErr w:type="spellEnd"/>
      <w:r w:rsidR="00A43DAB">
        <w:t xml:space="preserve"> – independent voter for jurisdiction since judges can’t vote on an </w:t>
      </w:r>
      <w:proofErr w:type="spellStart"/>
      <w:r w:rsidR="00A43DAB">
        <w:t>aff</w:t>
      </w:r>
      <w:proofErr w:type="spellEnd"/>
      <w:r w:rsidR="00A43DAB">
        <w:t xml:space="preserve"> not defending the </w:t>
      </w:r>
      <w:proofErr w:type="spellStart"/>
      <w:r w:rsidR="00A43DAB">
        <w:t>rez</w:t>
      </w:r>
      <w:proofErr w:type="spellEnd"/>
      <w:r w:rsidR="00A43DAB">
        <w:t>.</w:t>
      </w:r>
    </w:p>
    <w:p w14:paraId="2056AC36" w14:textId="5D152E98" w:rsidR="00C72DA4" w:rsidRPr="00C72DA4" w:rsidRDefault="00031390" w:rsidP="00A43DAB">
      <w:pPr>
        <w:pStyle w:val="Heading4"/>
      </w:pPr>
      <w:r>
        <w:t xml:space="preserve">2 – Ground – The </w:t>
      </w:r>
      <w:proofErr w:type="spellStart"/>
      <w:r>
        <w:t>aff’s</w:t>
      </w:r>
      <w:proofErr w:type="spellEnd"/>
      <w:r>
        <w:t xml:space="preserve"> </w:t>
      </w:r>
      <w:proofErr w:type="spellStart"/>
      <w:r>
        <w:t>interp</w:t>
      </w:r>
      <w:proofErr w:type="spellEnd"/>
      <w:r>
        <w:t xml:space="preserve"> destroys neg ground by forcing the neg to defend fringe patents on software unrelated to the core of the topic; kills pre-round prep and research </w:t>
      </w:r>
    </w:p>
    <w:sectPr w:rsidR="00C72DA4" w:rsidRPr="00C72D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6D56FF4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DD48CC2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D1287A6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8ECA56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A8789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416E70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13CA719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6A8044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2A8A6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DFDA31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4A4481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5F15880"/>
    <w:multiLevelType w:val="hybridMultilevel"/>
    <w:tmpl w:val="C84E0C0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2F74F1"/>
    <w:multiLevelType w:val="hybridMultilevel"/>
    <w:tmpl w:val="2C7E417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B10D52"/>
    <w:multiLevelType w:val="hybridMultilevel"/>
    <w:tmpl w:val="2C7E417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12"/>
  </w:num>
  <w:num w:numId="12">
    <w:abstractNumId w:val="13"/>
  </w:num>
  <w:num w:numId="13">
    <w:abstractNumId w:val="1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isplayBackgroundShape/>
  <w:proofState w:spelling="clean" w:grammar="clean"/>
  <w:attachedTemplate r:id="rId1"/>
  <w:stylePaneFormatFilter w:val="D304" w:allStyles="0" w:customStyles="0" w:latentStyles="1" w:stylesInUse="0" w:headingStyles="0" w:numberingStyles="0" w:tableStyles="0" w:directFormattingOnRuns="1" w:directFormattingOnParagraphs="1" w:directFormattingOnNumbering="0" w:directFormattingOnTables="0" w:clearFormatting="1" w:top3HeadingStyles="0" w:visibleStyles="1" w:alternateStyleNames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RibbonPointer" w:val="150407768"/>
    <w:docVar w:name="VerbatimVersion" w:val="5.1"/>
  </w:docVars>
  <w:rsids>
    <w:rsidRoot w:val="00C72DA4"/>
    <w:rsid w:val="000139A3"/>
    <w:rsid w:val="00031390"/>
    <w:rsid w:val="0007323A"/>
    <w:rsid w:val="00100833"/>
    <w:rsid w:val="00104529"/>
    <w:rsid w:val="00105942"/>
    <w:rsid w:val="00107396"/>
    <w:rsid w:val="00144A4C"/>
    <w:rsid w:val="00176AB0"/>
    <w:rsid w:val="00177B7D"/>
    <w:rsid w:val="0018322D"/>
    <w:rsid w:val="001B5776"/>
    <w:rsid w:val="001E527A"/>
    <w:rsid w:val="001F78CE"/>
    <w:rsid w:val="00251FC7"/>
    <w:rsid w:val="002855A7"/>
    <w:rsid w:val="002B146A"/>
    <w:rsid w:val="002B5E17"/>
    <w:rsid w:val="00315690"/>
    <w:rsid w:val="00316B75"/>
    <w:rsid w:val="00325646"/>
    <w:rsid w:val="003371F0"/>
    <w:rsid w:val="003460F2"/>
    <w:rsid w:val="0038158C"/>
    <w:rsid w:val="003902BA"/>
    <w:rsid w:val="003A09E2"/>
    <w:rsid w:val="003B5FD6"/>
    <w:rsid w:val="00407037"/>
    <w:rsid w:val="004605D6"/>
    <w:rsid w:val="004C60E8"/>
    <w:rsid w:val="004E3579"/>
    <w:rsid w:val="004E728B"/>
    <w:rsid w:val="004F39E0"/>
    <w:rsid w:val="00537BD5"/>
    <w:rsid w:val="0057268A"/>
    <w:rsid w:val="005D2912"/>
    <w:rsid w:val="006065BD"/>
    <w:rsid w:val="00645FA9"/>
    <w:rsid w:val="00647866"/>
    <w:rsid w:val="00665003"/>
    <w:rsid w:val="006A2AD0"/>
    <w:rsid w:val="006C2375"/>
    <w:rsid w:val="006D4ECC"/>
    <w:rsid w:val="00722258"/>
    <w:rsid w:val="007243E5"/>
    <w:rsid w:val="00766EA0"/>
    <w:rsid w:val="007A2226"/>
    <w:rsid w:val="007F5B66"/>
    <w:rsid w:val="00823A1C"/>
    <w:rsid w:val="00845B9D"/>
    <w:rsid w:val="00860984"/>
    <w:rsid w:val="008B3ECB"/>
    <w:rsid w:val="008B4E85"/>
    <w:rsid w:val="008C1B2E"/>
    <w:rsid w:val="0091627E"/>
    <w:rsid w:val="0097032B"/>
    <w:rsid w:val="009D2EAD"/>
    <w:rsid w:val="009D54B2"/>
    <w:rsid w:val="009E1922"/>
    <w:rsid w:val="009F7ED2"/>
    <w:rsid w:val="00A43DAB"/>
    <w:rsid w:val="00A93661"/>
    <w:rsid w:val="00A95652"/>
    <w:rsid w:val="00AB2648"/>
    <w:rsid w:val="00AC0AB8"/>
    <w:rsid w:val="00B33C6D"/>
    <w:rsid w:val="00B4508F"/>
    <w:rsid w:val="00B55AD5"/>
    <w:rsid w:val="00B8057C"/>
    <w:rsid w:val="00BD6238"/>
    <w:rsid w:val="00BE1622"/>
    <w:rsid w:val="00BF593B"/>
    <w:rsid w:val="00BF773A"/>
    <w:rsid w:val="00BF7E81"/>
    <w:rsid w:val="00C13773"/>
    <w:rsid w:val="00C17CC8"/>
    <w:rsid w:val="00C34D8C"/>
    <w:rsid w:val="00C72DA4"/>
    <w:rsid w:val="00C83417"/>
    <w:rsid w:val="00C85280"/>
    <w:rsid w:val="00C950A3"/>
    <w:rsid w:val="00C9604F"/>
    <w:rsid w:val="00CA19AA"/>
    <w:rsid w:val="00CC5298"/>
    <w:rsid w:val="00CD736E"/>
    <w:rsid w:val="00CD798D"/>
    <w:rsid w:val="00CE161E"/>
    <w:rsid w:val="00CF59A8"/>
    <w:rsid w:val="00D325A9"/>
    <w:rsid w:val="00D36A8A"/>
    <w:rsid w:val="00D61409"/>
    <w:rsid w:val="00D6691E"/>
    <w:rsid w:val="00D71170"/>
    <w:rsid w:val="00DA1C92"/>
    <w:rsid w:val="00DA25D4"/>
    <w:rsid w:val="00DA6538"/>
    <w:rsid w:val="00E15E75"/>
    <w:rsid w:val="00E5262C"/>
    <w:rsid w:val="00EC7DC4"/>
    <w:rsid w:val="00ED30CF"/>
    <w:rsid w:val="00F176EF"/>
    <w:rsid w:val="00F45E10"/>
    <w:rsid w:val="00F6364A"/>
    <w:rsid w:val="00F65E6A"/>
    <w:rsid w:val="00F9113A"/>
    <w:rsid w:val="00FE2546"/>
    <w:rsid w:val="00FF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DE1B8B"/>
  <w15:chartTrackingRefBased/>
  <w15:docId w15:val="{B181EF98-764A-4A61-B7B1-EC9FCEECF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nhideWhenUsed="1" w:qFormat="1"/>
    <w:lsdException w:name="Quote" w:semiHidden="1" w:unhideWhenUsed="1" w:qFormat="1"/>
    <w:lsdException w:name="Intense Quote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nhideWhenUsed="1" w:qFormat="1"/>
    <w:lsdException w:name="Intense Emphasis" w:semiHidden="1" w:unhideWhenUsed="1" w:qFormat="1"/>
    <w:lsdException w:name="Subtle Reference" w:semiHidden="1" w:unhideWhenUsed="1" w:qFormat="1"/>
    <w:lsdException w:name="Intense Reference" w:semiHidden="1" w:unhideWhenUsed="1" w:qFormat="1"/>
    <w:lsdException w:name="Book Title" w:semiHidden="1" w:unhideWhenUsed="1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/Card"/>
    <w:qFormat/>
    <w:rsid w:val="003371F0"/>
    <w:rPr>
      <w:rFonts w:ascii="Calibri" w:eastAsiaTheme="minorEastAsia" w:hAnsi="Calibri"/>
      <w:szCs w:val="24"/>
    </w:rPr>
  </w:style>
  <w:style w:type="paragraph" w:styleId="Heading1">
    <w:name w:val="heading 1"/>
    <w:aliases w:val="Pocket"/>
    <w:basedOn w:val="Normal"/>
    <w:next w:val="Normal"/>
    <w:link w:val="Heading1Char"/>
    <w:uiPriority w:val="9"/>
    <w:qFormat/>
    <w:rsid w:val="003371F0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240" w:after="0"/>
      <w:jc w:val="center"/>
      <w:outlineLvl w:val="0"/>
    </w:pPr>
    <w:rPr>
      <w:rFonts w:eastAsiaTheme="majorEastAsia" w:cstheme="majorBidi"/>
      <w:b/>
      <w:bCs/>
      <w:sz w:val="52"/>
      <w:szCs w:val="32"/>
    </w:rPr>
  </w:style>
  <w:style w:type="paragraph" w:styleId="Heading2">
    <w:name w:val="heading 2"/>
    <w:aliases w:val="Hat"/>
    <w:basedOn w:val="Normal"/>
    <w:next w:val="Normal"/>
    <w:link w:val="Heading2Char"/>
    <w:uiPriority w:val="9"/>
    <w:unhideWhenUsed/>
    <w:qFormat/>
    <w:rsid w:val="003371F0"/>
    <w:pPr>
      <w:keepNext/>
      <w:keepLines/>
      <w:pageBreakBefore/>
      <w:spacing w:before="40" w:after="0"/>
      <w:jc w:val="center"/>
      <w:outlineLvl w:val="1"/>
    </w:pPr>
    <w:rPr>
      <w:rFonts w:eastAsiaTheme="majorEastAsia" w:cstheme="majorBidi"/>
      <w:b/>
      <w:bCs/>
      <w:sz w:val="44"/>
      <w:szCs w:val="44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9"/>
    <w:unhideWhenUsed/>
    <w:qFormat/>
    <w:rsid w:val="003371F0"/>
    <w:pPr>
      <w:keepNext/>
      <w:keepLines/>
      <w:pageBreakBefore/>
      <w:spacing w:before="40" w:after="0"/>
      <w:jc w:val="center"/>
      <w:outlineLvl w:val="2"/>
    </w:pPr>
    <w:rPr>
      <w:rFonts w:eastAsiaTheme="majorEastAsia" w:cstheme="majorBidi"/>
      <w:b/>
      <w:bCs/>
      <w:sz w:val="32"/>
      <w:szCs w:val="32"/>
      <w:u w:val="single"/>
    </w:rPr>
  </w:style>
  <w:style w:type="paragraph" w:styleId="Heading4">
    <w:name w:val="heading 4"/>
    <w:aliases w:val="Tag,Big card,body,small text,Normal Tag,heading 2,Ch,CD - Cite,no read,No Spacing211,No Spacing12,No Spacing2111,ta,small space,Heading 2 Char2 Char,TAG,Heading 2 Char1 Char Char,No Spacing112,No Spacing1121, Ch,No Spacing4,No Spacing11111,t,T"/>
    <w:basedOn w:val="Normal"/>
    <w:next w:val="Normal"/>
    <w:link w:val="Heading4Char"/>
    <w:uiPriority w:val="9"/>
    <w:unhideWhenUsed/>
    <w:qFormat/>
    <w:rsid w:val="003371F0"/>
    <w:pPr>
      <w:keepNext/>
      <w:keepLines/>
      <w:spacing w:before="40" w:after="0"/>
      <w:outlineLvl w:val="3"/>
    </w:pPr>
    <w:rPr>
      <w:rFonts w:eastAsiaTheme="majorEastAsia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  <w:rsid w:val="003371F0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3371F0"/>
  </w:style>
  <w:style w:type="character" w:customStyle="1" w:styleId="Heading1Char">
    <w:name w:val="Heading 1 Char"/>
    <w:aliases w:val="Pocket Char"/>
    <w:basedOn w:val="DefaultParagraphFont"/>
    <w:link w:val="Heading1"/>
    <w:uiPriority w:val="9"/>
    <w:rsid w:val="003371F0"/>
    <w:rPr>
      <w:rFonts w:ascii="Calibri" w:eastAsiaTheme="majorEastAsia" w:hAnsi="Calibri" w:cstheme="majorBidi"/>
      <w:b/>
      <w:bCs/>
      <w:sz w:val="52"/>
      <w:szCs w:val="32"/>
    </w:rPr>
  </w:style>
  <w:style w:type="character" w:customStyle="1" w:styleId="Heading2Char">
    <w:name w:val="Heading 2 Char"/>
    <w:aliases w:val="Hat Char"/>
    <w:basedOn w:val="DefaultParagraphFont"/>
    <w:link w:val="Heading2"/>
    <w:uiPriority w:val="9"/>
    <w:rsid w:val="003371F0"/>
    <w:rPr>
      <w:rFonts w:ascii="Calibri" w:eastAsiaTheme="majorEastAsia" w:hAnsi="Calibri" w:cstheme="majorBidi"/>
      <w:b/>
      <w:bCs/>
      <w:sz w:val="44"/>
      <w:szCs w:val="44"/>
      <w:u w:val="double"/>
    </w:rPr>
  </w:style>
  <w:style w:type="character" w:customStyle="1" w:styleId="Heading3Char">
    <w:name w:val="Heading 3 Char"/>
    <w:aliases w:val="Block Char"/>
    <w:basedOn w:val="DefaultParagraphFont"/>
    <w:link w:val="Heading3"/>
    <w:uiPriority w:val="9"/>
    <w:rsid w:val="003371F0"/>
    <w:rPr>
      <w:rFonts w:ascii="Calibri" w:eastAsiaTheme="majorEastAsia" w:hAnsi="Calibri" w:cstheme="majorBidi"/>
      <w:b/>
      <w:bCs/>
      <w:sz w:val="32"/>
      <w:szCs w:val="32"/>
      <w:u w:val="single"/>
    </w:rPr>
  </w:style>
  <w:style w:type="character" w:customStyle="1" w:styleId="Heading4Char">
    <w:name w:val="Heading 4 Char"/>
    <w:aliases w:val="Tag Char,Big card Char,body Char,small text Char,Normal Tag Char,heading 2 Char,Ch Char,CD - Cite Char,no read Char,No Spacing211 Char,No Spacing12 Char,No Spacing2111 Char,ta Char,small space Char,Heading 2 Char2 Char Char,TAG Char"/>
    <w:basedOn w:val="DefaultParagraphFont"/>
    <w:link w:val="Heading4"/>
    <w:uiPriority w:val="9"/>
    <w:rsid w:val="003371F0"/>
    <w:rPr>
      <w:rFonts w:ascii="Calibri" w:eastAsiaTheme="majorEastAsia" w:hAnsi="Calibri" w:cstheme="majorBidi"/>
      <w:b/>
      <w:bCs/>
      <w:sz w:val="26"/>
      <w:szCs w:val="26"/>
    </w:rPr>
  </w:style>
  <w:style w:type="character" w:styleId="Emphasis">
    <w:name w:val="Emphasis"/>
    <w:basedOn w:val="DefaultParagraphFont"/>
    <w:uiPriority w:val="20"/>
    <w:qFormat/>
    <w:rsid w:val="003371F0"/>
    <w:rPr>
      <w:rFonts w:ascii="Calibri" w:hAnsi="Calibri"/>
      <w:b/>
      <w:i w:val="0"/>
      <w:iCs/>
      <w:sz w:val="22"/>
      <w:u w:val="single"/>
      <w:bdr w:val="none" w:sz="0" w:space="0" w:color="auto"/>
    </w:rPr>
  </w:style>
  <w:style w:type="character" w:customStyle="1" w:styleId="Style13ptBold">
    <w:name w:val="Style 13 pt Bold"/>
    <w:aliases w:val="Cite,Style Style Bold + 12 pt,Style Style Bold + 12pt,Style Style Bold,Style Style + 12 pt,Style Style Bo... +,Old Cite,Style Style Bold + 10 pt,tagld + 12 pt,Style Style Bold + 13 pt,Style Style Bold + 11 pt,tag + 12 pt,Not...,Not.,Not"/>
    <w:basedOn w:val="DefaultParagraphFont"/>
    <w:uiPriority w:val="1"/>
    <w:qFormat/>
    <w:rsid w:val="003371F0"/>
    <w:rPr>
      <w:b/>
      <w:sz w:val="26"/>
      <w:u w:val="none"/>
    </w:rPr>
  </w:style>
  <w:style w:type="character" w:customStyle="1" w:styleId="StyleUnderline">
    <w:name w:val="Style Underline"/>
    <w:aliases w:val="Underline,Style Bold Underline,Intense Emphasis1,apple-style-span + 6 pt,Bold,Kern at 16 pt,Intense Emphasis11,Style,Intense Emphasis2,Intense Emphasis111,Intense Emphasis3,Intense Emphasis1111,Intense Emphasis4,HHeading 3 + 12 pt,ci,c"/>
    <w:basedOn w:val="DefaultParagraphFont"/>
    <w:uiPriority w:val="1"/>
    <w:qFormat/>
    <w:rsid w:val="003371F0"/>
    <w:rPr>
      <w:b w:val="0"/>
      <w:sz w:val="22"/>
      <w:u w:val="single"/>
    </w:rPr>
  </w:style>
  <w:style w:type="character" w:styleId="Hyperlink">
    <w:name w:val="Hyperlink"/>
    <w:basedOn w:val="DefaultParagraphFont"/>
    <w:uiPriority w:val="99"/>
    <w:semiHidden/>
    <w:unhideWhenUsed/>
    <w:rsid w:val="003371F0"/>
    <w:rPr>
      <w:color w:val="auto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3371F0"/>
    <w:rPr>
      <w:color w:val="auto"/>
      <w:u w:val="none"/>
    </w:rPr>
  </w:style>
  <w:style w:type="paragraph" w:styleId="ListParagraph">
    <w:name w:val="List Paragraph"/>
    <w:basedOn w:val="Normal"/>
    <w:uiPriority w:val="99"/>
    <w:unhideWhenUsed/>
    <w:qFormat/>
    <w:rsid w:val="00F65E6A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3371F0"/>
    <w:pPr>
      <w:spacing w:after="0" w:line="240" w:lineRule="auto"/>
    </w:pPr>
    <w:rPr>
      <w:rFonts w:ascii="Lucida Grande" w:hAnsi="Lucida Grande" w:cs="Lucida Grande"/>
      <w:sz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371F0"/>
    <w:rPr>
      <w:rFonts w:ascii="Lucida Grande" w:eastAsiaTheme="minorEastAsia" w:hAnsi="Lucida Grande" w:cs="Lucida Grande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lukasroybal/Library/Group%20Containers/UBF8T346G9.Office/User%20Content.localized/Templates.localized/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6872A3-E9B0-4F87-96D2-F61DC423E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Debate.dotm</Template>
  <TotalTime>1</TotalTime>
  <Pages>1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Pribe</dc:creator>
  <cp:keywords>5.1.1</cp:keywords>
  <dc:description/>
  <cp:lastModifiedBy>Lukas Roybal</cp:lastModifiedBy>
  <cp:revision>10</cp:revision>
  <dcterms:created xsi:type="dcterms:W3CDTF">2021-09-15T22:36:00Z</dcterms:created>
  <dcterms:modified xsi:type="dcterms:W3CDTF">2021-09-18T23:27:00Z</dcterms:modified>
</cp:coreProperties>
</file>