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04ADC" w14:textId="77777777" w:rsidR="00923D39" w:rsidRPr="00421998" w:rsidRDefault="00923D39" w:rsidP="00923D39">
      <w:pPr>
        <w:pStyle w:val="Heading1"/>
      </w:pPr>
      <w:r>
        <w:t>1AC</w:t>
      </w:r>
    </w:p>
    <w:p w14:paraId="77448321" w14:textId="77777777" w:rsidR="00923D39" w:rsidRPr="00925D23" w:rsidRDefault="00923D39" w:rsidP="00923D39">
      <w:pPr>
        <w:pStyle w:val="Heading4"/>
        <w:rPr>
          <w:rFonts w:cs="Calibri"/>
        </w:rPr>
      </w:pPr>
      <w:r w:rsidRPr="00925D23">
        <w:rPr>
          <w:rFonts w:cs="Calibri"/>
        </w:rPr>
        <w:t>Ethics must begin a priori</w:t>
      </w:r>
      <w:r>
        <w:rPr>
          <w:rFonts w:cs="Calibri"/>
        </w:rPr>
        <w:t>:</w:t>
      </w:r>
    </w:p>
    <w:p w14:paraId="1A678572" w14:textId="77777777" w:rsidR="00923D39" w:rsidRPr="00925D23" w:rsidRDefault="00923D39" w:rsidP="00923D39">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10773504" w14:textId="77777777" w:rsidR="00923D39" w:rsidRPr="00D836FE" w:rsidRDefault="00923D39" w:rsidP="00923D39">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4839A2AF" w14:textId="77777777" w:rsidR="00923D39" w:rsidRDefault="00923D39" w:rsidP="00923D39">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6622F14F" w14:textId="77777777" w:rsidR="00923D39" w:rsidRPr="006B03DB" w:rsidRDefault="00923D39" w:rsidP="00923D39">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65904674" w14:textId="77777777" w:rsidR="00923D39" w:rsidRPr="00925D23" w:rsidRDefault="00923D39" w:rsidP="00923D39">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6AEBB96A" w14:textId="77777777" w:rsidR="00923D39" w:rsidRDefault="00923D39" w:rsidP="00923D39">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7034F936" w14:textId="77777777" w:rsidR="00923D39" w:rsidRDefault="00923D39" w:rsidP="00923D39">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w:t>
      </w:r>
      <w:r>
        <w:rPr>
          <w:rFonts w:cs="Calibri"/>
        </w:rPr>
        <w:t>B</w:t>
      </w:r>
      <w:r w:rsidRPr="005B0098">
        <w:rPr>
          <w:rFonts w:cs="Calibri"/>
        </w:rPr>
        <w:t>]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r>
        <w:rPr>
          <w:rFonts w:cs="Calibri"/>
        </w:rPr>
        <w:t xml:space="preserve"> </w:t>
      </w:r>
    </w:p>
    <w:p w14:paraId="3B49876D" w14:textId="77777777" w:rsidR="00923D39" w:rsidRPr="00CE11B7" w:rsidRDefault="00923D39" w:rsidP="00923D39">
      <w:pPr>
        <w:pStyle w:val="Heading4"/>
      </w:pPr>
      <w:r>
        <w:t xml:space="preserve">[3] </w:t>
      </w:r>
      <w:r w:rsidRPr="00CE11B7">
        <w:t>Only universalizable reason can effectively explain the perspectives of agents – that’s the best method for combatting oppression</w:t>
      </w:r>
      <w:r>
        <w:t>.</w:t>
      </w:r>
    </w:p>
    <w:p w14:paraId="0EDD2F5A" w14:textId="77777777" w:rsidR="00923D39" w:rsidRPr="00426666" w:rsidRDefault="00923D39" w:rsidP="00923D39">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566E3F80" w14:textId="77777777" w:rsidR="00923D39" w:rsidRDefault="00923D39" w:rsidP="00923D39">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5E86E6FE" w14:textId="77777777" w:rsidR="00923D39" w:rsidRDefault="00923D39" w:rsidP="00923D39">
      <w:pPr>
        <w:pStyle w:val="Heading3"/>
      </w:pPr>
      <w:r>
        <w:t>Advocacy</w:t>
      </w:r>
    </w:p>
    <w:p w14:paraId="785881C6" w14:textId="77777777" w:rsidR="00923D39" w:rsidRDefault="00923D39" w:rsidP="00923D39">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Pr>
          <w:rFonts w:cs="Calibri"/>
        </w:rPr>
        <w:t>.</w:t>
      </w:r>
    </w:p>
    <w:p w14:paraId="76779185" w14:textId="77777777" w:rsidR="00923D39" w:rsidRDefault="00923D39" w:rsidP="00923D39">
      <w:pPr>
        <w:pStyle w:val="Heading4"/>
      </w:pPr>
      <w:r>
        <w:t xml:space="preserve">Enforcement is to eliminate all IPR for medicines </w:t>
      </w:r>
    </w:p>
    <w:p w14:paraId="6416A09D" w14:textId="77777777" w:rsidR="00923D39" w:rsidRPr="00E60F04" w:rsidRDefault="00923D39" w:rsidP="00923D39">
      <w:bookmarkStart w:id="0" w:name="_Hlk80472007"/>
      <w:r w:rsidRPr="00E60F04">
        <w:rPr>
          <w:rStyle w:val="Style13ptBold"/>
        </w:rPr>
        <w:t>Baker 16</w:t>
      </w:r>
      <w:r>
        <w:t xml:space="preserve"> Brook Baker (</w:t>
      </w:r>
      <w:r w:rsidRPr="009061BD">
        <w:rPr>
          <w:sz w:val="16"/>
          <w:szCs w:val="16"/>
        </w:rPr>
        <w:t xml:space="preserve">Professor of Law, Northeastern University. He is a senior policy analyst for Health GAP (Global Access Project) and is actively engaged in campaigns for universal access to treatment, prevention, and care for people living with HIV/AIDS, especially </w:t>
      </w:r>
      <w:proofErr w:type="gramStart"/>
      <w:r w:rsidRPr="009061BD">
        <w:rPr>
          <w:sz w:val="16"/>
          <w:szCs w:val="16"/>
        </w:rPr>
        <w:t>expanded</w:t>
      </w:r>
      <w:proofErr w:type="gramEnd"/>
      <w:r w:rsidRPr="009061BD">
        <w:rPr>
          <w:sz w:val="16"/>
          <w:szCs w:val="16"/>
        </w:rPr>
        <w:t xml:space="preserve"> and improved medical treatment. He has written and consulted extensively on intellectual property rights, trade, access to medicines and medicines regulatory policy, including with the African Union, NEPAD, Uganda, ASEAN, Thailand, Indonesia, Venezuela, CARICOM, UK </w:t>
      </w:r>
      <w:proofErr w:type="spellStart"/>
      <w:r w:rsidRPr="009061BD">
        <w:rPr>
          <w:sz w:val="16"/>
          <w:szCs w:val="16"/>
        </w:rPr>
        <w:t>DfID</w:t>
      </w:r>
      <w:proofErr w:type="spellEnd"/>
      <w:r w:rsidRPr="009061BD">
        <w:rPr>
          <w:sz w:val="16"/>
          <w:szCs w:val="16"/>
        </w:rPr>
        <w:t>, the World Health Organization, the Millennium Development Goals Project, the Global Fund to Fight AIDS, Tuberculosis and Malaria, Open Society Institute, UNDP, UNITAID, the Medicines Patent Pool, the Global Commission on HIV and the Law, and others</w:t>
      </w:r>
      <w:r>
        <w:rPr>
          <w:sz w:val="16"/>
          <w:szCs w:val="16"/>
        </w:rPr>
        <w:t>)</w:t>
      </w:r>
      <w:r w:rsidRPr="009061BD">
        <w:rPr>
          <w:sz w:val="16"/>
          <w:szCs w:val="16"/>
        </w:rPr>
        <w:t>.</w:t>
      </w:r>
      <w:r w:rsidRPr="009061BD">
        <w:t> </w:t>
      </w:r>
      <w:r>
        <w:t xml:space="preserve">  and Health GAP, Contribution to the United Nations Secretary-General's High-Level Panel on Access to Medicines, February 26, 2016, http://www.unsgaccessmeds.org/inbox/2016/2/26/z73kpodxk4jw96mhqe2tivq0sdl g3v/</w:t>
      </w:r>
      <w:bookmarkEnd w:id="0"/>
    </w:p>
    <w:p w14:paraId="531C8645" w14:textId="77777777" w:rsidR="00923D39" w:rsidRPr="00F52E80" w:rsidRDefault="00923D39" w:rsidP="00923D39">
      <w:pPr>
        <w:rPr>
          <w:sz w:val="16"/>
        </w:rPr>
      </w:pPr>
      <w:r w:rsidRPr="00F52E80">
        <w:rPr>
          <w:sz w:val="1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E60F04">
        <w:rPr>
          <w:u w:val="single"/>
        </w:rPr>
        <w:t xml:space="preserve">this contribution focuses primarily on access and </w:t>
      </w:r>
      <w:r w:rsidRPr="00F52E80">
        <w:rPr>
          <w:highlight w:val="green"/>
          <w:u w:val="single"/>
        </w:rPr>
        <w:t>calls for</w:t>
      </w:r>
      <w:r w:rsidRPr="00E60F04">
        <w:rPr>
          <w:u w:val="single"/>
        </w:rPr>
        <w:t xml:space="preserve"> the </w:t>
      </w:r>
      <w:r w:rsidRPr="00F52E80">
        <w:rPr>
          <w:highlight w:val="green"/>
          <w:u w:val="single"/>
        </w:rPr>
        <w:t>dismantling</w:t>
      </w:r>
      <w:r w:rsidRPr="00E60F04">
        <w:rPr>
          <w:u w:val="single"/>
        </w:rPr>
        <w:t xml:space="preserve"> of global, regional, bilateral, and national </w:t>
      </w:r>
      <w:r w:rsidRPr="00F52E80">
        <w:rPr>
          <w:highlight w:val="green"/>
          <w:u w:val="single"/>
        </w:rPr>
        <w:t>IP regimes</w:t>
      </w:r>
      <w:r w:rsidRPr="00E60F04">
        <w:rPr>
          <w:u w:val="single"/>
        </w:rPr>
        <w:t xml:space="preserve"> that negatively impact the global community’s access needs</w:t>
      </w:r>
      <w:r w:rsidRPr="00F52E80">
        <w:rPr>
          <w:sz w:val="16"/>
        </w:rPr>
        <w:t xml:space="preserve">. It </w:t>
      </w:r>
      <w:r w:rsidRPr="00F52E80">
        <w:rPr>
          <w:highlight w:val="green"/>
          <w:u w:val="single"/>
        </w:rPr>
        <w:t>focuses on patents</w:t>
      </w:r>
      <w:r w:rsidRPr="00F52E80">
        <w:rPr>
          <w:sz w:val="16"/>
        </w:rPr>
        <w:t xml:space="preserve">, the most obvious and important source of exclusivity for right holders, but </w:t>
      </w:r>
      <w:r w:rsidRPr="00E60F04">
        <w:rPr>
          <w:u w:val="single"/>
        </w:rPr>
        <w:t xml:space="preserve">also on data and regulatory </w:t>
      </w:r>
      <w:r w:rsidRPr="00F52E80">
        <w:rPr>
          <w:highlight w:val="green"/>
          <w:u w:val="single"/>
        </w:rPr>
        <w:t>market exclusivities and linkages, trade secret law, and trademark</w:t>
      </w:r>
      <w:r w:rsidRPr="00F52E80">
        <w:rPr>
          <w:sz w:val="16"/>
        </w:rPr>
        <w:t xml:space="preserve"> and copyright protections, which are increasingly embedded in operating systems of diagnostics and other health technologies. At present, </w:t>
      </w:r>
      <w:proofErr w:type="gramStart"/>
      <w:r w:rsidRPr="00F52E80">
        <w:rPr>
          <w:sz w:val="16"/>
        </w:rPr>
        <w:t>the vast majority of</w:t>
      </w:r>
      <w:proofErr w:type="gramEnd"/>
      <w:r w:rsidRPr="00F52E80">
        <w:rPr>
          <w:sz w:val="16"/>
        </w:rPr>
        <w:t xml:space="preserve"> countries are members of the World Trade Organization. As members, </w:t>
      </w:r>
      <w:r w:rsidRPr="00F52E80">
        <w:rPr>
          <w:highlight w:val="green"/>
          <w:u w:val="single"/>
        </w:rPr>
        <w:t>they are subject to</w:t>
      </w:r>
      <w:r w:rsidRPr="00E60F04">
        <w:rPr>
          <w:u w:val="single"/>
        </w:rPr>
        <w:t xml:space="preserve"> the minimum standards of IP protections set forth in the Agreement on Trade Related Aspects of Intellectual Property Rights (</w:t>
      </w:r>
      <w:r w:rsidRPr="00F52E80">
        <w:rPr>
          <w:highlight w:val="green"/>
          <w:u w:val="single"/>
        </w:rPr>
        <w:t>TRIPS</w:t>
      </w:r>
      <w:r w:rsidRPr="00E60F04">
        <w:rPr>
          <w:u w:val="single"/>
        </w:rPr>
        <w:t>). A</w:t>
      </w:r>
      <w:r w:rsidRPr="00F52E80">
        <w:rPr>
          <w:sz w:val="16"/>
        </w:rPr>
        <w:t xml:space="preserve">lthough there are transition periods that still apply to least developed country members, most WTO members are now subject to the whole panoply of </w:t>
      </w:r>
      <w:proofErr w:type="gramStart"/>
      <w:r w:rsidRPr="00F52E80">
        <w:rPr>
          <w:sz w:val="16"/>
        </w:rPr>
        <w:t>IPRs</w:t>
      </w:r>
      <w:proofErr w:type="gramEnd"/>
      <w:r w:rsidRPr="00F52E80">
        <w:rPr>
          <w:sz w:val="16"/>
        </w:rPr>
        <w:t xml:space="preserve"> and IP enforcement mechanisms set forth in TRIPS. As such, </w:t>
      </w:r>
      <w:r w:rsidRPr="00F52E80">
        <w:rPr>
          <w:highlight w:val="green"/>
          <w:u w:val="single"/>
        </w:rPr>
        <w:t>for IP barriers to be dismantled on health technologies,</w:t>
      </w:r>
      <w:r w:rsidRPr="00E60F04">
        <w:rPr>
          <w:u w:val="single"/>
        </w:rPr>
        <w:t xml:space="preserve"> it will be </w:t>
      </w:r>
      <w:r w:rsidRPr="00F52E80">
        <w:rPr>
          <w:highlight w:val="green"/>
          <w:u w:val="single"/>
        </w:rPr>
        <w:t>necessary to</w:t>
      </w:r>
      <w:r w:rsidRPr="00E60F04">
        <w:rPr>
          <w:u w:val="single"/>
        </w:rPr>
        <w:t xml:space="preserve"> amend or otherwise </w:t>
      </w:r>
      <w:r w:rsidRPr="00F52E80">
        <w:rPr>
          <w:highlight w:val="green"/>
          <w:u w:val="single"/>
        </w:rPr>
        <w:t>supersede TRIPS’s application</w:t>
      </w:r>
      <w:r w:rsidRPr="00F52E80">
        <w:rPr>
          <w:sz w:val="16"/>
        </w:rPr>
        <w:t xml:space="preserve"> to those technologies. The </w:t>
      </w:r>
      <w:r w:rsidRPr="00F52E80">
        <w:rPr>
          <w:u w:val="single"/>
        </w:rPr>
        <w:t xml:space="preserve">proposed </w:t>
      </w:r>
      <w:r w:rsidRPr="00F52E80">
        <w:rPr>
          <w:highlight w:val="green"/>
          <w:u w:val="single"/>
        </w:rPr>
        <w:t>non-application of TRIPS to medical technologies</w:t>
      </w:r>
      <w:r w:rsidRPr="00E60F04">
        <w:rPr>
          <w:u w:val="single"/>
        </w:rPr>
        <w:t xml:space="preserve"> could be accomplished as follows: Article 6bis: Exhaustion and Non-Application to Medical Technologies 1. For the purposes of dispute settlement under this Agreement, subject to the provisions in Articles 3 and 4 nothing in this Agreement shall be </w:t>
      </w:r>
      <w:r w:rsidRPr="00F52E80">
        <w:rPr>
          <w:highlight w:val="green"/>
          <w:u w:val="single"/>
        </w:rPr>
        <w:t>used to address</w:t>
      </w:r>
      <w:r w:rsidRPr="00E60F04">
        <w:rPr>
          <w:u w:val="single"/>
        </w:rPr>
        <w:t xml:space="preserve"> the issue of exhaustion of </w:t>
      </w:r>
      <w:r w:rsidRPr="00F52E80">
        <w:rPr>
          <w:highlight w:val="green"/>
          <w:u w:val="single"/>
        </w:rPr>
        <w:t>intellectual property rights</w:t>
      </w:r>
      <w:r w:rsidRPr="00E60F04">
        <w:rPr>
          <w:u w:val="single"/>
        </w:rPr>
        <w:t xml:space="preserve">. 2. Nothing in this Agreement shall apply to medical technologies as defined. Definition of medical technologies: pharmaceutical and biologic products, vaccines, diagnostics, and related health technologies. </w:t>
      </w:r>
      <w:r w:rsidRPr="00F52E80">
        <w:rPr>
          <w:sz w:val="16"/>
        </w:rPr>
        <w:t xml:space="preserve">Article 7bis Right to health and other objectives </w:t>
      </w:r>
      <w:proofErr w:type="gramStart"/>
      <w:r w:rsidRPr="00F52E80">
        <w:rPr>
          <w:sz w:val="16"/>
        </w:rPr>
        <w:t>The</w:t>
      </w:r>
      <w:proofErr w:type="gramEnd"/>
      <w:r w:rsidRPr="00F52E80">
        <w:rPr>
          <w:sz w:val="16"/>
        </w:rPr>
        <w:t xml:space="preserv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w:t>
      </w:r>
      <w:proofErr w:type="gramStart"/>
      <w:r w:rsidRPr="00F52E80">
        <w:rPr>
          <w:sz w:val="16"/>
        </w:rPr>
        <w:t>provided that</w:t>
      </w:r>
      <w:proofErr w:type="gramEnd"/>
      <w:r w:rsidRPr="00F52E80">
        <w:rPr>
          <w:sz w:val="16"/>
        </w:rPr>
        <w:t xml:space="preserve">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data are protected from unfair commercial use. In addition to amending the TRIPS Agreement, it will be necessary to formally amend multiple regional and bilateral trade and economic partnership agreements and investment treaties/provisions. Many regional and bilateral trade agreements contain IPR provisions </w:t>
      </w:r>
      <w:proofErr w:type="gramStart"/>
      <w:r w:rsidRPr="00F52E80">
        <w:rPr>
          <w:sz w:val="16"/>
        </w:rPr>
        <w:t>similar to</w:t>
      </w:r>
      <w:proofErr w:type="gramEnd"/>
      <w:r w:rsidRPr="00F52E80">
        <w:rPr>
          <w:sz w:val="16"/>
        </w:rPr>
        <w:t xml:space="preserve">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0857D9BD" w14:textId="77777777" w:rsidR="00923D39" w:rsidRPr="00E60F04" w:rsidRDefault="00923D39" w:rsidP="00923D39"/>
    <w:p w14:paraId="2D48E4E1" w14:textId="77777777" w:rsidR="00923D39" w:rsidRDefault="00923D39" w:rsidP="00923D39">
      <w:pPr>
        <w:pStyle w:val="Heading3"/>
      </w:pPr>
      <w:r>
        <w:t>Offense</w:t>
      </w:r>
    </w:p>
    <w:p w14:paraId="60814E93" w14:textId="77777777" w:rsidR="00923D39" w:rsidRPr="00305C79" w:rsidRDefault="00923D39" w:rsidP="00923D39">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5BB03824" w14:textId="77777777" w:rsidR="00923D39" w:rsidRPr="00305C79" w:rsidRDefault="00923D39" w:rsidP="00923D39">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126695A5" w14:textId="77777777" w:rsidR="00923D39" w:rsidRPr="00305C79" w:rsidRDefault="00923D39" w:rsidP="00923D39">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7"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0487A93F" w14:textId="77777777" w:rsidR="00923D39" w:rsidRPr="00065E12" w:rsidRDefault="00923D39" w:rsidP="00923D39"/>
    <w:p w14:paraId="6374823E" w14:textId="77777777" w:rsidR="00923D39" w:rsidRPr="00305C79" w:rsidRDefault="00923D39" w:rsidP="00923D39">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07B572BF" w14:textId="77777777" w:rsidR="00923D39" w:rsidRPr="00305C79" w:rsidRDefault="00923D39" w:rsidP="00923D39">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56FFC447" w14:textId="77777777" w:rsidR="00923D39" w:rsidRPr="00305C79" w:rsidRDefault="00923D39" w:rsidP="00923D39">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w:t>
      </w:r>
      <w:proofErr w:type="gramStart"/>
      <w:r w:rsidRPr="00305C79">
        <w:rPr>
          <w:rFonts w:ascii="Calibri" w:hAnsi="Calibri" w:cs="Calibri"/>
          <w:sz w:val="20"/>
          <w:szCs w:val="20"/>
        </w:rPr>
        <w:t>right, and</w:t>
      </w:r>
      <w:proofErr w:type="gramEnd"/>
      <w:r w:rsidRPr="00305C79">
        <w:rPr>
          <w:rFonts w:ascii="Calibri" w:hAnsi="Calibri" w:cs="Calibri"/>
          <w:sz w:val="20"/>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t>
      </w:r>
      <w:proofErr w:type="gramStart"/>
      <w:r w:rsidRPr="00305C79">
        <w:rPr>
          <w:rStyle w:val="Emphasis"/>
        </w:rPr>
        <w:t>with regard to</w:t>
      </w:r>
      <w:proofErr w:type="gramEnd"/>
      <w:r w:rsidRPr="00305C79">
        <w:rPr>
          <w:rStyle w:val="Emphasis"/>
        </w:rPr>
        <w:t xml:space="preserve">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2D19CF28" w14:textId="77777777" w:rsidR="00923D39" w:rsidRDefault="00923D39" w:rsidP="00923D39">
      <w:pPr>
        <w:pStyle w:val="Heading3"/>
      </w:pPr>
      <w:r>
        <w:t>UV</w:t>
      </w:r>
      <w:r w:rsidRPr="00E600C8">
        <w:t xml:space="preserve"> </w:t>
      </w:r>
    </w:p>
    <w:p w14:paraId="522CF291" w14:textId="77777777" w:rsidR="00923D39" w:rsidRDefault="00923D39" w:rsidP="00923D39">
      <w:pPr>
        <w:pStyle w:val="Heading4"/>
        <w:rPr>
          <w:rFonts w:cs="Calibri"/>
          <w:color w:val="000000" w:themeColor="text1"/>
        </w:rPr>
      </w:pPr>
      <w:r>
        <w:rPr>
          <w:rFonts w:cs="Calibri"/>
          <w:color w:val="000000" w:themeColor="text1"/>
        </w:rPr>
        <w:t>1</w:t>
      </w:r>
      <w:r w:rsidRPr="007B328F">
        <w:rPr>
          <w:rFonts w:cs="Calibri"/>
          <w:color w:val="000000" w:themeColor="text1"/>
        </w:rPr>
        <w:t xml:space="preserve">] 1AR theory is legit otherwise the neg can be infinitely abusive and there would be no way to check back against that.  </w:t>
      </w:r>
    </w:p>
    <w:p w14:paraId="216297FE" w14:textId="77777777" w:rsidR="00923D39" w:rsidRDefault="00923D39" w:rsidP="00923D39">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5E6DB3A7" w14:textId="77777777" w:rsidR="00923D39" w:rsidRDefault="00923D39" w:rsidP="00923D39">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3191F957" w14:textId="77777777" w:rsidR="00923D39" w:rsidRDefault="00923D39" w:rsidP="00923D39">
      <w:pPr>
        <w:pStyle w:val="Heading4"/>
        <w:rPr>
          <w:rFonts w:cs="Calibri"/>
          <w:color w:val="000000" w:themeColor="text1"/>
        </w:rPr>
      </w:pPr>
      <w:r w:rsidRPr="007B328F">
        <w:rPr>
          <w:rFonts w:cs="Calibri"/>
          <w:color w:val="000000" w:themeColor="text1"/>
        </w:rPr>
        <w:t xml:space="preserve">No RVI on 1AR theory-It would be impossible to check back against neg abuse because the 2NR could just spend 6 minutes railing on the theory debate and the </w:t>
      </w:r>
      <w:proofErr w:type="spellStart"/>
      <w:r w:rsidRPr="007B328F">
        <w:rPr>
          <w:rFonts w:cs="Calibri"/>
          <w:color w:val="000000" w:themeColor="text1"/>
        </w:rPr>
        <w:t>aff</w:t>
      </w:r>
      <w:proofErr w:type="spellEnd"/>
      <w:r w:rsidRPr="007B328F">
        <w:rPr>
          <w:rFonts w:cs="Calibri"/>
          <w:color w:val="000000" w:themeColor="text1"/>
        </w:rPr>
        <w:t xml:space="preserve"> couldn’t win</w:t>
      </w:r>
    </w:p>
    <w:p w14:paraId="4817591E" w14:textId="77777777" w:rsidR="00923D39" w:rsidRPr="00A20754" w:rsidRDefault="00923D39" w:rsidP="00923D39">
      <w:pPr>
        <w:pStyle w:val="Heading3"/>
      </w:pPr>
      <w:r>
        <w:t>Adv- Covid</w:t>
      </w:r>
    </w:p>
    <w:p w14:paraId="42C2BDEC" w14:textId="77777777" w:rsidR="00923D39" w:rsidRPr="00976E44" w:rsidRDefault="00923D39" w:rsidP="00923D39">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43FCE166" w14:textId="77777777" w:rsidR="00923D39" w:rsidRPr="00976E44" w:rsidRDefault="00923D39" w:rsidP="00923D39">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8" w:history="1">
        <w:r w:rsidRPr="00976E44">
          <w:rPr>
            <w:rStyle w:val="Hyperlink"/>
          </w:rPr>
          <w:t>https://idsa.in/issuebrief/wto-trips-waiver-covid-vaccine-rkumar-120721</w:t>
        </w:r>
      </w:hyperlink>
      <w:r w:rsidRPr="00976E44">
        <w:t>] Justin</w:t>
      </w:r>
    </w:p>
    <w:p w14:paraId="575FD7A7" w14:textId="77777777" w:rsidR="00923D39" w:rsidRPr="00976E44" w:rsidRDefault="00923D39" w:rsidP="00923D39">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2E0F418" w14:textId="77777777" w:rsidR="00923D39" w:rsidRPr="00976E44" w:rsidRDefault="00923D39" w:rsidP="00923D39">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5B00E8B3" w14:textId="77777777" w:rsidR="00923D39" w:rsidRPr="00976E44" w:rsidRDefault="00923D39" w:rsidP="00923D39">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CEC0CC5" w14:textId="77777777" w:rsidR="00923D39" w:rsidRPr="00976E44" w:rsidRDefault="00923D39" w:rsidP="00923D3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16B2B111" w14:textId="77777777" w:rsidR="00923D39" w:rsidRPr="00976E44" w:rsidRDefault="00923D39" w:rsidP="00923D39">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603FA84C" w14:textId="77777777" w:rsidR="00923D39" w:rsidRPr="00976E44" w:rsidRDefault="00923D39" w:rsidP="00923D39">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528649F" w14:textId="77777777" w:rsidR="00923D39" w:rsidRPr="00976E44" w:rsidRDefault="00923D39" w:rsidP="00923D39">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9A8E8A5" w14:textId="77777777" w:rsidR="00923D39" w:rsidRPr="00976E44" w:rsidRDefault="00923D39" w:rsidP="00923D39">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FF20DAE" w14:textId="77777777" w:rsidR="00923D39" w:rsidRPr="00976E44" w:rsidRDefault="00923D39" w:rsidP="00923D39">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403C345" w14:textId="77777777" w:rsidR="00923D39" w:rsidRPr="00976E44" w:rsidRDefault="00923D39" w:rsidP="00923D39">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F671FF4" w14:textId="77777777" w:rsidR="00923D39" w:rsidRPr="00976E44" w:rsidRDefault="00923D39" w:rsidP="00923D39">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3241D771" w14:textId="77777777" w:rsidR="00923D39" w:rsidRPr="00976E44" w:rsidRDefault="00923D39" w:rsidP="00923D39">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22F2D103" w14:textId="77777777" w:rsidR="00923D39" w:rsidRPr="00976E44" w:rsidRDefault="00923D39" w:rsidP="00923D39">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58491417" w14:textId="77777777" w:rsidR="00923D39" w:rsidRPr="00976E44" w:rsidRDefault="00923D39" w:rsidP="00923D39">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06949272" w14:textId="77777777" w:rsidR="00923D39" w:rsidRPr="00976E44" w:rsidRDefault="00923D39" w:rsidP="00923D39">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CC2DBF6" w14:textId="77777777" w:rsidR="00923D39" w:rsidRPr="00976E44" w:rsidRDefault="00923D39" w:rsidP="00923D3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2A7D16DA" w14:textId="77777777" w:rsidR="00923D39" w:rsidRPr="00976E44" w:rsidRDefault="00923D39" w:rsidP="00923D39">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9" w:history="1">
        <w:r w:rsidRPr="00976E44">
          <w:rPr>
            <w:rStyle w:val="Hyperlink"/>
          </w:rPr>
          <w:t>https://www.statnews.com/2021/05/19/beyond-a-symbolic-gesture-whats-needed-to-turn-the-ip-waiver-into-covid-19-vaccines/</w:t>
        </w:r>
      </w:hyperlink>
      <w:r w:rsidRPr="00976E44">
        <w:t>] Justin</w:t>
      </w:r>
    </w:p>
    <w:p w14:paraId="1BE282AA" w14:textId="77777777" w:rsidR="00923D39" w:rsidRPr="00976E44" w:rsidRDefault="00923D39" w:rsidP="00923D39">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BBB6296" w14:textId="77777777" w:rsidR="00923D39" w:rsidRPr="00976E44" w:rsidRDefault="00923D39" w:rsidP="00923D39">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3EC2027D" w14:textId="77777777" w:rsidR="00923D39" w:rsidRPr="00976E44" w:rsidRDefault="00923D39" w:rsidP="00923D39">
      <w:pPr>
        <w:rPr>
          <w:rStyle w:val="Emphasis"/>
        </w:rPr>
      </w:pPr>
      <w:r w:rsidRPr="00976E44">
        <w:rPr>
          <w:u w:val="single"/>
        </w:rPr>
        <w:t xml:space="preserve">Both truths suggest that we </w:t>
      </w:r>
      <w:r w:rsidRPr="00976E44">
        <w:rPr>
          <w:rStyle w:val="Emphasis"/>
        </w:rPr>
        <w:t>pass the blueprint and build the kitchen.</w:t>
      </w:r>
    </w:p>
    <w:p w14:paraId="33E641C3" w14:textId="77777777" w:rsidR="00923D39" w:rsidRPr="00976E44" w:rsidRDefault="00923D39" w:rsidP="00923D3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2375B334" w14:textId="77777777" w:rsidR="00923D39" w:rsidRPr="004D5A6D" w:rsidRDefault="00923D39" w:rsidP="00923D39">
      <w:pPr>
        <w:pStyle w:val="Heading4"/>
        <w:rPr>
          <w:rFonts w:asciiTheme="minorHAnsi" w:hAnsiTheme="minorHAnsi" w:cstheme="minorHAnsi"/>
        </w:rPr>
      </w:pPr>
      <w:r w:rsidRPr="004D5A6D">
        <w:rPr>
          <w:rFonts w:asciiTheme="minorHAnsi" w:hAnsiTheme="minorHAnsi" w:cstheme="minorHAnsi"/>
        </w:rPr>
        <w:t>Causes global terror networks including resurgent Boko Haram</w:t>
      </w:r>
    </w:p>
    <w:p w14:paraId="756891CD" w14:textId="77777777" w:rsidR="00923D39" w:rsidRPr="004D5A6D" w:rsidRDefault="00923D39" w:rsidP="00923D39">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w:t>
      </w:r>
      <w:proofErr w:type="gramStart"/>
      <w:r w:rsidRPr="004D5A6D">
        <w:rPr>
          <w:rFonts w:asciiTheme="minorHAnsi" w:hAnsiTheme="minorHAnsi" w:cstheme="minorHAnsi"/>
        </w:rPr>
        <w:t>“ Lack</w:t>
      </w:r>
      <w:proofErr w:type="gramEnd"/>
      <w:r w:rsidRPr="004D5A6D">
        <w:rPr>
          <w:rFonts w:asciiTheme="minorHAnsi" w:hAnsiTheme="minorHAnsi" w:cstheme="minorHAnsi"/>
        </w:rPr>
        <w:t xml:space="preserve"> of Vaccines Fuels Terrorism in Africa,” Foreign Policy, https://foreignpolicy.com/2021/06/10/vaccines-africa-terrorism-covid-19//lhs-ap]</w:t>
      </w:r>
    </w:p>
    <w:p w14:paraId="47AE635A" w14:textId="77777777" w:rsidR="00923D39" w:rsidRPr="004D5A6D" w:rsidRDefault="00923D39" w:rsidP="00923D39">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08265388" w14:textId="77777777" w:rsidR="00923D39" w:rsidRPr="004D5A6D" w:rsidRDefault="00923D39" w:rsidP="00923D39">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415F4818" w14:textId="77777777" w:rsidR="00923D39" w:rsidRPr="004D5A6D" w:rsidRDefault="00923D39" w:rsidP="00923D39">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xml:space="preserve">. Costs for many extractives could </w:t>
      </w:r>
      <w:proofErr w:type="gramStart"/>
      <w:r w:rsidRPr="004D5A6D">
        <w:rPr>
          <w:rStyle w:val="StyleUnderline"/>
          <w:rFonts w:asciiTheme="minorHAnsi" w:hAnsiTheme="minorHAnsi" w:cstheme="minorHAnsi"/>
        </w:rPr>
        <w:t>rise, and</w:t>
      </w:r>
      <w:proofErr w:type="gramEnd"/>
      <w:r w:rsidRPr="004D5A6D">
        <w:rPr>
          <w:rStyle w:val="StyleUnderline"/>
          <w:rFonts w:asciiTheme="minorHAnsi" w:hAnsiTheme="minorHAnsi" w:cstheme="minorHAnsi"/>
        </w:rPr>
        <w:t xml:space="preserve"> given high tech’s reliance on minerals under the continent,</w:t>
      </w:r>
      <w:r w:rsidRPr="004D5A6D">
        <w:rPr>
          <w:rFonts w:asciiTheme="minorHAnsi" w:hAnsiTheme="minorHAnsi" w:cstheme="minorHAnsi"/>
          <w:sz w:val="16"/>
        </w:rPr>
        <w:t xml:space="preserve"> this is worrying.</w:t>
      </w:r>
    </w:p>
    <w:p w14:paraId="7F5DA9B1" w14:textId="77777777" w:rsidR="00923D39" w:rsidRPr="004D5A6D" w:rsidRDefault="00923D39" w:rsidP="00923D39">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4743D77F" w14:textId="77777777" w:rsidR="00923D39" w:rsidRPr="004D5A6D" w:rsidRDefault="00923D39" w:rsidP="00923D39">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10AF0811" w14:textId="77777777" w:rsidR="00923D39" w:rsidRPr="00976E44" w:rsidRDefault="00923D39" w:rsidP="00923D39">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5D5415B" w14:textId="77777777" w:rsidR="00923D39" w:rsidRPr="00976E44" w:rsidRDefault="00923D39" w:rsidP="00923D39">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0" w:history="1">
        <w:r w:rsidRPr="00976E44">
          <w:rPr>
            <w:rStyle w:val="Hyperlink"/>
          </w:rPr>
          <w:t>https://www.tandfonline.com/doi/full/10.1080/25751654.2021.1890867</w:t>
        </w:r>
      </w:hyperlink>
      <w:r w:rsidRPr="00976E44">
        <w:t>] Justin</w:t>
      </w:r>
    </w:p>
    <w:p w14:paraId="0138F6FC" w14:textId="77777777" w:rsidR="00923D39" w:rsidRPr="00976E44" w:rsidRDefault="00923D39" w:rsidP="00923D39">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0167DA7F" w14:textId="77777777" w:rsidR="00923D39" w:rsidRPr="00976E44" w:rsidRDefault="00923D39" w:rsidP="00923D39">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835EF6A" w14:textId="77777777" w:rsidR="00923D39" w:rsidRPr="00976E44" w:rsidRDefault="00923D39" w:rsidP="00923D39">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182E7A1B" w14:textId="77777777" w:rsidR="00923D39" w:rsidRPr="00976E44" w:rsidRDefault="00923D39" w:rsidP="00923D39">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4A0F18AD" w14:textId="77777777" w:rsidR="00923D39" w:rsidRPr="00976E44" w:rsidRDefault="00923D39" w:rsidP="00923D39">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0326E6D" w14:textId="77777777" w:rsidR="00923D39" w:rsidRPr="00976E44" w:rsidRDefault="00923D39" w:rsidP="00923D39">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69C333AC" w14:textId="77777777" w:rsidR="00923D39" w:rsidRPr="00976E44" w:rsidRDefault="00923D39" w:rsidP="00923D39">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00A232CB" w14:textId="77777777" w:rsidR="00923D39" w:rsidRPr="00976E44" w:rsidRDefault="00923D39" w:rsidP="00923D39">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69833909" w14:textId="77777777" w:rsidR="00923D39" w:rsidRPr="00976E44" w:rsidRDefault="00923D39" w:rsidP="00923D39">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6A2FFD50" w14:textId="77777777" w:rsidR="00923D39" w:rsidRDefault="00923D39" w:rsidP="00923D39">
      <w:pPr>
        <w:pStyle w:val="Heading3"/>
      </w:pPr>
      <w:r>
        <w:t>Adv- Vaccine Diplomacy</w:t>
      </w:r>
    </w:p>
    <w:p w14:paraId="4E15D2B5" w14:textId="77777777" w:rsidR="00923D39" w:rsidRPr="00976E44" w:rsidRDefault="00923D39" w:rsidP="00923D39">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36415221" w14:textId="77777777" w:rsidR="00923D39" w:rsidRPr="00976E44" w:rsidRDefault="00923D39" w:rsidP="00923D39">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1" w:history="1">
        <w:r w:rsidRPr="00976E44">
          <w:rPr>
            <w:rStyle w:val="Hyperlink"/>
          </w:rPr>
          <w:t>https://theglobalamericans.org/2021/06/a-u-s-vaccine-diplomacy-strategy-for-latin-america-and-the-caribbean/</w:t>
        </w:r>
      </w:hyperlink>
      <w:r w:rsidRPr="00976E44">
        <w:t xml:space="preserve">] Justin </w:t>
      </w:r>
    </w:p>
    <w:p w14:paraId="02F896CE" w14:textId="77777777" w:rsidR="00923D39" w:rsidRPr="00976E44" w:rsidRDefault="00923D39" w:rsidP="00923D39">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15BE1602" w14:textId="77777777" w:rsidR="00923D39" w:rsidRPr="00976E44" w:rsidRDefault="00923D39" w:rsidP="00923D39">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385F14E9" w14:textId="77777777" w:rsidR="00923D39" w:rsidRPr="00976E44" w:rsidRDefault="00923D39" w:rsidP="00923D39">
      <w:pPr>
        <w:rPr>
          <w:sz w:val="16"/>
        </w:rPr>
      </w:pPr>
      <w:r w:rsidRPr="00976E44">
        <w:rPr>
          <w:sz w:val="16"/>
        </w:rPr>
        <w:t>History repeats itself</w:t>
      </w:r>
    </w:p>
    <w:p w14:paraId="32B1F261" w14:textId="77777777" w:rsidR="00923D39" w:rsidRPr="00976E44" w:rsidRDefault="00923D39" w:rsidP="00923D39">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6FAC54DE" w14:textId="77777777" w:rsidR="00923D39" w:rsidRPr="00976E44" w:rsidRDefault="00923D39" w:rsidP="00923D39">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4140BC7D" w14:textId="77777777" w:rsidR="00923D39" w:rsidRPr="00976E44" w:rsidRDefault="00923D39" w:rsidP="00923D39">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B8BDA5A" w14:textId="77777777" w:rsidR="00923D39" w:rsidRPr="00976E44" w:rsidRDefault="00923D39" w:rsidP="00923D39">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6F44B1D1" w14:textId="77777777" w:rsidR="00923D39" w:rsidRPr="00976E44" w:rsidRDefault="00923D39" w:rsidP="00923D39">
      <w:pPr>
        <w:rPr>
          <w:sz w:val="16"/>
        </w:rPr>
      </w:pPr>
      <w:r w:rsidRPr="00976E44">
        <w:rPr>
          <w:sz w:val="16"/>
        </w:rPr>
        <w:t xml:space="preserve">During the AIDS pandemic, since many developing countries were members of the World Trade Organization (WTO), they were forbidden from importing generic pharmaceutical products because </w:t>
      </w:r>
      <w:proofErr w:type="gramStart"/>
      <w:r w:rsidRPr="00976E44">
        <w:rPr>
          <w:sz w:val="16"/>
        </w:rPr>
        <w:t>in order to</w:t>
      </w:r>
      <w:proofErr w:type="gramEnd"/>
      <w:r w:rsidRPr="00976E44">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39669A55" w14:textId="77777777" w:rsidR="00923D39" w:rsidRPr="00976E44" w:rsidRDefault="00923D39" w:rsidP="00923D39">
      <w:pPr>
        <w:rPr>
          <w:sz w:val="16"/>
        </w:rPr>
      </w:pP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303B8F03" w14:textId="77777777" w:rsidR="00923D39" w:rsidRPr="00976E44" w:rsidRDefault="00923D39" w:rsidP="00923D39">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w:t>
      </w:r>
      <w:proofErr w:type="gramStart"/>
      <w:r w:rsidRPr="00976E44">
        <w:rPr>
          <w:sz w:val="16"/>
        </w:rPr>
        <w:t>Similar to</w:t>
      </w:r>
      <w:proofErr w:type="gramEnd"/>
      <w:r w:rsidRPr="00976E44">
        <w:rPr>
          <w:sz w:val="16"/>
        </w:rPr>
        <w:t xml:space="preserve">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77EA41A6" w14:textId="77777777" w:rsidR="00923D39" w:rsidRPr="00976E44" w:rsidRDefault="00923D39" w:rsidP="00923D39">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70E57C28" w14:textId="77777777" w:rsidR="00923D39" w:rsidRPr="00976E44" w:rsidRDefault="00923D39" w:rsidP="00923D39">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p>
    <w:p w14:paraId="2ED8F84D" w14:textId="77777777" w:rsidR="00923D39" w:rsidRPr="00976E44" w:rsidRDefault="00923D39" w:rsidP="00923D39">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54BA7FDB" w14:textId="77777777" w:rsidR="00923D39" w:rsidRPr="00976E44" w:rsidRDefault="00923D39" w:rsidP="00923D39">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11C7E541" w14:textId="77777777" w:rsidR="00923D39" w:rsidRPr="00976E44" w:rsidRDefault="00923D39" w:rsidP="00923D39">
      <w:pPr>
        <w:rPr>
          <w:sz w:val="16"/>
        </w:rPr>
      </w:pPr>
      <w:r w:rsidRPr="00976E44">
        <w:rPr>
          <w:sz w:val="16"/>
        </w:rPr>
        <w:t>A lack of strategy and political will</w:t>
      </w:r>
    </w:p>
    <w:p w14:paraId="3CB2A948" w14:textId="77777777" w:rsidR="00923D39" w:rsidRPr="00976E44" w:rsidRDefault="00923D39" w:rsidP="00923D39">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2D15119D" w14:textId="77777777" w:rsidR="00923D39" w:rsidRPr="00976E44" w:rsidRDefault="00923D39" w:rsidP="00923D39">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1C518170" w14:textId="77777777" w:rsidR="00923D39" w:rsidRPr="00976E44" w:rsidRDefault="00923D39" w:rsidP="00923D39">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7DDF7183" w14:textId="77777777" w:rsidR="00923D39" w:rsidRPr="00976E44" w:rsidRDefault="00923D39" w:rsidP="00923D39">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0012A7E7" w14:textId="77777777" w:rsidR="00923D39" w:rsidRPr="00976E44" w:rsidRDefault="00923D39" w:rsidP="00923D39">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66BFFF64" w14:textId="77777777" w:rsidR="00923D39" w:rsidRPr="00976E44" w:rsidRDefault="00923D39" w:rsidP="00923D39">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p>
    <w:p w14:paraId="6EB57B30" w14:textId="77777777" w:rsidR="00923D39" w:rsidRPr="00976E44" w:rsidRDefault="00923D39" w:rsidP="00923D39">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4343E270" w14:textId="77777777" w:rsidR="00923D39" w:rsidRPr="00976E44" w:rsidRDefault="00923D39" w:rsidP="00923D39">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1E52C239" w14:textId="77777777" w:rsidR="00923D39" w:rsidRPr="00976E44" w:rsidRDefault="00923D39" w:rsidP="00923D39">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67F1CEE2" w14:textId="77777777" w:rsidR="00923D39" w:rsidRPr="00976E44" w:rsidRDefault="00923D39" w:rsidP="00923D39">
      <w:pPr>
        <w:rPr>
          <w:sz w:val="16"/>
        </w:rPr>
      </w:pPr>
      <w:r w:rsidRPr="00976E44">
        <w:rPr>
          <w:sz w:val="16"/>
        </w:rPr>
        <w:t>A forward-thinking strategy</w:t>
      </w:r>
    </w:p>
    <w:p w14:paraId="429AAD8F" w14:textId="77777777" w:rsidR="00923D39" w:rsidRPr="00976E44" w:rsidRDefault="00923D39" w:rsidP="00923D39">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p>
    <w:p w14:paraId="430131A6" w14:textId="77777777" w:rsidR="00923D39" w:rsidRPr="00976E44" w:rsidRDefault="00923D39" w:rsidP="00923D39">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w:t>
      </w:r>
      <w:proofErr w:type="gramStart"/>
      <w:r w:rsidRPr="00976E44">
        <w:rPr>
          <w:sz w:val="16"/>
        </w:rPr>
        <w:t>in order to</w:t>
      </w:r>
      <w:proofErr w:type="gramEnd"/>
      <w:r w:rsidRPr="00976E44">
        <w:rPr>
          <w:sz w:val="16"/>
        </w:rPr>
        <w:t xml:space="preserve">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1FDA79F5" w14:textId="77777777" w:rsidR="00923D39" w:rsidRDefault="00923D39" w:rsidP="00923D39"/>
    <w:p w14:paraId="1B857EE1" w14:textId="77777777" w:rsidR="00923D39" w:rsidRPr="00976E44" w:rsidRDefault="00923D39" w:rsidP="00923D39"/>
    <w:p w14:paraId="6B612D2A" w14:textId="77777777" w:rsidR="00923D39" w:rsidRPr="00976E44" w:rsidRDefault="00923D39" w:rsidP="00923D39">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0A0EA3A4" w14:textId="77777777" w:rsidR="00923D39" w:rsidRPr="00976E44" w:rsidRDefault="00923D39" w:rsidP="00923D39">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22" w:history="1">
        <w:r w:rsidRPr="00976E44">
          <w:rPr>
            <w:rStyle w:val="Hyperlink"/>
          </w:rPr>
          <w:t>https://thediplomat.com/2021/08/chinas-vaccine-diplomacy-in-latin-america/</w:t>
        </w:r>
      </w:hyperlink>
      <w:r w:rsidRPr="00976E44">
        <w:t>] Justin</w:t>
      </w:r>
    </w:p>
    <w:p w14:paraId="6EA875F6" w14:textId="77777777" w:rsidR="00923D39" w:rsidRPr="00976E44" w:rsidRDefault="00923D39" w:rsidP="00923D39">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w:t>
      </w:r>
      <w:proofErr w:type="spellStart"/>
      <w:r w:rsidRPr="00976E44">
        <w:rPr>
          <w:u w:val="single"/>
        </w:rPr>
        <w:t>Sinovac</w:t>
      </w:r>
      <w:proofErr w:type="spellEnd"/>
      <w:r w:rsidRPr="00976E44">
        <w:rPr>
          <w:u w:val="single"/>
        </w:rPr>
        <w:t xml:space="preserve">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4FC23EB9" w14:textId="77777777" w:rsidR="00923D39" w:rsidRPr="00976E44" w:rsidRDefault="00923D39" w:rsidP="00923D39">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69ED2FD2" w14:textId="77777777" w:rsidR="00923D39" w:rsidRPr="00976E44" w:rsidRDefault="00923D39" w:rsidP="00923D39">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proofErr w:type="gramStart"/>
      <w:r w:rsidRPr="00976E44">
        <w:rPr>
          <w:u w:val="single"/>
        </w:rPr>
        <w:t>the majority of</w:t>
      </w:r>
      <w:proofErr w:type="gramEnd"/>
      <w:r w:rsidRPr="00976E44">
        <w:rPr>
          <w:u w:val="single"/>
        </w:rPr>
        <w:t xml:space="preserve">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 xml:space="preserve">of Chinese </w:t>
      </w:r>
      <w:proofErr w:type="spellStart"/>
      <w:r w:rsidRPr="00976E44">
        <w:rPr>
          <w:rStyle w:val="Emphasis"/>
        </w:rPr>
        <w:t>Sinovac</w:t>
      </w:r>
      <w:proofErr w:type="spellEnd"/>
      <w:r w:rsidRPr="00976E44">
        <w:rPr>
          <w:rStyle w:val="Emphasis"/>
        </w:rPr>
        <w:t xml:space="preserve"> inoculations</w:t>
      </w:r>
      <w:r w:rsidRPr="00976E44">
        <w:rPr>
          <w:u w:val="single"/>
        </w:rPr>
        <w:t xml:space="preserve">, and a Chilean study found that </w:t>
      </w:r>
      <w:proofErr w:type="spellStart"/>
      <w:r w:rsidRPr="00976E44">
        <w:rPr>
          <w:u w:val="single"/>
        </w:rPr>
        <w:t>Sinovac</w:t>
      </w:r>
      <w:proofErr w:type="spellEnd"/>
      <w:r w:rsidRPr="00976E44">
        <w:rPr>
          <w:u w:val="single"/>
        </w:rPr>
        <w:t xml:space="preserve"> was only 54 percent effective</w:t>
      </w:r>
      <w:r w:rsidRPr="00976E44">
        <w:rPr>
          <w:sz w:val="16"/>
        </w:rPr>
        <w:t xml:space="preserve"> in preventing contagion, </w:t>
      </w:r>
      <w:r w:rsidRPr="00976E44">
        <w:rPr>
          <w:u w:val="single"/>
        </w:rPr>
        <w:t xml:space="preserve">while </w:t>
      </w:r>
      <w:r w:rsidRPr="00976E44">
        <w:rPr>
          <w:highlight w:val="green"/>
          <w:u w:val="single"/>
        </w:rPr>
        <w:t xml:space="preserve">Pfizer and </w:t>
      </w:r>
      <w:proofErr w:type="spellStart"/>
      <w:r w:rsidRPr="00976E44">
        <w:rPr>
          <w:highlight w:val="green"/>
          <w:u w:val="single"/>
        </w:rPr>
        <w:t>Moderna</w:t>
      </w:r>
      <w:proofErr w:type="spellEnd"/>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4B508BB7" w14:textId="77777777" w:rsidR="00923D39" w:rsidRPr="00976E44" w:rsidRDefault="00923D39" w:rsidP="00923D39">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w:t>
      </w:r>
      <w:proofErr w:type="gramStart"/>
      <w:r w:rsidRPr="00976E44">
        <w:rPr>
          <w:u w:val="single"/>
        </w:rPr>
        <w:t>in order to</w:t>
      </w:r>
      <w:proofErr w:type="gramEnd"/>
      <w:r w:rsidRPr="00976E44">
        <w:rPr>
          <w:u w:val="single"/>
        </w:rPr>
        <w:t xml:space="preserve">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6C0CD20E" w14:textId="77777777" w:rsidR="00923D39" w:rsidRPr="00976E44" w:rsidRDefault="00923D39" w:rsidP="00923D39">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42E3567A" w14:textId="77777777" w:rsidR="00923D39" w:rsidRPr="00976E44" w:rsidRDefault="00923D39" w:rsidP="00923D39"/>
    <w:p w14:paraId="267955AC" w14:textId="77777777" w:rsidR="00923D39" w:rsidRPr="00976E44" w:rsidRDefault="00923D39" w:rsidP="00923D39">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17D868AD" w14:textId="77777777" w:rsidR="00923D39" w:rsidRPr="00976E44" w:rsidRDefault="00923D39" w:rsidP="00923D39">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3" w:history="1">
        <w:r w:rsidRPr="00976E44">
          <w:rPr>
            <w:rStyle w:val="Hyperlink"/>
          </w:rPr>
          <w:t>https://scroll.in/article/1000114/in-latin-america-chinese-vaccine-diplomacy-is-directly-challenging-uss-declining-authority</w:t>
        </w:r>
      </w:hyperlink>
      <w:r w:rsidRPr="00976E44">
        <w:t>] Justin</w:t>
      </w:r>
    </w:p>
    <w:p w14:paraId="6434695F" w14:textId="77777777" w:rsidR="00923D39" w:rsidRPr="00976E44" w:rsidRDefault="00923D39" w:rsidP="00923D39">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49BB4803" w14:textId="77777777" w:rsidR="00923D39" w:rsidRPr="00976E44" w:rsidRDefault="00923D39" w:rsidP="00923D39">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30C68783" w14:textId="77777777" w:rsidR="00923D39" w:rsidRPr="00976E44" w:rsidRDefault="00923D39" w:rsidP="00923D39">
      <w:pPr>
        <w:rPr>
          <w:sz w:val="16"/>
        </w:rPr>
      </w:pPr>
      <w:r w:rsidRPr="00976E44">
        <w:rPr>
          <w:sz w:val="16"/>
        </w:rPr>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4B49800F" w14:textId="77777777" w:rsidR="00923D39" w:rsidRPr="00976E44" w:rsidRDefault="00923D39" w:rsidP="00923D39">
      <w:pPr>
        <w:rPr>
          <w:sz w:val="16"/>
        </w:rPr>
      </w:pPr>
      <w:r w:rsidRPr="00976E44">
        <w:rPr>
          <w:sz w:val="16"/>
        </w:rPr>
        <w:t xml:space="preserve">Six national or regional entities can produce and distribute a consistent number of vaccines: Europe, the United States, China, South </w:t>
      </w:r>
      <w:proofErr w:type="gramStart"/>
      <w:r w:rsidRPr="00976E44">
        <w:rPr>
          <w:sz w:val="16"/>
        </w:rPr>
        <w:t>Korea</w:t>
      </w:r>
      <w:proofErr w:type="gramEnd"/>
      <w:r w:rsidRPr="00976E44">
        <w:rPr>
          <w:sz w:val="16"/>
        </w:rPr>
        <w:t xml:space="preserve"> and India. China has distributed the highest number, and almost half (42%) of these have gone outside its own country.</w:t>
      </w:r>
    </w:p>
    <w:p w14:paraId="5DC2A6A0" w14:textId="77777777" w:rsidR="00923D39" w:rsidRPr="00976E44" w:rsidRDefault="00923D39" w:rsidP="00923D39">
      <w:pPr>
        <w:rPr>
          <w:sz w:val="16"/>
        </w:rPr>
      </w:pPr>
      <w:r w:rsidRPr="00976E44">
        <w:rPr>
          <w:sz w:val="16"/>
        </w:rPr>
        <w:t>As of May, no other country can match this figure. Most countries are focused primarily on achieving their own herd immunity first.</w:t>
      </w:r>
    </w:p>
    <w:p w14:paraId="0F7F268A" w14:textId="77777777" w:rsidR="00923D39" w:rsidRPr="00976E44" w:rsidRDefault="00923D39" w:rsidP="00923D39">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1BF62A84" w14:textId="77777777" w:rsidR="00923D39" w:rsidRPr="00976E44" w:rsidRDefault="00923D39" w:rsidP="00923D39">
      <w:pPr>
        <w:rPr>
          <w:u w:val="single"/>
        </w:rPr>
      </w:pPr>
      <w:r w:rsidRPr="00976E44">
        <w:rPr>
          <w:u w:val="single"/>
        </w:rPr>
        <w:t xml:space="preserve">Declining </w:t>
      </w:r>
      <w:r w:rsidRPr="00976E44">
        <w:rPr>
          <w:rStyle w:val="Emphasis"/>
        </w:rPr>
        <w:t>‘Washington Consensus’</w:t>
      </w:r>
    </w:p>
    <w:p w14:paraId="4DC9CE23" w14:textId="77777777" w:rsidR="00923D39" w:rsidRPr="00976E44" w:rsidRDefault="00923D39" w:rsidP="00923D39">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51F5F9CB" w14:textId="77777777" w:rsidR="00923D39" w:rsidRPr="00976E44" w:rsidRDefault="00923D39" w:rsidP="00923D39">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647CBBDB" w14:textId="77777777" w:rsidR="00923D39" w:rsidRPr="00976E44" w:rsidRDefault="00923D39" w:rsidP="00923D39">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203FBBF8" w14:textId="77777777" w:rsidR="00923D39" w:rsidRPr="00976E44" w:rsidRDefault="00923D39" w:rsidP="00923D39">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w:t>
      </w:r>
      <w:proofErr w:type="gramStart"/>
      <w:r w:rsidRPr="00976E44">
        <w:rPr>
          <w:sz w:val="16"/>
        </w:rPr>
        <w:t>Mexico</w:t>
      </w:r>
      <w:proofErr w:type="gramEnd"/>
      <w:r w:rsidRPr="00976E44">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481AD2CA" w14:textId="77777777" w:rsidR="00923D39" w:rsidRPr="00976E44" w:rsidRDefault="00923D39" w:rsidP="00923D39">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481563FA" w14:textId="77777777" w:rsidR="00923D39" w:rsidRPr="00976E44" w:rsidRDefault="00923D39" w:rsidP="00923D39">
      <w:pPr>
        <w:rPr>
          <w:sz w:val="16"/>
        </w:rPr>
      </w:pPr>
      <w:r w:rsidRPr="00976E44">
        <w:rPr>
          <w:sz w:val="16"/>
        </w:rPr>
        <w:t>Rising Chinese power</w:t>
      </w:r>
    </w:p>
    <w:p w14:paraId="77A94A6E" w14:textId="77777777" w:rsidR="00923D39" w:rsidRPr="00976E44" w:rsidRDefault="00923D39" w:rsidP="00923D39">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34994B48" w14:textId="77777777" w:rsidR="00923D39" w:rsidRPr="00976E44" w:rsidRDefault="00923D39" w:rsidP="00923D39">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w:t>
      </w:r>
      <w:proofErr w:type="gramStart"/>
      <w:r w:rsidRPr="00976E44">
        <w:rPr>
          <w:sz w:val="16"/>
        </w:rPr>
        <w:t>Ecuador</w:t>
      </w:r>
      <w:proofErr w:type="gramEnd"/>
      <w:r w:rsidRPr="00976E44">
        <w:rPr>
          <w:sz w:val="16"/>
        </w:rPr>
        <w:t xml:space="preserve"> and Bolivia already have partnership projects with China and Mexico is considering joining one.</w:t>
      </w:r>
    </w:p>
    <w:p w14:paraId="77E9E397" w14:textId="77777777" w:rsidR="00923D39" w:rsidRPr="00976E44" w:rsidRDefault="00923D39" w:rsidP="00923D39">
      <w:pPr>
        <w:rPr>
          <w:sz w:val="16"/>
        </w:rPr>
      </w:pPr>
      <w:r w:rsidRPr="00976E44">
        <w:rPr>
          <w:sz w:val="16"/>
        </w:rPr>
        <w:t>The US and Chinese tools for economic diplomacy are very similar in practice, yet fundamentally different in philosophy.</w:t>
      </w:r>
    </w:p>
    <w:p w14:paraId="62CD2146" w14:textId="77777777" w:rsidR="00923D39" w:rsidRPr="00976E44" w:rsidRDefault="00923D39" w:rsidP="00923D39">
      <w:pPr>
        <w:rPr>
          <w:rStyle w:val="Emphasis"/>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p>
    <w:p w14:paraId="7282595C" w14:textId="77777777" w:rsidR="00923D39" w:rsidRPr="00976E44" w:rsidRDefault="00923D39" w:rsidP="00923D39"/>
    <w:p w14:paraId="0DAB23F3" w14:textId="77777777" w:rsidR="00923D39" w:rsidRPr="00976E44" w:rsidRDefault="00923D39" w:rsidP="00923D39">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798EC8C3" w14:textId="77777777" w:rsidR="00923D39" w:rsidRPr="00976E44" w:rsidRDefault="00923D39" w:rsidP="00923D39">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24" w:history="1">
        <w:r w:rsidRPr="00976E44">
          <w:rPr>
            <w:rStyle w:val="Hyperlink"/>
          </w:rPr>
          <w:t>http://pennpoliticalreview.org/2017/04/in-defense-of-liberal-internationalism/</w:t>
        </w:r>
      </w:hyperlink>
      <w:r w:rsidRPr="00976E44">
        <w:t>] // Re-Cut Justin</w:t>
      </w:r>
    </w:p>
    <w:p w14:paraId="75B8D679" w14:textId="77777777" w:rsidR="00923D39" w:rsidRPr="00976E44" w:rsidRDefault="00923D39" w:rsidP="00923D39">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4F08E70D" w14:textId="77777777" w:rsidR="00923D39" w:rsidRPr="00976E44" w:rsidRDefault="00923D39" w:rsidP="00923D39">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2394CABF" w14:textId="77777777" w:rsidR="00923D39" w:rsidRPr="00976E44" w:rsidRDefault="00923D39" w:rsidP="00923D39">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1E32BFE1" w14:textId="77777777" w:rsidR="00923D39" w:rsidRPr="00976E44" w:rsidRDefault="00923D39" w:rsidP="00923D39"/>
    <w:p w14:paraId="1BF7E0F3" w14:textId="77777777" w:rsidR="00923D39" w:rsidRPr="00976E44" w:rsidRDefault="00923D39" w:rsidP="00923D39">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0F7D8553" w14:textId="77777777" w:rsidR="00923D39" w:rsidRPr="00976E44" w:rsidRDefault="00923D39" w:rsidP="00923D39">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25" w:history="1">
        <w:r w:rsidRPr="00976E44">
          <w:rPr>
            <w:rStyle w:val="Hyperlink"/>
          </w:rPr>
          <w:t>https://www.emerald.com/insight/content/doi/10.1108/ITPD-02-2019-003/full/html</w:t>
        </w:r>
      </w:hyperlink>
      <w:r w:rsidRPr="00976E44">
        <w:rPr>
          <w:rStyle w:val="Hyperlink"/>
        </w:rPr>
        <w:t xml:space="preserve"> // Re-Cut Justin</w:t>
      </w:r>
    </w:p>
    <w:p w14:paraId="5D7079B9" w14:textId="77777777" w:rsidR="00923D39" w:rsidRPr="00976E44" w:rsidRDefault="00923D39" w:rsidP="00923D39">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w:t>
      </w:r>
      <w:proofErr w:type="gramStart"/>
      <w:r w:rsidRPr="00976E44">
        <w:rPr>
          <w:b/>
          <w:bCs/>
          <w:u w:val="single"/>
        </w:rPr>
        <w:t xml:space="preserve">in order </w:t>
      </w:r>
      <w:r w:rsidRPr="00976E44">
        <w:rPr>
          <w:b/>
          <w:bCs/>
          <w:highlight w:val="green"/>
          <w:u w:val="single"/>
        </w:rPr>
        <w:t>to</w:t>
      </w:r>
      <w:proofErr w:type="gramEnd"/>
      <w:r w:rsidRPr="00976E44">
        <w:rPr>
          <w:b/>
          <w:bCs/>
          <w:highlight w:val="green"/>
          <w:u w:val="single"/>
        </w:rPr>
        <w:t xml:space="preserve">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3EFA8D5E" w14:textId="77777777" w:rsidR="00923D39" w:rsidRPr="00F601E6" w:rsidRDefault="00923D39" w:rsidP="00923D39"/>
    <w:p w14:paraId="2D0E1CDA" w14:textId="77777777" w:rsidR="00923D39" w:rsidRPr="00F601E6" w:rsidRDefault="00923D39" w:rsidP="00923D39"/>
    <w:p w14:paraId="11759889" w14:textId="77777777" w:rsidR="00923D39" w:rsidRPr="00F601E6" w:rsidRDefault="00923D39" w:rsidP="00923D39"/>
    <w:p w14:paraId="6769823B" w14:textId="77777777" w:rsidR="00923D39" w:rsidRPr="00F601E6" w:rsidRDefault="00923D39" w:rsidP="00923D39"/>
    <w:p w14:paraId="782E65B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F94357"/>
    <w:multiLevelType w:val="hybridMultilevel"/>
    <w:tmpl w:val="C64E3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633826"/>
    <w:multiLevelType w:val="hybridMultilevel"/>
    <w:tmpl w:val="B29459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3D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D3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C12DE4"/>
  <w14:defaultImageDpi w14:val="300"/>
  <w15:docId w15:val="{AEFE7D95-6020-CB41-839A-98A001368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3D3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3D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3D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3D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23D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3D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3D39"/>
  </w:style>
  <w:style w:type="character" w:customStyle="1" w:styleId="Heading1Char">
    <w:name w:val="Heading 1 Char"/>
    <w:aliases w:val="Pocket Char"/>
    <w:basedOn w:val="DefaultParagraphFont"/>
    <w:link w:val="Heading1"/>
    <w:uiPriority w:val="9"/>
    <w:rsid w:val="00923D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3D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3D3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23D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3D3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923D39"/>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923D3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3D3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23D39"/>
    <w:rPr>
      <w:color w:val="auto"/>
      <w:u w:val="none"/>
    </w:rPr>
  </w:style>
  <w:style w:type="paragraph" w:styleId="DocumentMap">
    <w:name w:val="Document Map"/>
    <w:basedOn w:val="Normal"/>
    <w:link w:val="DocumentMapChar"/>
    <w:uiPriority w:val="99"/>
    <w:semiHidden/>
    <w:unhideWhenUsed/>
    <w:rsid w:val="00923D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3D39"/>
    <w:rPr>
      <w:rFonts w:ascii="Lucida Grande" w:hAnsi="Lucida Grande" w:cs="Lucida Grande"/>
    </w:rPr>
  </w:style>
  <w:style w:type="paragraph" w:customStyle="1" w:styleId="textbold">
    <w:name w:val="text bold"/>
    <w:basedOn w:val="Normal"/>
    <w:link w:val="Emphasis"/>
    <w:uiPriority w:val="20"/>
    <w:qFormat/>
    <w:rsid w:val="00923D3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23D3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23D39"/>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23D39"/>
    <w:rPr>
      <w:sz w:val="22"/>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923D39"/>
    <w:rPr>
      <w:rFonts w:ascii="Times New Roman" w:eastAsia="Times New Roman" w:hAnsi="Times New Roman" w:cs="Times New Roman"/>
      <w:lang w:eastAsia="zh-CN"/>
    </w:rPr>
  </w:style>
  <w:style w:type="paragraph" w:customStyle="1" w:styleId="Analytics">
    <w:name w:val="Analytics"/>
    <w:basedOn w:val="Normal"/>
    <w:link w:val="AnalyticsChar"/>
    <w:autoRedefine/>
    <w:uiPriority w:val="4"/>
    <w:qFormat/>
    <w:rsid w:val="00923D39"/>
    <w:rPr>
      <w:b/>
      <w:color w:val="00B050"/>
      <w:sz w:val="26"/>
    </w:rPr>
  </w:style>
  <w:style w:type="character" w:customStyle="1" w:styleId="AnalyticsChar">
    <w:name w:val="Analytics Char"/>
    <w:basedOn w:val="DefaultParagraphFont"/>
    <w:link w:val="Analytics"/>
    <w:uiPriority w:val="4"/>
    <w:rsid w:val="00923D39"/>
    <w:rPr>
      <w:rFonts w:ascii="Calibri" w:hAnsi="Calibri"/>
      <w:b/>
      <w:color w:val="00B050"/>
      <w:sz w:val="26"/>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923D39"/>
    <w:rPr>
      <w:u w:val="single"/>
    </w:rPr>
  </w:style>
  <w:style w:type="paragraph" w:styleId="Title">
    <w:name w:val="Title"/>
    <w:aliases w:val="Cites and Cards,UNDERLINE,Bold Underlined,title,Block Heading,Read This"/>
    <w:basedOn w:val="Normal"/>
    <w:next w:val="Normal"/>
    <w:link w:val="TitleChar"/>
    <w:uiPriority w:val="1"/>
    <w:qFormat/>
    <w:rsid w:val="00923D39"/>
    <w:pPr>
      <w:spacing w:after="0" w:line="240" w:lineRule="auto"/>
      <w:ind w:left="720"/>
      <w:outlineLvl w:val="0"/>
    </w:pPr>
    <w:rPr>
      <w:rFonts w:asciiTheme="minorHAnsi" w:hAnsiTheme="minorHAnsi"/>
      <w:sz w:val="24"/>
      <w:u w:val="single"/>
    </w:rPr>
  </w:style>
  <w:style w:type="character" w:customStyle="1" w:styleId="TitleChar1">
    <w:name w:val="Title Char1"/>
    <w:basedOn w:val="DefaultParagraphFont"/>
    <w:uiPriority w:val="10"/>
    <w:rsid w:val="00923D39"/>
    <w:rPr>
      <w:rFonts w:asciiTheme="majorHAnsi" w:eastAsiaTheme="majorEastAsia" w:hAnsiTheme="majorHAnsi" w:cstheme="majorBidi"/>
      <w:spacing w:val="-10"/>
      <w:kern w:val="28"/>
      <w:sz w:val="56"/>
      <w:szCs w:val="56"/>
    </w:rPr>
  </w:style>
  <w:style w:type="paragraph" w:customStyle="1" w:styleId="Cite2">
    <w:name w:val="Cite 2"/>
    <w:basedOn w:val="Normal"/>
    <w:qFormat/>
    <w:rsid w:val="00923D39"/>
    <w:rPr>
      <w:rFonts w:eastAsia="MS Mincho"/>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37.html" TargetMode="External"/><Relationship Id="rId18" Type="http://schemas.openxmlformats.org/officeDocument/2006/relationships/hyperlink" Target="https://idsa.in/issuebrief/wto-trips-waiver-covid-vaccine-rkumar-12072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theglobalamericans.org/2021/06/a-u-s-vaccine-diplomacy-strategy-for-latin-america-and-the-caribbean/" TargetMode="External"/><Relationship Id="rId7" Type="http://schemas.openxmlformats.org/officeDocument/2006/relationships/settings" Target="setting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s://www.emerald.com/insight/content/doi/10.1108/ITPD-02-2019-003/full/html"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s://www.tandfonline.com/doi/full/10.1080/25751654.2021.189086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pennpoliticalreview.org/2017/04/in-defense-of-liberal-internationalism/"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hyperlink" Target="https://scroll.in/article/1000114/in-latin-america-chinese-vaccine-diplomacy-is-directly-challenging-uss-declining-authority" TargetMode="External"/><Relationship Id="rId10" Type="http://schemas.openxmlformats.org/officeDocument/2006/relationships/hyperlink" Target="http://virt052.zim.uni-duisburg-essen.de/Kant/aa06/245.html" TargetMode="External"/><Relationship Id="rId19" Type="http://schemas.openxmlformats.org/officeDocument/2006/relationships/hyperlink" Target="https://www.statnews.com/2021/05/19/beyond-a-symbolic-gesture-whats-needed-to-turn-the-ip-waiver-into-covid-19-vaccines/" TargetMode="External"/><Relationship Id="rId4" Type="http://schemas.openxmlformats.org/officeDocument/2006/relationships/customXml" Target="../customXml/item4.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hyperlink" Target="https://thediplomat.com/2021/08/chinas-vaccine-diplomacy-in-latin-america/"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13792</Words>
  <Characters>78616</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1</cp:revision>
  <dcterms:created xsi:type="dcterms:W3CDTF">2021-10-17T22:20:00Z</dcterms:created>
  <dcterms:modified xsi:type="dcterms:W3CDTF">2021-10-17T22:27:00Z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