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2D54A" w14:textId="77777777" w:rsidR="002141EF" w:rsidRDefault="002141EF" w:rsidP="002141EF">
      <w:pPr>
        <w:pStyle w:val="Heading3"/>
      </w:pPr>
      <w:r>
        <w:t xml:space="preserve">1NC – 1 </w:t>
      </w:r>
    </w:p>
    <w:p w14:paraId="400D795C" w14:textId="77777777" w:rsidR="002141EF" w:rsidRPr="009D66D4" w:rsidRDefault="002141EF" w:rsidP="002141EF">
      <w:pPr>
        <w:pStyle w:val="Heading4"/>
        <w:rPr>
          <w:rFonts w:cs="Calibri"/>
        </w:rPr>
      </w:pPr>
      <w:r w:rsidRPr="009D66D4">
        <w:rPr>
          <w:rFonts w:cs="Calibri"/>
        </w:rPr>
        <w:t xml:space="preserve">Interpretation – the Affirmative must </w:t>
      </w:r>
      <w:r>
        <w:rPr>
          <w:rFonts w:cs="Calibri"/>
        </w:rPr>
        <w:t>specify</w:t>
      </w:r>
      <w:r w:rsidRPr="009D66D4">
        <w:rPr>
          <w:rFonts w:cs="Calibri"/>
        </w:rPr>
        <w:t xml:space="preserve"> a</w:t>
      </w:r>
      <w:r>
        <w:rPr>
          <w:rFonts w:cs="Calibri"/>
        </w:rPr>
        <w:t xml:space="preserve">n </w:t>
      </w:r>
      <w:r w:rsidRPr="009D66D4">
        <w:rPr>
          <w:rFonts w:cs="Calibri"/>
        </w:rPr>
        <w:t>enforcement mechanism for the Plan</w:t>
      </w:r>
      <w:r>
        <w:rPr>
          <w:rFonts w:cs="Calibri"/>
        </w:rPr>
        <w:t xml:space="preserve"> in a delineated text in the 1AC</w:t>
      </w:r>
      <w:r w:rsidRPr="009D66D4">
        <w:rPr>
          <w:rFonts w:cs="Calibri"/>
        </w:rPr>
        <w:t xml:space="preserve">. There is no normal means since terms are </w:t>
      </w:r>
      <w:r w:rsidRPr="009D66D4">
        <w:rPr>
          <w:rFonts w:cs="Calibri"/>
          <w:u w:val="single"/>
        </w:rPr>
        <w:t>negotiated contextually</w:t>
      </w:r>
      <w:r w:rsidRPr="009D66D4">
        <w:rPr>
          <w:rFonts w:cs="Calibri"/>
        </w:rPr>
        <w:t xml:space="preserve"> among member states.</w:t>
      </w:r>
    </w:p>
    <w:p w14:paraId="5FF59377" w14:textId="77777777" w:rsidR="002141EF" w:rsidRPr="009D66D4" w:rsidRDefault="002141EF" w:rsidP="002141EF">
      <w:r w:rsidRPr="009D66D4">
        <w:rPr>
          <w:rStyle w:val="Style13ptBold"/>
        </w:rPr>
        <w:t>WTO No Date</w:t>
      </w:r>
      <w:r w:rsidRPr="009D66D4">
        <w:t xml:space="preserve"> "Whose WTO is it anyway?" </w:t>
      </w:r>
      <w:hyperlink r:id="rId9" w:history="1">
        <w:r w:rsidRPr="009D66D4">
          <w:rPr>
            <w:rStyle w:val="Hyperlink"/>
          </w:rPr>
          <w:t>https://www.wto.org/english/thewto_e/whatis_e/tif_e/org1_e.htm</w:t>
        </w:r>
      </w:hyperlink>
      <w:r w:rsidRPr="009D66D4">
        <w:t xml:space="preserve"> //Elmer </w:t>
      </w:r>
    </w:p>
    <w:p w14:paraId="6B271C49" w14:textId="77777777" w:rsidR="002141EF" w:rsidRPr="0041715F" w:rsidRDefault="002141EF" w:rsidP="002141EF">
      <w:pPr>
        <w:rPr>
          <w:sz w:val="16"/>
        </w:rPr>
      </w:pPr>
      <w:r w:rsidRPr="0041715F">
        <w:rPr>
          <w:b/>
          <w:highlight w:val="green"/>
          <w:u w:val="single"/>
        </w:rPr>
        <w:t>When WTO rules impose disciplines</w:t>
      </w:r>
      <w:r w:rsidRPr="0041715F">
        <w:rPr>
          <w:sz w:val="16"/>
          <w:highlight w:val="green"/>
        </w:rPr>
        <w:t xml:space="preserve"> </w:t>
      </w:r>
      <w:r w:rsidRPr="0041715F">
        <w:rPr>
          <w:sz w:val="16"/>
        </w:rPr>
        <w:t xml:space="preserve">on countries’ policies, </w:t>
      </w:r>
      <w:r w:rsidRPr="0041715F">
        <w:rPr>
          <w:b/>
          <w:highlight w:val="green"/>
          <w:u w:val="single"/>
        </w:rPr>
        <w:t>that is the outcome of negotiations among WTO members.</w:t>
      </w:r>
      <w:r w:rsidRPr="0041715F">
        <w:rPr>
          <w:sz w:val="16"/>
        </w:rPr>
        <w:t xml:space="preserve"> The rules are </w:t>
      </w:r>
      <w:r w:rsidRPr="0041715F">
        <w:rPr>
          <w:b/>
          <w:highlight w:val="green"/>
          <w:u w:val="single"/>
        </w:rPr>
        <w:t>enforced</w:t>
      </w:r>
      <w:r w:rsidRPr="0041715F">
        <w:rPr>
          <w:sz w:val="16"/>
          <w:highlight w:val="green"/>
        </w:rPr>
        <w:t xml:space="preserve"> </w:t>
      </w:r>
      <w:r w:rsidRPr="0041715F">
        <w:rPr>
          <w:b/>
          <w:highlight w:val="green"/>
          <w:u w:val="single"/>
        </w:rPr>
        <w:t>by</w:t>
      </w:r>
      <w:r w:rsidRPr="0041715F">
        <w:rPr>
          <w:sz w:val="16"/>
          <w:highlight w:val="green"/>
        </w:rPr>
        <w:t xml:space="preserve"> </w:t>
      </w:r>
      <w:r w:rsidRPr="0041715F">
        <w:rPr>
          <w:sz w:val="16"/>
        </w:rPr>
        <w:t xml:space="preserve">the </w:t>
      </w:r>
      <w:r w:rsidRPr="0041715F">
        <w:rPr>
          <w:b/>
          <w:highlight w:val="green"/>
          <w:u w:val="single"/>
        </w:rPr>
        <w:t>members themselves</w:t>
      </w:r>
      <w:r w:rsidRPr="0041715F">
        <w:rPr>
          <w:sz w:val="16"/>
          <w:highlight w:val="green"/>
        </w:rPr>
        <w:t xml:space="preserve"> </w:t>
      </w:r>
      <w:r w:rsidRPr="0041715F">
        <w:rPr>
          <w:b/>
          <w:highlight w:val="green"/>
          <w:u w:val="single"/>
        </w:rPr>
        <w:t>under agreed procedures that they negotiated</w:t>
      </w:r>
      <w:r w:rsidRPr="0041715F">
        <w:rPr>
          <w:sz w:val="16"/>
        </w:rPr>
        <w:t xml:space="preserve">, </w:t>
      </w:r>
      <w:r w:rsidRPr="0041715F">
        <w:rPr>
          <w:b/>
          <w:highlight w:val="green"/>
          <w:u w:val="single"/>
        </w:rPr>
        <w:t>including the possibility of trade sanctions</w:t>
      </w:r>
      <w:r w:rsidRPr="0041715F">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5675177A" w14:textId="77777777" w:rsidR="002141EF" w:rsidRPr="009D66D4" w:rsidRDefault="002141EF" w:rsidP="002141EF">
      <w:pPr>
        <w:pStyle w:val="Heading4"/>
        <w:rPr>
          <w:rFonts w:cs="Calibri"/>
        </w:rPr>
      </w:pPr>
      <w:r w:rsidRPr="009D66D4">
        <w:rPr>
          <w:rFonts w:cs="Calibri"/>
        </w:rPr>
        <w:t xml:space="preserve">Violation: they don’t </w:t>
      </w:r>
    </w:p>
    <w:p w14:paraId="65128001" w14:textId="77777777" w:rsidR="002141EF" w:rsidRPr="009D66D4" w:rsidRDefault="002141EF" w:rsidP="002141EF">
      <w:pPr>
        <w:pStyle w:val="Heading4"/>
        <w:rPr>
          <w:rFonts w:cs="Calibri"/>
        </w:rPr>
      </w:pPr>
      <w:r w:rsidRPr="009D66D4">
        <w:rPr>
          <w:rFonts w:cs="Calibri"/>
        </w:rPr>
        <w:t>Standards</w:t>
      </w:r>
    </w:p>
    <w:p w14:paraId="11C59AA8" w14:textId="77777777" w:rsidR="002141EF" w:rsidRPr="009D66D4" w:rsidRDefault="002141EF" w:rsidP="002141EF">
      <w:pPr>
        <w:pStyle w:val="Heading4"/>
        <w:rPr>
          <w:rFonts w:cs="Calibri"/>
        </w:rPr>
      </w:pPr>
      <w:r w:rsidRPr="009D66D4">
        <w:rPr>
          <w:rFonts w:cs="Calibri"/>
        </w:rPr>
        <w:t xml:space="preserve">1] </w:t>
      </w:r>
      <w:r w:rsidRPr="009D66D4">
        <w:rPr>
          <w:rFonts w:cs="Calibri"/>
          <w:u w:val="single"/>
        </w:rPr>
        <w:t>Shiftiness</w:t>
      </w:r>
      <w:r w:rsidRPr="009D66D4">
        <w:rPr>
          <w:rFonts w:cs="Calibri"/>
        </w:rPr>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64CACEE9" w14:textId="77777777" w:rsidR="002141EF" w:rsidRPr="009D66D4" w:rsidRDefault="002141EF" w:rsidP="002141EF">
      <w:pPr>
        <w:pStyle w:val="Heading4"/>
        <w:rPr>
          <w:rFonts w:cs="Calibri"/>
        </w:rPr>
      </w:pPr>
      <w:r w:rsidRPr="009D66D4">
        <w:rPr>
          <w:rFonts w:cs="Calibri"/>
        </w:rPr>
        <w:t xml:space="preserve">2] </w:t>
      </w:r>
      <w:r w:rsidRPr="009D66D4">
        <w:rPr>
          <w:rFonts w:cs="Calibri"/>
          <w:u w:val="single"/>
        </w:rPr>
        <w:t>Real World</w:t>
      </w:r>
      <w:r w:rsidRPr="009D66D4">
        <w:rPr>
          <w:rFonts w:cs="Calibri"/>
        </w:rPr>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53709D1B" w14:textId="77777777" w:rsidR="002141EF" w:rsidRPr="009D66D4" w:rsidRDefault="002141EF" w:rsidP="002141EF">
      <w:pPr>
        <w:pStyle w:val="Heading4"/>
        <w:rPr>
          <w:rFonts w:cs="Calibri"/>
        </w:rPr>
      </w:pPr>
      <w:r w:rsidRPr="009D66D4">
        <w:rPr>
          <w:rFonts w:cs="Calibri"/>
        </w:rPr>
        <w:t>ESpec isn’t regressive or arbitrary- it’s an active part of the WTO is central to any advocacy about international IP law since the only uniqueness of a reduction of IP protections is how effective its enforcement is.</w:t>
      </w:r>
    </w:p>
    <w:p w14:paraId="2247F432" w14:textId="77777777" w:rsidR="002141EF" w:rsidRPr="009D66D4" w:rsidRDefault="002141EF" w:rsidP="002141EF">
      <w:pPr>
        <w:pStyle w:val="Heading4"/>
        <w:rPr>
          <w:rFonts w:cs="Calibri"/>
        </w:rPr>
      </w:pPr>
      <w:r w:rsidRPr="009D66D4">
        <w:rPr>
          <w:rFonts w:cs="Calibri"/>
        </w:rPr>
        <w:t>Fairness and education are voters – its how judges evaluate rounds and why schools fund debate</w:t>
      </w:r>
    </w:p>
    <w:p w14:paraId="3D6FDE68" w14:textId="77777777" w:rsidR="002141EF" w:rsidRPr="009D66D4" w:rsidRDefault="002141EF" w:rsidP="002141EF">
      <w:pPr>
        <w:pStyle w:val="Heading4"/>
        <w:rPr>
          <w:rFonts w:cs="Calibri"/>
        </w:rPr>
      </w:pPr>
      <w:r w:rsidRPr="009D66D4">
        <w:rPr>
          <w:rFonts w:cs="Calibri"/>
        </w:rPr>
        <w:t>DTD – it’s key to norm set and deter future abuse</w:t>
      </w:r>
    </w:p>
    <w:p w14:paraId="07B4171F" w14:textId="77777777" w:rsidR="002141EF" w:rsidRPr="009D66D4" w:rsidRDefault="002141EF" w:rsidP="002141EF">
      <w:pPr>
        <w:pStyle w:val="Heading4"/>
        <w:rPr>
          <w:rFonts w:cs="Calibri"/>
        </w:rPr>
      </w:pPr>
      <w:r w:rsidRPr="009D66D4">
        <w:rPr>
          <w:rFonts w:cs="Calibri"/>
        </w:rPr>
        <w:t>Competing interps – Reasonability invites arbitrary judge intervention and a race to the bottom of questionable argumentation – it also collapses since brightlines operate on an offense-defense paradigm</w:t>
      </w:r>
    </w:p>
    <w:p w14:paraId="22E7C3D9" w14:textId="77777777" w:rsidR="002141EF" w:rsidRPr="009D66D4" w:rsidRDefault="002141EF" w:rsidP="002141EF">
      <w:pPr>
        <w:pStyle w:val="Heading4"/>
        <w:rPr>
          <w:rFonts w:cs="Calibri"/>
        </w:rPr>
      </w:pPr>
      <w:r w:rsidRPr="009D66D4">
        <w:rPr>
          <w:rFonts w:cs="Calibri"/>
        </w:rPr>
        <w:t xml:space="preserve">No RVIs – A – Encourages theory baiting – outweighs because if the shell is frivolous, they can beat it quickly B – its illogical for you to win for proving you were fair – outweighs since logic is a litmus test for other arguments </w:t>
      </w:r>
    </w:p>
    <w:p w14:paraId="30512F87" w14:textId="77777777" w:rsidR="002141EF" w:rsidRPr="0041715F" w:rsidRDefault="002141EF" w:rsidP="002141EF"/>
    <w:p w14:paraId="359923C3" w14:textId="77777777" w:rsidR="002141EF" w:rsidRPr="0041715F" w:rsidRDefault="002141EF" w:rsidP="002141EF">
      <w:pPr>
        <w:pStyle w:val="Heading3"/>
      </w:pPr>
      <w:r>
        <w:t xml:space="preserve">1NC – 2 </w:t>
      </w:r>
    </w:p>
    <w:p w14:paraId="4EFDC1E3" w14:textId="77777777" w:rsidR="002141EF" w:rsidRPr="008D0848" w:rsidRDefault="002141EF" w:rsidP="002141EF">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7803F754" w14:textId="77777777" w:rsidR="002141EF" w:rsidRDefault="002141EF" w:rsidP="002141EF">
      <w:pPr>
        <w:rPr>
          <w:rStyle w:val="Style13ptBold"/>
        </w:rPr>
      </w:pPr>
      <w:r>
        <w:rPr>
          <w:rStyle w:val="Style13ptBold"/>
        </w:rPr>
        <w:t>Badiou ‘18</w:t>
      </w:r>
    </w:p>
    <w:p w14:paraId="4B3457DD" w14:textId="77777777" w:rsidR="002141EF" w:rsidRDefault="002141EF" w:rsidP="002141EF">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321B86FD" w14:textId="77777777" w:rsidR="002141EF" w:rsidRPr="00EA5F46" w:rsidRDefault="002141EF" w:rsidP="002141EF">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6516593F" w14:textId="77777777" w:rsidR="002141EF" w:rsidRPr="00EA5F46" w:rsidRDefault="002141EF" w:rsidP="002141EF">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256AAEB7" w14:textId="77777777" w:rsidR="002141EF" w:rsidRPr="00EA5F46" w:rsidRDefault="002141EF" w:rsidP="002141EF">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r w:rsidRPr="00EA5F46">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8BD5A61" w14:textId="77777777" w:rsidR="002141EF" w:rsidRPr="00EA5F46" w:rsidRDefault="002141EF" w:rsidP="002141EF">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6341020B" w14:textId="77777777" w:rsidR="002141EF" w:rsidRPr="00EA5F46" w:rsidRDefault="002141EF" w:rsidP="002141EF">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4FF852C9" w14:textId="77777777" w:rsidR="002141EF" w:rsidRPr="00EA5F46" w:rsidRDefault="002141EF" w:rsidP="002141EF">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48CCD5A" w14:textId="77777777" w:rsidR="002141EF" w:rsidRPr="00EA5F46" w:rsidRDefault="002141EF" w:rsidP="002141EF">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28AEB17D" w14:textId="77777777" w:rsidR="002141EF" w:rsidRPr="00EA5F46" w:rsidRDefault="002141EF" w:rsidP="002141EF">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50DBE04D" w14:textId="77777777" w:rsidR="002141EF" w:rsidRPr="00EA5F46" w:rsidRDefault="002141EF" w:rsidP="002141EF">
      <w:pPr>
        <w:rPr>
          <w:sz w:val="16"/>
        </w:rPr>
      </w:pPr>
      <w:r w:rsidRPr="00EA5F46">
        <w:rPr>
          <w:sz w:val="16"/>
        </w:rPr>
        <w:t>Let’s put things in a bit more perspective.</w:t>
      </w:r>
    </w:p>
    <w:p w14:paraId="1E38C649" w14:textId="77777777" w:rsidR="002141EF" w:rsidRPr="00EA5F46" w:rsidRDefault="002141EF" w:rsidP="002141EF">
      <w:pPr>
        <w:rPr>
          <w:sz w:val="16"/>
        </w:rPr>
      </w:pPr>
      <w:r w:rsidRPr="00EA5F46">
        <w:rPr>
          <w:sz w:val="16"/>
        </w:rPr>
        <w:t xml:space="preserve">For four or five millennia, </w:t>
      </w:r>
      <w:r w:rsidRPr="00EA5F46">
        <w:rPr>
          <w:rStyle w:val="StyleUnderline"/>
        </w:rPr>
        <w:t xml:space="preserve">humanity has been organised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031BAFF8" w14:textId="77777777" w:rsidR="002141EF" w:rsidRPr="00EA5F46" w:rsidRDefault="002141EF" w:rsidP="002141EF">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583A8194" w14:textId="77777777" w:rsidR="002141EF" w:rsidRPr="00EA5F46" w:rsidRDefault="002141EF" w:rsidP="002141EF">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5789E55B" w14:textId="77777777" w:rsidR="002141EF" w:rsidRPr="00EA5F46" w:rsidRDefault="002141EF" w:rsidP="002141EF">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6030B5B0" w14:textId="77777777" w:rsidR="002141EF" w:rsidRPr="00EA5F46" w:rsidRDefault="002141EF" w:rsidP="002141EF">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47B714C7" w14:textId="77777777" w:rsidR="002141EF" w:rsidRPr="00EA5F46" w:rsidRDefault="002141EF" w:rsidP="002141EF">
      <w:pPr>
        <w:rPr>
          <w:sz w:val="16"/>
        </w:rPr>
      </w:pPr>
      <w:r w:rsidRPr="00EA5F46">
        <w:rPr>
          <w:sz w:val="16"/>
        </w:rPr>
        <w:t xml:space="preserve">The problem is not technology, or nature. </w:t>
      </w:r>
      <w:r w:rsidRPr="00EA5F46">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organising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EA5F46">
        <w:rPr>
          <w:rStyle w:val="StyleUnderline"/>
          <w:highlight w:val="green"/>
        </w:rPr>
        <w:t>collective organisation</w:t>
      </w:r>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55A4E916" w14:textId="77777777" w:rsidR="002141EF" w:rsidRPr="00EA5F46" w:rsidRDefault="002141EF" w:rsidP="002141EF">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328EE62E" w14:textId="77777777" w:rsidR="002141EF" w:rsidRPr="0041715F" w:rsidRDefault="002141EF" w:rsidP="002141EF"/>
    <w:p w14:paraId="2F214FD9" w14:textId="77777777" w:rsidR="002141EF" w:rsidRPr="00223D8C" w:rsidRDefault="002141EF" w:rsidP="002141EF">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2C010935" w14:textId="77777777" w:rsidR="002141EF" w:rsidRPr="00223D8C" w:rsidRDefault="002141EF" w:rsidP="002141EF">
      <w:pPr>
        <w:rPr>
          <w:rStyle w:val="Style13ptBold"/>
        </w:rPr>
      </w:pPr>
      <w:r>
        <w:rPr>
          <w:rStyle w:val="Style13ptBold"/>
        </w:rPr>
        <w:t>Ferrer ‘19</w:t>
      </w:r>
    </w:p>
    <w:p w14:paraId="3ECAF3C5" w14:textId="77777777" w:rsidR="002141EF" w:rsidRPr="00223D8C" w:rsidRDefault="002141EF" w:rsidP="002141EF">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0AF6AB48" w14:textId="77777777" w:rsidR="002141EF" w:rsidRPr="00346DF6" w:rsidRDefault="002141EF" w:rsidP="002141EF">
      <w:pPr>
        <w:rPr>
          <w:sz w:val="12"/>
        </w:rPr>
      </w:pPr>
      <w:r w:rsidRPr="00346DF6">
        <w:rPr>
          <w:sz w:val="12"/>
        </w:rPr>
        <w:t xml:space="preserve">Recall also, </w:t>
      </w:r>
      <w:r w:rsidRPr="00346DF6">
        <w:rPr>
          <w:rStyle w:val="StyleUnderline"/>
        </w:rPr>
        <w:t xml:space="preserve">that </w:t>
      </w:r>
      <w:r w:rsidRPr="002B5958">
        <w:rPr>
          <w:rStyle w:val="StyleUnderline"/>
          <w:highlight w:val="green"/>
        </w:rPr>
        <w:t>compulsory licensing is</w:t>
      </w:r>
      <w:r w:rsidRPr="00346DF6">
        <w:rPr>
          <w:rStyle w:val="StyleUnderline"/>
        </w:rPr>
        <w:t xml:space="preserve"> only </w:t>
      </w:r>
      <w:r w:rsidRPr="002B5958">
        <w:rPr>
          <w:rStyle w:val="StyleUnderline"/>
          <w:highlight w:val="green"/>
        </w:rPr>
        <w:t>a limited solution to</w:t>
      </w:r>
      <w:r w:rsidRPr="00346DF6">
        <w:rPr>
          <w:rStyle w:val="StyleUnderline"/>
        </w:rPr>
        <w:t xml:space="preserve"> the problem of </w:t>
      </w:r>
      <w:r w:rsidRPr="002B5958">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2B5958">
        <w:rPr>
          <w:rStyle w:val="StyleUnderline"/>
          <w:highlight w:val="green"/>
        </w:rPr>
        <w:t>Members with insufficient</w:t>
      </w:r>
      <w:r w:rsidRPr="00346DF6">
        <w:rPr>
          <w:rStyle w:val="StyleUnderline"/>
        </w:rPr>
        <w:t xml:space="preserve"> or no manufacturing </w:t>
      </w:r>
      <w:r w:rsidRPr="002B5958">
        <w:rPr>
          <w:rStyle w:val="StyleUnderline"/>
          <w:highlight w:val="green"/>
        </w:rPr>
        <w:t>capacities</w:t>
      </w:r>
      <w:r w:rsidRPr="00346DF6">
        <w:rPr>
          <w:rStyle w:val="StyleUnderline"/>
        </w:rPr>
        <w:t xml:space="preserve"> in the pharmaceutical sector </w:t>
      </w:r>
      <w:r w:rsidRPr="002B5958">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2B5958">
        <w:rPr>
          <w:rStyle w:val="Emphasis"/>
          <w:highlight w:val="green"/>
        </w:rPr>
        <w:t>As long as a country doesn’t have the means to produce</w:t>
      </w:r>
      <w:r w:rsidRPr="00346DF6">
        <w:rPr>
          <w:rStyle w:val="Emphasis"/>
        </w:rPr>
        <w:t xml:space="preserve"> the </w:t>
      </w:r>
      <w:r w:rsidRPr="002B5958">
        <w:rPr>
          <w:rStyle w:val="Emphasis"/>
          <w:highlight w:val="green"/>
        </w:rPr>
        <w:t>drugs, there is no one to</w:t>
      </w:r>
      <w:r w:rsidRPr="00346DF6">
        <w:rPr>
          <w:rStyle w:val="Emphasis"/>
        </w:rPr>
        <w:t xml:space="preserve"> whom the government could </w:t>
      </w:r>
      <w:r w:rsidRPr="002B5958">
        <w:rPr>
          <w:rStyle w:val="Emphasis"/>
          <w:highlight w:val="green"/>
        </w:rPr>
        <w:t>issue a</w:t>
      </w:r>
      <w:r w:rsidRPr="00346DF6">
        <w:rPr>
          <w:rStyle w:val="Emphasis"/>
        </w:rPr>
        <w:t xml:space="preserve"> compulsory </w:t>
      </w:r>
      <w:r w:rsidRPr="002B5958">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34158D0C" w14:textId="77777777" w:rsidR="002141EF" w:rsidRPr="00346DF6" w:rsidRDefault="002141EF" w:rsidP="002141EF">
      <w:pPr>
        <w:rPr>
          <w:sz w:val="12"/>
        </w:rPr>
      </w:pPr>
      <w:r w:rsidRPr="00346DF6">
        <w:rPr>
          <w:rStyle w:val="StyleUnderline"/>
        </w:rPr>
        <w:t xml:space="preserve">Also </w:t>
      </w:r>
      <w:r w:rsidRPr="002B5958">
        <w:rPr>
          <w:rStyle w:val="StyleUnderline"/>
          <w:highlight w:val="green"/>
        </w:rPr>
        <w:t>conspicuously absent</w:t>
      </w:r>
      <w:r w:rsidRPr="00346DF6">
        <w:rPr>
          <w:rStyle w:val="StyleUnderline"/>
        </w:rPr>
        <w:t xml:space="preserve"> from the Doha Ministerial declaration </w:t>
      </w:r>
      <w:r w:rsidRPr="002B5958">
        <w:rPr>
          <w:rStyle w:val="StyleUnderline"/>
          <w:highlight w:val="green"/>
        </w:rPr>
        <w:t>is</w:t>
      </w:r>
      <w:r w:rsidRPr="00346DF6">
        <w:rPr>
          <w:rStyle w:val="StyleUnderline"/>
        </w:rPr>
        <w:t xml:space="preserve"> any </w:t>
      </w:r>
      <w:r w:rsidRPr="002B5958">
        <w:rPr>
          <w:rStyle w:val="StyleUnderline"/>
          <w:highlight w:val="green"/>
        </w:rPr>
        <w:t>language addressing the rights of countries who take advantage of</w:t>
      </w:r>
      <w:r w:rsidRPr="00346DF6">
        <w:rPr>
          <w:rStyle w:val="StyleUnderline"/>
        </w:rPr>
        <w:t xml:space="preserve"> these </w:t>
      </w:r>
      <w:r w:rsidRPr="002B5958">
        <w:rPr>
          <w:rStyle w:val="StyleUnderline"/>
          <w:highlight w:val="green"/>
        </w:rPr>
        <w:t>flexibilities and remain free from</w:t>
      </w:r>
      <w:r w:rsidRPr="00346DF6">
        <w:rPr>
          <w:rStyle w:val="StyleUnderline"/>
        </w:rPr>
        <w:t xml:space="preserve"> bilateral </w:t>
      </w:r>
      <w:r w:rsidRPr="002B5958">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2B5958">
        <w:rPr>
          <w:rStyle w:val="StyleUnderline"/>
          <w:highlight w:val="green"/>
        </w:rPr>
        <w:t>if the US</w:t>
      </w:r>
      <w:r w:rsidRPr="00346DF6">
        <w:rPr>
          <w:rStyle w:val="StyleUnderline"/>
        </w:rPr>
        <w:t xml:space="preserve"> chooses to </w:t>
      </w:r>
      <w:r w:rsidRPr="002B5958">
        <w:rPr>
          <w:rStyle w:val="StyleUnderline"/>
          <w:highlight w:val="green"/>
        </w:rPr>
        <w:t>impose sanctions</w:t>
      </w:r>
      <w:r w:rsidRPr="00346DF6">
        <w:rPr>
          <w:rStyle w:val="StyleUnderline"/>
        </w:rPr>
        <w:t xml:space="preserve"> on a country </w:t>
      </w:r>
      <w:r w:rsidRPr="002B5958">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2B5958">
        <w:rPr>
          <w:rStyle w:val="StyleUnderline"/>
          <w:highlight w:val="green"/>
        </w:rPr>
        <w:t>this doesn’t</w:t>
      </w:r>
      <w:r w:rsidRPr="00346DF6">
        <w:rPr>
          <w:rStyle w:val="StyleUnderline"/>
        </w:rPr>
        <w:t xml:space="preserve"> necessarily </w:t>
      </w:r>
      <w:r w:rsidRPr="002B5958">
        <w:rPr>
          <w:rStyle w:val="StyleUnderline"/>
          <w:highlight w:val="green"/>
        </w:rPr>
        <w:t>concern</w:t>
      </w:r>
      <w:r w:rsidRPr="00346DF6">
        <w:rPr>
          <w:rStyle w:val="StyleUnderline"/>
        </w:rPr>
        <w:t xml:space="preserve"> the </w:t>
      </w:r>
      <w:r w:rsidRPr="002B5958">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2B5958">
        <w:rPr>
          <w:rStyle w:val="StyleUnderline"/>
          <w:highlight w:val="green"/>
        </w:rPr>
        <w:t>absence of</w:t>
      </w:r>
      <w:r w:rsidRPr="00346DF6">
        <w:rPr>
          <w:rStyle w:val="StyleUnderline"/>
        </w:rPr>
        <w:t xml:space="preserve"> any language </w:t>
      </w:r>
      <w:r w:rsidRPr="002B5958">
        <w:rPr>
          <w:rStyle w:val="StyleUnderline"/>
          <w:highlight w:val="green"/>
        </w:rPr>
        <w:t>addressing this</w:t>
      </w:r>
      <w:r w:rsidRPr="00346DF6">
        <w:rPr>
          <w:rStyle w:val="StyleUnderline"/>
        </w:rPr>
        <w:t xml:space="preserve"> issue </w:t>
      </w:r>
      <w:r w:rsidRPr="002B5958">
        <w:rPr>
          <w:rStyle w:val="StyleUnderline"/>
          <w:highlight w:val="green"/>
        </w:rPr>
        <w:t>appears</w:t>
      </w:r>
      <w:r w:rsidRPr="00346DF6">
        <w:rPr>
          <w:rStyle w:val="StyleUnderline"/>
        </w:rPr>
        <w:t xml:space="preserve"> to be </w:t>
      </w:r>
      <w:r w:rsidRPr="002B5958">
        <w:rPr>
          <w:rStyle w:val="StyleUnderline"/>
          <w:highlight w:val="green"/>
        </w:rPr>
        <w:t>a hard concession to the interests of</w:t>
      </w:r>
      <w:r w:rsidRPr="00346DF6">
        <w:rPr>
          <w:rStyle w:val="StyleUnderline"/>
        </w:rPr>
        <w:t xml:space="preserve"> the </w:t>
      </w:r>
      <w:r w:rsidRPr="002B5958">
        <w:rPr>
          <w:rStyle w:val="StyleUnderline"/>
          <w:highlight w:val="green"/>
        </w:rPr>
        <w:t>US and</w:t>
      </w:r>
      <w:r w:rsidRPr="00346DF6">
        <w:rPr>
          <w:rStyle w:val="StyleUnderline"/>
        </w:rPr>
        <w:t xml:space="preserve"> its </w:t>
      </w:r>
      <w:r w:rsidRPr="002B5958">
        <w:rPr>
          <w:rStyle w:val="StyleUnderline"/>
          <w:highlight w:val="green"/>
        </w:rPr>
        <w:t>allies</w:t>
      </w:r>
      <w:r w:rsidRPr="00346DF6">
        <w:rPr>
          <w:sz w:val="12"/>
        </w:rPr>
        <w:t xml:space="preserve">, </w:t>
      </w:r>
      <w:r w:rsidRPr="002B5958">
        <w:rPr>
          <w:rStyle w:val="StyleUnderline"/>
          <w:highlight w:val="green"/>
        </w:rPr>
        <w:t>allowing them to</w:t>
      </w:r>
      <w:r w:rsidRPr="00346DF6">
        <w:rPr>
          <w:rStyle w:val="StyleUnderline"/>
        </w:rPr>
        <w:t xml:space="preserve"> continue </w:t>
      </w:r>
      <w:r w:rsidRPr="002B5958">
        <w:rPr>
          <w:rStyle w:val="StyleUnderline"/>
          <w:highlight w:val="green"/>
        </w:rPr>
        <w:t>hold</w:t>
      </w:r>
      <w:r w:rsidRPr="00346DF6">
        <w:rPr>
          <w:sz w:val="12"/>
        </w:rPr>
        <w:t xml:space="preserve">ing </w:t>
      </w:r>
      <w:r w:rsidRPr="00346DF6">
        <w:rPr>
          <w:rStyle w:val="StyleUnderline"/>
        </w:rPr>
        <w:t xml:space="preserve">the threat of economic </w:t>
      </w:r>
      <w:r w:rsidRPr="002B5958">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39D0DF6D" w14:textId="77777777" w:rsidR="002141EF" w:rsidRPr="00346DF6" w:rsidRDefault="002141EF" w:rsidP="002141EF">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2B5958">
        <w:rPr>
          <w:rStyle w:val="StyleUnderline"/>
          <w:highlight w:val="green"/>
        </w:rPr>
        <w:t>WTO policy in general</w:t>
      </w:r>
      <w:r w:rsidRPr="00346DF6">
        <w:rPr>
          <w:sz w:val="12"/>
        </w:rPr>
        <w:t>—</w:t>
      </w:r>
      <w:r w:rsidRPr="002B5958">
        <w:rPr>
          <w:rStyle w:val="StyleUnderline"/>
          <w:highlight w:val="green"/>
        </w:rPr>
        <w:t>are constrained by</w:t>
      </w:r>
      <w:r w:rsidRPr="00346DF6">
        <w:rPr>
          <w:rStyle w:val="StyleUnderline"/>
        </w:rPr>
        <w:t xml:space="preserve"> the </w:t>
      </w:r>
      <w:r w:rsidRPr="002B5958">
        <w:rPr>
          <w:rStyle w:val="StyleUnderline"/>
          <w:highlight w:val="green"/>
        </w:rPr>
        <w:t>demand for</w:t>
      </w:r>
      <w:r w:rsidRPr="00346DF6">
        <w:rPr>
          <w:rStyle w:val="StyleUnderline"/>
        </w:rPr>
        <w:t xml:space="preserve"> a standard of </w:t>
      </w:r>
      <w:r w:rsidRPr="002B5958">
        <w:rPr>
          <w:rStyle w:val="StyleUnderline"/>
          <w:highlight w:val="green"/>
        </w:rPr>
        <w:t>consensus which leaves</w:t>
      </w:r>
      <w:r w:rsidRPr="00346DF6">
        <w:rPr>
          <w:rStyle w:val="StyleUnderline"/>
        </w:rPr>
        <w:t xml:space="preserve"> ultimate </w:t>
      </w:r>
      <w:r w:rsidRPr="002B5958">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1D1818D0" w14:textId="77777777" w:rsidR="002141EF" w:rsidRPr="00346DF6" w:rsidRDefault="002141EF" w:rsidP="002141EF">
      <w:pPr>
        <w:rPr>
          <w:sz w:val="8"/>
          <w:szCs w:val="8"/>
        </w:rPr>
      </w:pPr>
      <w:r w:rsidRPr="00346DF6">
        <w:rPr>
          <w:sz w:val="8"/>
          <w:szCs w:val="8"/>
        </w:rPr>
        <w:t xml:space="preserve">‌Conclusion: What does “Balance” Do? </w:t>
      </w:r>
    </w:p>
    <w:p w14:paraId="407CB097" w14:textId="77777777" w:rsidR="002141EF" w:rsidRPr="00346DF6" w:rsidRDefault="002141EF" w:rsidP="002141EF">
      <w:pPr>
        <w:rPr>
          <w:sz w:val="12"/>
        </w:rPr>
      </w:pPr>
      <w:r w:rsidRPr="009F23F2">
        <w:rPr>
          <w:rStyle w:val="Emphasis"/>
        </w:rPr>
        <w:t xml:space="preserve">In the context of the Doha round of negotiations, we see </w:t>
      </w:r>
      <w:r w:rsidRPr="002B5958">
        <w:rPr>
          <w:rStyle w:val="Emphasis"/>
          <w:highlight w:val="green"/>
        </w:rPr>
        <w:t>“balance” invoked towards several</w:t>
      </w:r>
      <w:r w:rsidRPr="009F23F2">
        <w:rPr>
          <w:rStyle w:val="Emphasis"/>
        </w:rPr>
        <w:t xml:space="preserve"> different </w:t>
      </w:r>
      <w:r w:rsidRPr="002B5958">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2B5958">
        <w:rPr>
          <w:rStyle w:val="StyleUnderline"/>
          <w:highlight w:val="green"/>
        </w:rPr>
        <w:t>WTO officers</w:t>
      </w:r>
      <w:r w:rsidRPr="00346DF6">
        <w:rPr>
          <w:rStyle w:val="StyleUnderline"/>
        </w:rPr>
        <w:t xml:space="preserve"> and the EU’s position paper </w:t>
      </w:r>
      <w:r w:rsidRPr="002B5958">
        <w:rPr>
          <w:rStyle w:val="StyleUnderline"/>
          <w:highlight w:val="green"/>
        </w:rPr>
        <w:t>invoked “balance” to build</w:t>
      </w:r>
      <w:r w:rsidRPr="00346DF6">
        <w:rPr>
          <w:rStyle w:val="StyleUnderline"/>
        </w:rPr>
        <w:t xml:space="preserve"> </w:t>
      </w:r>
      <w:r w:rsidRPr="002B5958">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2B5958">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0A8F6035" w14:textId="77777777" w:rsidR="002141EF" w:rsidRPr="0041715F" w:rsidRDefault="002141EF" w:rsidP="002141EF">
      <w:pPr>
        <w:rPr>
          <w:sz w:val="12"/>
        </w:rPr>
      </w:pPr>
      <w:r w:rsidRPr="002B5958">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2B5958">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2B5958">
        <w:rPr>
          <w:rStyle w:val="Emphasis"/>
          <w:highlight w:val="green"/>
        </w:rPr>
        <w:t>all</w:t>
      </w:r>
      <w:r w:rsidRPr="00346DF6">
        <w:rPr>
          <w:rStyle w:val="Emphasis"/>
        </w:rPr>
        <w:t xml:space="preserve">, in some way, </w:t>
      </w:r>
      <w:r w:rsidRPr="002B5958">
        <w:rPr>
          <w:rStyle w:val="Emphasis"/>
          <w:highlight w:val="green"/>
        </w:rPr>
        <w:t>reinforce</w:t>
      </w:r>
      <w:r w:rsidRPr="009F23F2">
        <w:rPr>
          <w:rStyle w:val="Emphasis"/>
        </w:rPr>
        <w:t xml:space="preserve"> the </w:t>
      </w:r>
      <w:r w:rsidRPr="002B5958">
        <w:rPr>
          <w:rStyle w:val="Emphasis"/>
          <w:highlight w:val="green"/>
        </w:rPr>
        <w:t>legitimacy of</w:t>
      </w:r>
      <w:r w:rsidRPr="00346DF6">
        <w:rPr>
          <w:rStyle w:val="Emphasis"/>
        </w:rPr>
        <w:t xml:space="preserve"> the TRIPS agreement and</w:t>
      </w:r>
      <w:r w:rsidRPr="009F23F2">
        <w:rPr>
          <w:rStyle w:val="Emphasis"/>
        </w:rPr>
        <w:t xml:space="preserve"> </w:t>
      </w:r>
      <w:r w:rsidRPr="002B5958">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2B5958">
        <w:rPr>
          <w:rStyle w:val="StyleUnderline"/>
          <w:highlight w:val="green"/>
        </w:rPr>
        <w:t>Instead of challenging</w:t>
      </w:r>
      <w:r w:rsidRPr="00346DF6">
        <w:rPr>
          <w:rStyle w:val="StyleUnderline"/>
        </w:rPr>
        <w:t xml:space="preserve"> the </w:t>
      </w:r>
      <w:r w:rsidRPr="002B5958">
        <w:rPr>
          <w:rStyle w:val="StyleUnderline"/>
          <w:highlight w:val="green"/>
        </w:rPr>
        <w:t>legitimacy of the WTO</w:t>
      </w:r>
      <w:r w:rsidRPr="00346DF6">
        <w:rPr>
          <w:rStyle w:val="StyleUnderline"/>
        </w:rPr>
        <w:t xml:space="preserve"> and TRIPS agreements, the governments of </w:t>
      </w:r>
      <w:r w:rsidRPr="002B5958">
        <w:rPr>
          <w:rStyle w:val="StyleUnderline"/>
          <w:highlight w:val="green"/>
        </w:rPr>
        <w:t>the Global South are claiming</w:t>
      </w:r>
      <w:r w:rsidRPr="00346DF6">
        <w:rPr>
          <w:rStyle w:val="StyleUnderline"/>
        </w:rPr>
        <w:t xml:space="preserve"> that </w:t>
      </w:r>
      <w:r w:rsidRPr="002B5958">
        <w:rPr>
          <w:rStyle w:val="StyleUnderline"/>
          <w:highlight w:val="green"/>
        </w:rPr>
        <w:t>legitimacy for themselves</w:t>
      </w:r>
      <w:r w:rsidRPr="00346DF6">
        <w:rPr>
          <w:rStyle w:val="StyleUnderline"/>
        </w:rPr>
        <w:t xml:space="preserve"> in a counter-colonial push </w:t>
      </w:r>
      <w:r w:rsidRPr="002B5958">
        <w:rPr>
          <w:rStyle w:val="StyleUnderline"/>
          <w:highlight w:val="green"/>
        </w:rPr>
        <w:t>to assert themselves as equal governors</w:t>
      </w:r>
      <w:r w:rsidRPr="00346DF6">
        <w:rPr>
          <w:rStyle w:val="StyleUnderline"/>
        </w:rPr>
        <w:t xml:space="preserve"> and rightsholder </w:t>
      </w:r>
      <w:r w:rsidRPr="002B5958">
        <w:rPr>
          <w:rStyle w:val="StyleUnderline"/>
          <w:highlight w:val="green"/>
        </w:rPr>
        <w:t>of the neo-liberal</w:t>
      </w:r>
      <w:r w:rsidRPr="00346DF6">
        <w:rPr>
          <w:rStyle w:val="StyleUnderline"/>
        </w:rPr>
        <w:t xml:space="preserve"> world </w:t>
      </w:r>
      <w:r w:rsidRPr="002B5958">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396A9271" w14:textId="77777777" w:rsidR="002141EF" w:rsidRDefault="002141EF" w:rsidP="002141EF"/>
    <w:p w14:paraId="4880D3F0" w14:textId="77777777" w:rsidR="002141EF" w:rsidRDefault="002141EF" w:rsidP="002141EF">
      <w:pPr>
        <w:pStyle w:val="Heading4"/>
      </w:pPr>
      <w:r>
        <w:t xml:space="preserve">Their fetishization of small firms as a source of innovation endorses a </w:t>
      </w:r>
      <w:r w:rsidRPr="006C2216">
        <w:rPr>
          <w:u w:val="single"/>
        </w:rPr>
        <w:t>reactionary petit bourgeois</w:t>
      </w:r>
      <w:r>
        <w:rPr>
          <w:u w:val="single"/>
        </w:rPr>
        <w:t>ie</w:t>
      </w:r>
      <w:r w:rsidRPr="006C2216">
        <w:rPr>
          <w:u w:val="single"/>
        </w:rPr>
        <w:t xml:space="preserve"> class</w:t>
      </w:r>
      <w:r>
        <w:t xml:space="preserve"> that devolves into </w:t>
      </w:r>
      <w:r w:rsidRPr="006C2216">
        <w:rPr>
          <w:u w:val="single"/>
        </w:rPr>
        <w:t>fascism</w:t>
      </w:r>
      <w:r>
        <w:t>.</w:t>
      </w:r>
    </w:p>
    <w:p w14:paraId="114F84B1" w14:textId="77777777" w:rsidR="002141EF" w:rsidRPr="002A2FE2" w:rsidRDefault="002141EF" w:rsidP="002141EF">
      <w:pPr>
        <w:pStyle w:val="ListParagraph"/>
        <w:numPr>
          <w:ilvl w:val="0"/>
          <w:numId w:val="12"/>
        </w:numPr>
      </w:pPr>
      <w:r>
        <w:t xml:space="preserve">SME = </w:t>
      </w:r>
      <w:r w:rsidRPr="002A2FE2">
        <w:t xml:space="preserve"> small and medium-sized enterprises</w:t>
      </w:r>
    </w:p>
    <w:p w14:paraId="32A2405C" w14:textId="77777777" w:rsidR="002141EF" w:rsidRPr="00477AB7" w:rsidRDefault="002141EF" w:rsidP="002141EF">
      <w:r w:rsidRPr="00477AB7">
        <w:rPr>
          <w:rStyle w:val="Style13ptBold"/>
        </w:rPr>
        <w:t>Kohl 21</w:t>
      </w:r>
      <w:r>
        <w:t xml:space="preserve"> – </w:t>
      </w:r>
      <w:r w:rsidRPr="00477AB7">
        <w:t xml:space="preserve">researcher in comparative political economy and economic sociology at the Max-Planck Institute for the Study of Societies </w:t>
      </w:r>
      <w:r>
        <w:t>[</w:t>
      </w:r>
      <w:r w:rsidRPr="00477AB7">
        <w:t>Sebastian Kohl and Timur Ergen</w:t>
      </w:r>
      <w:r>
        <w:t>,</w:t>
      </w:r>
      <w:r w:rsidRPr="00477AB7">
        <w:t xml:space="preserve"> </w:t>
      </w:r>
      <w:r>
        <w:t>“</w:t>
      </w:r>
      <w:r w:rsidRPr="00477AB7">
        <w:t>Is More Mittelstand the Answer? Firm Size and the Crisis of Democratic Capitalism</w:t>
      </w:r>
      <w:r>
        <w:t xml:space="preserve">,” 06/17/21, </w:t>
      </w:r>
      <w:r w:rsidRPr="00477AB7">
        <w:rPr>
          <w:i/>
          <w:iCs/>
        </w:rPr>
        <w:t>Analyse &amp; Kritik</w:t>
      </w:r>
      <w:r>
        <w:t xml:space="preserve">, Vol. 43, Issue 1, </w:t>
      </w:r>
      <w:r w:rsidRPr="00477AB7">
        <w:t>https://doi.org/10.1515/auk-2021-0004</w:t>
      </w:r>
      <w:r>
        <w:t>]</w:t>
      </w:r>
    </w:p>
    <w:p w14:paraId="158BDCE5" w14:textId="77777777" w:rsidR="002141EF" w:rsidRPr="002A2FE2" w:rsidRDefault="002141EF" w:rsidP="002141EF">
      <w:pPr>
        <w:rPr>
          <w:sz w:val="16"/>
          <w:szCs w:val="16"/>
        </w:rPr>
      </w:pPr>
      <w:r w:rsidRPr="002A2FE2">
        <w:rPr>
          <w:sz w:val="16"/>
          <w:szCs w:val="16"/>
        </w:rPr>
        <w:t>3.2 Small firms as guarantor of equal societies?</w:t>
      </w:r>
    </w:p>
    <w:p w14:paraId="31A5FE01" w14:textId="77777777" w:rsidR="002141EF" w:rsidRPr="00FE656D" w:rsidRDefault="002141EF" w:rsidP="002141EF">
      <w:pPr>
        <w:rPr>
          <w:sz w:val="16"/>
        </w:rPr>
      </w:pPr>
      <w:r w:rsidRPr="002A2FE2">
        <w:rPr>
          <w:rStyle w:val="StyleUnderline"/>
        </w:rPr>
        <w:t>In the SME ideal</w:t>
      </w:r>
      <w:r w:rsidRPr="00FE656D">
        <w:rPr>
          <w:sz w:val="16"/>
        </w:rPr>
        <w:t xml:space="preserve"> as described above, </w:t>
      </w:r>
      <w:r w:rsidRPr="00FE656D">
        <w:rPr>
          <w:rStyle w:val="StyleUnderline"/>
        </w:rPr>
        <w:t xml:space="preserve">the removal of economic concentration is seen as a path towards </w:t>
      </w:r>
      <w:r w:rsidRPr="00FE656D">
        <w:rPr>
          <w:rStyle w:val="Emphasis"/>
        </w:rPr>
        <w:t>more equal societies</w:t>
      </w:r>
      <w:r w:rsidRPr="00FE656D">
        <w:rPr>
          <w:sz w:val="16"/>
        </w:rPr>
        <w:t xml:space="preserve">, while proponents of SME-based economies highlight the equality associated with widespread business ownership. Most prominently perhaps, </w:t>
      </w:r>
      <w:r w:rsidRPr="000838DE">
        <w:rPr>
          <w:rStyle w:val="StyleUnderline"/>
          <w:highlight w:val="green"/>
        </w:rPr>
        <w:t>deconcentration as</w:t>
      </w:r>
      <w:r w:rsidRPr="00E629EA">
        <w:rPr>
          <w:rStyle w:val="StyleUnderline"/>
        </w:rPr>
        <w:t xml:space="preserve"> a </w:t>
      </w:r>
      <w:r w:rsidRPr="000838DE">
        <w:rPr>
          <w:rStyle w:val="StyleUnderline"/>
          <w:highlight w:val="green"/>
        </w:rPr>
        <w:t>redistributional agenda was at the core of</w:t>
      </w:r>
      <w:r w:rsidRPr="00FE656D">
        <w:rPr>
          <w:rStyle w:val="StyleUnderline"/>
        </w:rPr>
        <w:t xml:space="preserve"> </w:t>
      </w:r>
      <w:r w:rsidRPr="00FE656D">
        <w:rPr>
          <w:rStyle w:val="Emphasis"/>
        </w:rPr>
        <w:t xml:space="preserve">German </w:t>
      </w:r>
      <w:r w:rsidRPr="000838DE">
        <w:rPr>
          <w:rStyle w:val="Emphasis"/>
          <w:highlight w:val="green"/>
        </w:rPr>
        <w:t>ordoliberals’</w:t>
      </w:r>
      <w:r w:rsidRPr="00FE656D">
        <w:rPr>
          <w:rStyle w:val="Emphasis"/>
        </w:rPr>
        <w:t xml:space="preserve"> postwar </w:t>
      </w:r>
      <w:r w:rsidRPr="000838DE">
        <w:rPr>
          <w:rStyle w:val="Emphasis"/>
          <w:highlight w:val="green"/>
        </w:rPr>
        <w:t>efforts</w:t>
      </w:r>
      <w:r w:rsidRPr="000838DE">
        <w:rPr>
          <w:rStyle w:val="StyleUnderline"/>
          <w:highlight w:val="green"/>
        </w:rPr>
        <w:t xml:space="preserve"> to </w:t>
      </w:r>
      <w:r w:rsidRPr="00E629EA">
        <w:rPr>
          <w:rStyle w:val="StyleUnderline"/>
        </w:rPr>
        <w:t>use deconcentration</w:t>
      </w:r>
      <w:r w:rsidRPr="00FE656D">
        <w:rPr>
          <w:rStyle w:val="StyleUnderline"/>
        </w:rPr>
        <w:t xml:space="preserve"> as a tool </w:t>
      </w:r>
      <w:r w:rsidRPr="00E629EA">
        <w:rPr>
          <w:rStyle w:val="StyleUnderline"/>
        </w:rPr>
        <w:t xml:space="preserve">to </w:t>
      </w:r>
      <w:r w:rsidRPr="00E629EA">
        <w:rPr>
          <w:rStyle w:val="StyleUnderline"/>
          <w:highlight w:val="green"/>
        </w:rPr>
        <w:t xml:space="preserve">create </w:t>
      </w:r>
      <w:r w:rsidRPr="000838DE">
        <w:rPr>
          <w:rStyle w:val="Emphasis"/>
          <w:highlight w:val="green"/>
        </w:rPr>
        <w:t>mass support for</w:t>
      </w:r>
      <w:r w:rsidRPr="00FE656D">
        <w:rPr>
          <w:rStyle w:val="Emphasis"/>
        </w:rPr>
        <w:t xml:space="preserve"> democratic </w:t>
      </w:r>
      <w:r w:rsidRPr="000838DE">
        <w:rPr>
          <w:rStyle w:val="Emphasis"/>
          <w:highlight w:val="green"/>
        </w:rPr>
        <w:t>capitalism</w:t>
      </w:r>
      <w:r w:rsidRPr="00FE656D">
        <w:rPr>
          <w:rStyle w:val="Emphasis"/>
        </w:rPr>
        <w:t>.</w:t>
      </w:r>
      <w:r w:rsidRPr="00FE656D">
        <w:rPr>
          <w:sz w:val="16"/>
        </w:rPr>
        <w:t xml:space="preserve"> In the words of their leading figure, minister of economic affairs and later chancellor Ludwig Erhard, establishing a competitive order was meant to end extreme social inequalities, to “once and for all overcome the traditional conservative social structure through mass purchasing power” (Erhard 1957, 7). The view </w:t>
      </w:r>
      <w:r w:rsidRPr="00FE656D">
        <w:rPr>
          <w:rStyle w:val="StyleUnderline"/>
        </w:rPr>
        <w:t xml:space="preserve">that social inequalities are ultimately caused by </w:t>
      </w:r>
      <w:r w:rsidRPr="00FE656D">
        <w:rPr>
          <w:rStyle w:val="Emphasis"/>
        </w:rPr>
        <w:t>deficiencies of an economy’s competitive order</w:t>
      </w:r>
      <w:r w:rsidRPr="00FE656D">
        <w:rPr>
          <w:rStyle w:val="StyleUnderline"/>
        </w:rPr>
        <w:t xml:space="preserve"> has</w:t>
      </w:r>
      <w:r w:rsidRPr="00FE656D">
        <w:rPr>
          <w:sz w:val="16"/>
        </w:rPr>
        <w:t xml:space="preserve"> recently </w:t>
      </w:r>
      <w:r w:rsidRPr="00FE656D">
        <w:rPr>
          <w:rStyle w:val="StyleUnderline"/>
        </w:rPr>
        <w:t xml:space="preserve">also been termed the </w:t>
      </w:r>
      <w:r w:rsidRPr="00FE656D">
        <w:rPr>
          <w:rStyle w:val="Emphasis"/>
        </w:rPr>
        <w:t>‘monopoly regressivity’ view</w:t>
      </w:r>
      <w:r w:rsidRPr="00FE656D">
        <w:rPr>
          <w:sz w:val="16"/>
        </w:rPr>
        <w:t xml:space="preserve">, i.e., the idea that more economic concentration leads to regressive (wealth) distributions and that antitrust could curb inequality (c.f. Baker/Salop 2015). At least on the face of it, in a cross-section of OECD countries and beyond, </w:t>
      </w:r>
      <w:r w:rsidRPr="000838DE">
        <w:rPr>
          <w:rStyle w:val="StyleUnderline"/>
          <w:highlight w:val="green"/>
        </w:rPr>
        <w:t xml:space="preserve">there is </w:t>
      </w:r>
      <w:r w:rsidRPr="000838DE">
        <w:rPr>
          <w:rStyle w:val="Emphasis"/>
          <w:highlight w:val="green"/>
        </w:rPr>
        <w:t>not a</w:t>
      </w:r>
      <w:r w:rsidRPr="00FE656D">
        <w:rPr>
          <w:sz w:val="16"/>
        </w:rPr>
        <w:t xml:space="preserve"> clearly </w:t>
      </w:r>
      <w:r w:rsidRPr="000838DE">
        <w:rPr>
          <w:rStyle w:val="Emphasis"/>
          <w:highlight w:val="green"/>
        </w:rPr>
        <w:t>negative association of</w:t>
      </w:r>
      <w:r w:rsidRPr="00FE656D">
        <w:rPr>
          <w:sz w:val="16"/>
        </w:rPr>
        <w:t xml:space="preserve"> countries’ </w:t>
      </w:r>
      <w:r w:rsidRPr="000838DE">
        <w:rPr>
          <w:rStyle w:val="Emphasis"/>
          <w:highlight w:val="green"/>
        </w:rPr>
        <w:t>Gini coefficients and</w:t>
      </w:r>
      <w:r w:rsidRPr="00FE656D">
        <w:rPr>
          <w:sz w:val="16"/>
        </w:rPr>
        <w:t xml:space="preserve"> the prominence of </w:t>
      </w:r>
      <w:r w:rsidRPr="000838DE">
        <w:rPr>
          <w:rStyle w:val="Emphasis"/>
          <w:highlight w:val="green"/>
        </w:rPr>
        <w:t>SMEs</w:t>
      </w:r>
      <w:r w:rsidRPr="00FE656D">
        <w:rPr>
          <w:sz w:val="16"/>
        </w:rPr>
        <w:t xml:space="preserve"> in their employment figures (cf. Figure 2). Prima facie, </w:t>
      </w:r>
      <w:r w:rsidRPr="000838DE">
        <w:rPr>
          <w:rStyle w:val="StyleUnderline"/>
          <w:highlight w:val="green"/>
        </w:rPr>
        <w:t>the</w:t>
      </w:r>
      <w:r w:rsidRPr="00FE656D">
        <w:rPr>
          <w:rStyle w:val="StyleUnderline"/>
        </w:rPr>
        <w:t xml:space="preserve"> most </w:t>
      </w:r>
      <w:r w:rsidRPr="000838DE">
        <w:rPr>
          <w:rStyle w:val="StyleUnderline"/>
          <w:highlight w:val="green"/>
        </w:rPr>
        <w:t>recent rise in inequality</w:t>
      </w:r>
      <w:r w:rsidRPr="00FE656D">
        <w:rPr>
          <w:rStyle w:val="StyleUnderline"/>
        </w:rPr>
        <w:t xml:space="preserve"> of the past decades</w:t>
      </w:r>
      <w:r w:rsidRPr="00FE656D">
        <w:rPr>
          <w:sz w:val="16"/>
        </w:rPr>
        <w:t xml:space="preserve"> also </w:t>
      </w:r>
      <w:r w:rsidRPr="000838DE">
        <w:rPr>
          <w:rStyle w:val="Emphasis"/>
          <w:highlight w:val="green"/>
        </w:rPr>
        <w:t>does not square</w:t>
      </w:r>
      <w:r w:rsidRPr="000838DE">
        <w:rPr>
          <w:rStyle w:val="StyleUnderline"/>
          <w:highlight w:val="green"/>
        </w:rPr>
        <w:t xml:space="preserve"> with</w:t>
      </w:r>
      <w:r w:rsidRPr="00FE656D">
        <w:rPr>
          <w:rStyle w:val="StyleUnderline"/>
        </w:rPr>
        <w:t xml:space="preserve"> the fact that </w:t>
      </w:r>
      <w:r w:rsidRPr="000838DE">
        <w:rPr>
          <w:rStyle w:val="Emphasis"/>
          <w:highlight w:val="green"/>
        </w:rPr>
        <w:t>competition</w:t>
      </w:r>
      <w:r w:rsidRPr="000838DE">
        <w:rPr>
          <w:rStyle w:val="StyleUnderline"/>
          <w:highlight w:val="green"/>
        </w:rPr>
        <w:t xml:space="preserve"> </w:t>
      </w:r>
      <w:r w:rsidRPr="000838DE">
        <w:rPr>
          <w:rStyle w:val="Emphasis"/>
          <w:highlight w:val="green"/>
        </w:rPr>
        <w:t>policy</w:t>
      </w:r>
      <w:r w:rsidRPr="00FE656D">
        <w:rPr>
          <w:rStyle w:val="StyleUnderline"/>
        </w:rPr>
        <w:t xml:space="preserve"> </w:t>
      </w:r>
      <w:r w:rsidRPr="00FE656D">
        <w:rPr>
          <w:rStyle w:val="Emphasis"/>
        </w:rPr>
        <w:t>authorities</w:t>
      </w:r>
      <w:r w:rsidRPr="00FE656D">
        <w:rPr>
          <w:rStyle w:val="StyleUnderline"/>
        </w:rPr>
        <w:t xml:space="preserve"> </w:t>
      </w:r>
      <w:r w:rsidRPr="000838DE">
        <w:rPr>
          <w:rStyle w:val="StyleUnderline"/>
          <w:highlight w:val="green"/>
        </w:rPr>
        <w:t xml:space="preserve">and </w:t>
      </w:r>
      <w:r w:rsidRPr="000838DE">
        <w:rPr>
          <w:rStyle w:val="Emphasis"/>
          <w:highlight w:val="green"/>
        </w:rPr>
        <w:t>legislation</w:t>
      </w:r>
      <w:r w:rsidRPr="00FE656D">
        <w:rPr>
          <w:sz w:val="16"/>
        </w:rPr>
        <w:t xml:space="preserve"> have </w:t>
      </w:r>
      <w:r w:rsidRPr="000838DE">
        <w:rPr>
          <w:rStyle w:val="Emphasis"/>
          <w:highlight w:val="green"/>
        </w:rPr>
        <w:t>spread</w:t>
      </w:r>
      <w:r w:rsidRPr="00FE656D">
        <w:rPr>
          <w:rStyle w:val="Emphasis"/>
        </w:rPr>
        <w:t xml:space="preserve"> across the world</w:t>
      </w:r>
      <w:r w:rsidRPr="00FE656D">
        <w:rPr>
          <w:rStyle w:val="StyleUnderline"/>
        </w:rPr>
        <w:t xml:space="preserve"> </w:t>
      </w:r>
      <w:r w:rsidRPr="000838DE">
        <w:rPr>
          <w:rStyle w:val="StyleUnderline"/>
          <w:highlight w:val="green"/>
        </w:rPr>
        <w:t xml:space="preserve">with </w:t>
      </w:r>
      <w:r w:rsidRPr="000838DE">
        <w:rPr>
          <w:rStyle w:val="Emphasis"/>
          <w:highlight w:val="green"/>
        </w:rPr>
        <w:t>growing</w:t>
      </w:r>
      <w:r w:rsidRPr="000838DE">
        <w:rPr>
          <w:rStyle w:val="StyleUnderline"/>
          <w:highlight w:val="green"/>
        </w:rPr>
        <w:t xml:space="preserve"> </w:t>
      </w:r>
      <w:r w:rsidRPr="000838DE">
        <w:rPr>
          <w:rStyle w:val="Emphasis"/>
          <w:highlight w:val="green"/>
        </w:rPr>
        <w:t>competencies</w:t>
      </w:r>
      <w:r w:rsidRPr="00FE656D">
        <w:rPr>
          <w:rStyle w:val="StyleUnderline"/>
        </w:rPr>
        <w:t xml:space="preserve"> since WWII</w:t>
      </w:r>
      <w:r w:rsidRPr="00FE656D">
        <w:rPr>
          <w:sz w:val="16"/>
        </w:rPr>
        <w:t xml:space="preserve"> (Bradford/Chilton 2018, 40).</w:t>
      </w:r>
    </w:p>
    <w:p w14:paraId="480E4AC6" w14:textId="77777777" w:rsidR="002141EF" w:rsidRDefault="002141EF" w:rsidP="002141EF">
      <w:r>
        <w:t>[Fig. 2 Omitted]</w:t>
      </w:r>
    </w:p>
    <w:p w14:paraId="675762AC" w14:textId="77777777" w:rsidR="002141EF" w:rsidRPr="000838DE" w:rsidRDefault="002141EF" w:rsidP="002141EF">
      <w:pPr>
        <w:rPr>
          <w:sz w:val="12"/>
          <w:szCs w:val="12"/>
        </w:rPr>
      </w:pPr>
      <w:r w:rsidRPr="000838DE">
        <w:rPr>
          <w:sz w:val="12"/>
          <w:szCs w:val="12"/>
        </w:rPr>
        <w:t>In the following, we discuss more fine-grained considerations of how inequality and market concentration can be empirically linked through three channels. First, less market concentration comes with the promise of lowering consumer prices such that the inequality of ‘disposable income’ could be reduced. This channel also highlights the importance of consumption for inequality debates, which traditionally tend to focus exclusively on income and capital. Economic inequality could hence also play a role on the consumer side of the budget or, in other words, the additional layer of inequality introduced by how differently people spend money on goods and services. Second, less market concentration may lead to the diffusion monopsonist buyers of labor power, which could improve labor’s bargaining power and income position. Third, less concentration comes with the promise that more households could be direct business owners themselves and thus participate in business rents at times when, in Piketty’s (2014) terms, r is greater than g. We examine the potential of these promises in the light of their internal logic and selected empirical evidence in turn.</w:t>
      </w:r>
    </w:p>
    <w:p w14:paraId="1E714B09" w14:textId="77777777" w:rsidR="002141EF" w:rsidRPr="000838DE" w:rsidRDefault="002141EF" w:rsidP="002141EF">
      <w:pPr>
        <w:rPr>
          <w:sz w:val="12"/>
          <w:szCs w:val="12"/>
        </w:rPr>
      </w:pPr>
      <w:r w:rsidRPr="000838DE">
        <w:rPr>
          <w:sz w:val="12"/>
          <w:szCs w:val="12"/>
        </w:rPr>
        <w:t>First, market concentration could impact inequality in a society through its effect on consumer prices, as monopoly prices are usually taken to be higher than prices emerging from a competitive setting. Prices are obviously lowered for all consumers equally at first, so that equality-changing effects can occur in two ways: first, a sector affected by deconcentrating tendencies produces goods which are only consumed by lower- or upper-income strata. If the high-end lobster industry is subject to a supply shock from tough antitrust action, it lowers high-end consumer prices and might even increase the disposable income inequality. The second, perhaps more common case, is when price changes occur in product lines for the many that have a differential relative impact on budgets. On the one hand, lower-income households have lower savings rates than higher-income households, so that rising consumer prices can be thought of as inherently regressive. On the other, poorer households tend to spend a larger share of their income on basic necessities (Engel’s law), so that price increases in these categories such as energy, food, health care, housing and communications affect lower strata of the income distribution disproportionately.</w:t>
      </w:r>
    </w:p>
    <w:p w14:paraId="7B5856FB" w14:textId="77777777" w:rsidR="002141EF" w:rsidRPr="000838DE" w:rsidRDefault="002141EF" w:rsidP="002141EF">
      <w:pPr>
        <w:rPr>
          <w:sz w:val="12"/>
          <w:szCs w:val="12"/>
        </w:rPr>
      </w:pPr>
      <w:r w:rsidRPr="000838DE">
        <w:rPr>
          <w:sz w:val="12"/>
          <w:szCs w:val="12"/>
        </w:rPr>
        <w:t>These issues have been studied in the literature on household-specific inflation rates and their impact. A recent comprehensive study, for instance, looked at the household income-specific inflation rates in the European Union (Gürer/Weichenrieder 2020): across 25 EU countries, the lowest income decile had an 11.2% higher inflation rate between 2001 and 2015 (or yearly 0.76 percentage points higher) than the top decile, which translates into an underestimation of the Gini of 0.04 points. For the currently highest expenditure item in average budgets—housing costs—a contemporary of Engel coined the term ‘Schwabian law,’ which refers to the regularity of proportionally higher rental housing expenses of lower-income households (Schwabe 1868). A recent study of German housing expenditure found that “the 50/10 ratio of net household income increases from 1.75 to 1.97 (by 22 percentage points, henceforth pp) between 1993 and 2013, the same ratio net of housing expenditures increases from 1.97 to 2.59 (by 62 pp)” (Dustmann/Fitzenberger/Zimmermann 2018, 1).</w:t>
      </w:r>
    </w:p>
    <w:p w14:paraId="070DDCAA" w14:textId="77777777" w:rsidR="002141EF" w:rsidRPr="000838DE" w:rsidRDefault="002141EF" w:rsidP="002141EF">
      <w:pPr>
        <w:rPr>
          <w:sz w:val="12"/>
          <w:szCs w:val="12"/>
        </w:rPr>
      </w:pPr>
      <w:r w:rsidRPr="000838DE">
        <w:rPr>
          <w:sz w:val="12"/>
          <w:szCs w:val="12"/>
        </w:rPr>
        <w:t>In fact, rent price control is one instrument experiencing a certain renaissance in contemporary debates, which mostly targets the biggest expenditure item in tenants’ household budget while simultaneously reducing capital incomes of, on average, richer landlords. A recent study shows that the combined effect of relatively strict rent control can lower the post-housing expenditure Gini by more than one percent, where the inequality-lowering effect through tenants’ budgets is higher than that through landlords’ diminished capital incomes (Kholodilin/Kohl 2021). In the historical long run, rent price controls—mentioned en passant by Piketty (2020, 436)—share a similar history with other inequality-depressing policies such as progressive income and wealth taxation: introduced in and around the world wars, they were part of the solidaristic package of policies that brought down inequality in the interwar and Fordist years. The liberalization of price controls since the 1970s, particularly in Anglophone countries, which returned to high degrees of free market pricing, coincided with the rise of new inequalities (Kholodilin/Kohl 2021).</w:t>
      </w:r>
    </w:p>
    <w:p w14:paraId="39D71470" w14:textId="77777777" w:rsidR="002141EF" w:rsidRPr="00FE656D" w:rsidRDefault="002141EF" w:rsidP="002141EF">
      <w:pPr>
        <w:rPr>
          <w:sz w:val="16"/>
        </w:rPr>
      </w:pPr>
      <w:r w:rsidRPr="00FE656D">
        <w:rPr>
          <w:sz w:val="16"/>
        </w:rPr>
        <w:t xml:space="preserve">Such examples imply that decreases in specific consumer prices through antitrust policies or other means, such as specific price controls, may have a certain inequality-decreasing potential, even if it fails to fight income inequality at its source. Practically, tackling income or wealth inequality on the consumption side generally faces the problem that prices and accompanying consumption taxes cannot directly target consumer groups by income or wealth deciles. Indirect taxes are therefore considered to be regressive. Using antitrust to curb prices faces a similar critique. Yet, even more basically, </w:t>
      </w:r>
      <w:r w:rsidRPr="000838DE">
        <w:rPr>
          <w:rStyle w:val="StyleUnderline"/>
          <w:highlight w:val="green"/>
        </w:rPr>
        <w:t>the evidence that antitrust</w:t>
      </w:r>
      <w:r w:rsidRPr="00FE656D">
        <w:rPr>
          <w:sz w:val="16"/>
        </w:rPr>
        <w:t xml:space="preserve"> action </w:t>
      </w:r>
      <w:r w:rsidRPr="000838DE">
        <w:rPr>
          <w:rStyle w:val="StyleUnderline"/>
          <w:highlight w:val="green"/>
        </w:rPr>
        <w:t>can reduce</w:t>
      </w:r>
      <w:r w:rsidRPr="00FE656D">
        <w:rPr>
          <w:rStyle w:val="StyleUnderline"/>
        </w:rPr>
        <w:t xml:space="preserve"> consumer </w:t>
      </w:r>
      <w:r w:rsidRPr="000838DE">
        <w:rPr>
          <w:rStyle w:val="StyleUnderline"/>
          <w:highlight w:val="green"/>
        </w:rPr>
        <w:t>prices is</w:t>
      </w:r>
      <w:r w:rsidRPr="000838DE">
        <w:rPr>
          <w:rStyle w:val="Emphasis"/>
          <w:highlight w:val="green"/>
        </w:rPr>
        <w:t xml:space="preserve"> at best mixed</w:t>
      </w:r>
      <w:r w:rsidRPr="00FE656D">
        <w:rPr>
          <w:sz w:val="16"/>
        </w:rPr>
        <w:t xml:space="preserve">. Conservative antitrust scholars have long been arguing that </w:t>
      </w:r>
      <w:r w:rsidRPr="000838DE">
        <w:rPr>
          <w:rStyle w:val="StyleUnderline"/>
        </w:rPr>
        <w:t>vigorous antitrust</w:t>
      </w:r>
      <w:r w:rsidRPr="00FE656D">
        <w:rPr>
          <w:rStyle w:val="StyleUnderline"/>
        </w:rPr>
        <w:t xml:space="preserve"> action in non-hard-core price-fixing cases</w:t>
      </w:r>
      <w:r w:rsidRPr="00FE656D">
        <w:rPr>
          <w:rStyle w:val="Emphasis"/>
        </w:rPr>
        <w:t xml:space="preserve"> rarely translates into</w:t>
      </w:r>
      <w:r w:rsidRPr="00FE656D">
        <w:rPr>
          <w:sz w:val="16"/>
        </w:rPr>
        <w:t xml:space="preserve"> short-term </w:t>
      </w:r>
      <w:r w:rsidRPr="00FE656D">
        <w:rPr>
          <w:rStyle w:val="Emphasis"/>
        </w:rPr>
        <w:t>consumer gains.</w:t>
      </w:r>
      <w:r w:rsidRPr="00FE656D">
        <w:rPr>
          <w:sz w:val="16"/>
        </w:rPr>
        <w:t xml:space="preserve"> Crandall and Winston (2003) present </w:t>
      </w:r>
      <w:r w:rsidRPr="00FE656D">
        <w:rPr>
          <w:rStyle w:val="StyleUnderline"/>
        </w:rPr>
        <w:t>a survey of available evidence</w:t>
      </w:r>
      <w:r w:rsidRPr="00FE656D">
        <w:rPr>
          <w:sz w:val="16"/>
        </w:rPr>
        <w:t xml:space="preserve"> which, for the authors,</w:t>
      </w:r>
      <w:r w:rsidRPr="00FE656D">
        <w:rPr>
          <w:rStyle w:val="StyleUnderline"/>
        </w:rPr>
        <w:t xml:space="preserve"> is a </w:t>
      </w:r>
      <w:r w:rsidRPr="00FE656D">
        <w:rPr>
          <w:rStyle w:val="Emphasis"/>
        </w:rPr>
        <w:t>sufficiently bad record</w:t>
      </w:r>
      <w:r w:rsidRPr="00FE656D">
        <w:rPr>
          <w:sz w:val="16"/>
        </w:rPr>
        <w:t xml:space="preserve"> as</w:t>
      </w:r>
      <w:r w:rsidRPr="00FE656D">
        <w:rPr>
          <w:rStyle w:val="StyleUnderline"/>
        </w:rPr>
        <w:t xml:space="preserve"> to suggest a reduction of antitrust policy to a necessary minimum. </w:t>
      </w:r>
      <w:r w:rsidRPr="00E629EA">
        <w:rPr>
          <w:rStyle w:val="StyleUnderline"/>
        </w:rPr>
        <w:t>A recent study</w:t>
      </w:r>
      <w:r w:rsidRPr="00FE656D">
        <w:rPr>
          <w:rStyle w:val="StyleUnderline"/>
        </w:rPr>
        <w:t xml:space="preserve"> of Spanish gas stations</w:t>
      </w:r>
      <w:r w:rsidRPr="00FE656D">
        <w:rPr>
          <w:sz w:val="16"/>
        </w:rPr>
        <w:t xml:space="preserve"> also </w:t>
      </w:r>
      <w:r w:rsidRPr="00E629EA">
        <w:rPr>
          <w:rStyle w:val="StyleUnderline"/>
        </w:rPr>
        <w:t>finds</w:t>
      </w:r>
      <w:r w:rsidRPr="00E629EA">
        <w:rPr>
          <w:rStyle w:val="Emphasis"/>
        </w:rPr>
        <w:t xml:space="preserve"> increased prices</w:t>
      </w:r>
      <w:r w:rsidRPr="00E629EA">
        <w:rPr>
          <w:rStyle w:val="StyleUnderline"/>
        </w:rPr>
        <w:t xml:space="preserve"> after</w:t>
      </w:r>
      <w:r w:rsidRPr="00FE656D">
        <w:rPr>
          <w:rStyle w:val="StyleUnderline"/>
        </w:rPr>
        <w:t xml:space="preserve"> heavy antitrust </w:t>
      </w:r>
      <w:r w:rsidRPr="00E629EA">
        <w:rPr>
          <w:rStyle w:val="StyleUnderline"/>
          <w:highlight w:val="green"/>
        </w:rPr>
        <w:t>fines</w:t>
      </w:r>
      <w:r w:rsidRPr="00FE656D">
        <w:rPr>
          <w:rStyle w:val="StyleUnderline"/>
        </w:rPr>
        <w:t xml:space="preserve">, </w:t>
      </w:r>
      <w:r w:rsidRPr="00E629EA">
        <w:rPr>
          <w:rStyle w:val="StyleUnderline"/>
        </w:rPr>
        <w:t>suggesting</w:t>
      </w:r>
      <w:r w:rsidRPr="00FE656D">
        <w:rPr>
          <w:sz w:val="16"/>
        </w:rPr>
        <w:t xml:space="preserve"> that </w:t>
      </w:r>
      <w:r w:rsidRPr="00FE656D">
        <w:rPr>
          <w:rStyle w:val="Emphasis"/>
        </w:rPr>
        <w:t xml:space="preserve">antitrust </w:t>
      </w:r>
      <w:r w:rsidRPr="00E629EA">
        <w:rPr>
          <w:rStyle w:val="Emphasis"/>
        </w:rPr>
        <w:t xml:space="preserve">consequences </w:t>
      </w:r>
      <w:r w:rsidRPr="000838DE">
        <w:rPr>
          <w:rStyle w:val="Emphasis"/>
          <w:highlight w:val="green"/>
        </w:rPr>
        <w:t>are</w:t>
      </w:r>
      <w:r w:rsidRPr="00FE656D">
        <w:rPr>
          <w:sz w:val="16"/>
        </w:rPr>
        <w:t xml:space="preserve"> basically </w:t>
      </w:r>
      <w:r w:rsidRPr="000838DE">
        <w:rPr>
          <w:rStyle w:val="Emphasis"/>
          <w:highlight w:val="green"/>
        </w:rPr>
        <w:t>paid for by consumers</w:t>
      </w:r>
      <w:r w:rsidRPr="00FE656D">
        <w:rPr>
          <w:sz w:val="16"/>
        </w:rPr>
        <w:t xml:space="preserve"> (González/Moral 2019). Even for the prosecution of hard-core price-fixing, empirical studies arrive at mixed results. “</w:t>
      </w:r>
      <w:r w:rsidRPr="00FE656D">
        <w:rPr>
          <w:rStyle w:val="StyleUnderline"/>
        </w:rPr>
        <w:t>There is little doubt</w:t>
      </w:r>
      <w:r w:rsidRPr="00FE656D">
        <w:rPr>
          <w:sz w:val="16"/>
        </w:rPr>
        <w:t xml:space="preserve">,” </w:t>
      </w:r>
      <w:r w:rsidRPr="00FE656D">
        <w:rPr>
          <w:rStyle w:val="StyleUnderline"/>
        </w:rPr>
        <w:t xml:space="preserve">concludes </w:t>
      </w:r>
      <w:r w:rsidRPr="00E629EA">
        <w:rPr>
          <w:rStyle w:val="StyleUnderline"/>
        </w:rPr>
        <w:t>a meta-study</w:t>
      </w:r>
      <w:r w:rsidRPr="00FE656D">
        <w:rPr>
          <w:rStyle w:val="StyleUnderline"/>
        </w:rPr>
        <w:t xml:space="preserve"> of 25 cases</w:t>
      </w:r>
      <w:r w:rsidRPr="00FE656D">
        <w:rPr>
          <w:sz w:val="16"/>
        </w:rPr>
        <w:t>, “</w:t>
      </w:r>
      <w:r w:rsidRPr="00FE656D">
        <w:rPr>
          <w:rStyle w:val="StyleUnderline"/>
        </w:rPr>
        <w:t>that</w:t>
      </w:r>
      <w:r w:rsidRPr="00FE656D">
        <w:rPr>
          <w:rStyle w:val="Emphasis"/>
        </w:rPr>
        <w:t xml:space="preserve"> </w:t>
      </w:r>
      <w:r w:rsidRPr="00E629EA">
        <w:rPr>
          <w:rStyle w:val="Emphasis"/>
        </w:rPr>
        <w:t>in the great majority of cases</w:t>
      </w:r>
      <w:r w:rsidRPr="00E629EA">
        <w:rPr>
          <w:rStyle w:val="StyleUnderline"/>
        </w:rPr>
        <w:t xml:space="preserve"> antitrust</w:t>
      </w:r>
      <w:r w:rsidRPr="00FE656D">
        <w:rPr>
          <w:rStyle w:val="StyleUnderline"/>
        </w:rPr>
        <w:t xml:space="preserve"> </w:t>
      </w:r>
      <w:r w:rsidRPr="00E629EA">
        <w:rPr>
          <w:rStyle w:val="StyleUnderline"/>
          <w:highlight w:val="green"/>
        </w:rPr>
        <w:t xml:space="preserve">prosecution </w:t>
      </w:r>
      <w:r w:rsidRPr="00E629EA">
        <w:rPr>
          <w:rStyle w:val="Emphasis"/>
          <w:highlight w:val="green"/>
        </w:rPr>
        <w:t>does</w:t>
      </w:r>
      <w:r w:rsidRPr="000838DE">
        <w:rPr>
          <w:rStyle w:val="Emphasis"/>
          <w:highlight w:val="green"/>
        </w:rPr>
        <w:t xml:space="preserve"> not lead to lower prices</w:t>
      </w:r>
      <w:r w:rsidRPr="00FE656D">
        <w:rPr>
          <w:sz w:val="16"/>
        </w:rPr>
        <w:t xml:space="preserve">” (Sproul 1993, 753). As long lamented by Chicago School antitrust scholars (Bork 1978), </w:t>
      </w:r>
      <w:r w:rsidRPr="00FE656D">
        <w:rPr>
          <w:rStyle w:val="StyleUnderline"/>
        </w:rPr>
        <w:t xml:space="preserve">antitrust </w:t>
      </w:r>
      <w:r w:rsidRPr="000838DE">
        <w:rPr>
          <w:rStyle w:val="StyleUnderline"/>
          <w:highlight w:val="green"/>
        </w:rPr>
        <w:t>remedies</w:t>
      </w:r>
      <w:r w:rsidRPr="00FE656D">
        <w:rPr>
          <w:sz w:val="16"/>
        </w:rPr>
        <w:t xml:space="preserve"> can </w:t>
      </w:r>
      <w:r w:rsidRPr="000838DE">
        <w:rPr>
          <w:rStyle w:val="Emphasis"/>
          <w:highlight w:val="green"/>
        </w:rPr>
        <w:t xml:space="preserve">destroy </w:t>
      </w:r>
      <w:r w:rsidRPr="00E629EA">
        <w:rPr>
          <w:rStyle w:val="Emphasis"/>
        </w:rPr>
        <w:t>positive</w:t>
      </w:r>
      <w:r w:rsidRPr="00FE656D">
        <w:rPr>
          <w:rStyle w:val="Emphasis"/>
        </w:rPr>
        <w:t xml:space="preserve"> price </w:t>
      </w:r>
      <w:r w:rsidRPr="00E629EA">
        <w:rPr>
          <w:rStyle w:val="Emphasis"/>
        </w:rPr>
        <w:t>effects of</w:t>
      </w:r>
      <w:r w:rsidRPr="00FE656D">
        <w:rPr>
          <w:rStyle w:val="Emphasis"/>
        </w:rPr>
        <w:t xml:space="preserve"> certain </w:t>
      </w:r>
      <w:r w:rsidRPr="000838DE">
        <w:rPr>
          <w:rStyle w:val="Emphasis"/>
          <w:highlight w:val="green"/>
        </w:rPr>
        <w:t>efficiency-increasing</w:t>
      </w:r>
      <w:r w:rsidRPr="00FE656D">
        <w:rPr>
          <w:rStyle w:val="Emphasis"/>
        </w:rPr>
        <w:t xml:space="preserve"> restrictive </w:t>
      </w:r>
      <w:r w:rsidRPr="000838DE">
        <w:rPr>
          <w:rStyle w:val="Emphasis"/>
          <w:highlight w:val="green"/>
        </w:rPr>
        <w:t>practices</w:t>
      </w:r>
      <w:r w:rsidRPr="00FE656D">
        <w:rPr>
          <w:sz w:val="16"/>
        </w:rPr>
        <w:t xml:space="preserve"> as a byproduct.</w:t>
      </w:r>
    </w:p>
    <w:p w14:paraId="0B37ECC0" w14:textId="77777777" w:rsidR="002141EF" w:rsidRPr="00FE656D" w:rsidRDefault="002141EF" w:rsidP="002141EF">
      <w:pPr>
        <w:rPr>
          <w:sz w:val="16"/>
        </w:rPr>
      </w:pPr>
      <w:r w:rsidRPr="00FE656D">
        <w:rPr>
          <w:sz w:val="16"/>
        </w:rPr>
        <w:t xml:space="preserve">Such </w:t>
      </w:r>
      <w:r w:rsidRPr="00FE656D">
        <w:rPr>
          <w:rStyle w:val="StyleUnderline"/>
        </w:rPr>
        <w:t>findings</w:t>
      </w:r>
      <w:r w:rsidRPr="00FE656D">
        <w:rPr>
          <w:sz w:val="16"/>
        </w:rPr>
        <w:t xml:space="preserve"> are in our view not sufficient to discredit antitrust action per se. They rather </w:t>
      </w:r>
      <w:r w:rsidRPr="00FE656D">
        <w:rPr>
          <w:rStyle w:val="Emphasis"/>
        </w:rPr>
        <w:t>cast doubt</w:t>
      </w:r>
      <w:r w:rsidRPr="00FE656D">
        <w:rPr>
          <w:rStyle w:val="StyleUnderline"/>
        </w:rPr>
        <w:t xml:space="preserve"> on the suitability of antitrust</w:t>
      </w:r>
      <w:r w:rsidRPr="00FE656D">
        <w:rPr>
          <w:sz w:val="16"/>
        </w:rPr>
        <w:t xml:space="preserve"> policies </w:t>
      </w:r>
      <w:r w:rsidRPr="00FE656D">
        <w:rPr>
          <w:rStyle w:val="StyleUnderline"/>
        </w:rPr>
        <w:t xml:space="preserve">for the </w:t>
      </w:r>
      <w:r w:rsidRPr="00FE656D">
        <w:rPr>
          <w:rStyle w:val="Emphasis"/>
        </w:rPr>
        <w:t>political</w:t>
      </w:r>
      <w:r w:rsidRPr="00FE656D">
        <w:rPr>
          <w:rStyle w:val="StyleUnderline"/>
        </w:rPr>
        <w:t xml:space="preserve"> </w:t>
      </w:r>
      <w:r w:rsidRPr="00FE656D">
        <w:rPr>
          <w:rStyle w:val="Emphasis"/>
        </w:rPr>
        <w:t>objective</w:t>
      </w:r>
      <w:r w:rsidRPr="00FE656D">
        <w:rPr>
          <w:rStyle w:val="StyleUnderline"/>
        </w:rPr>
        <w:t xml:space="preserve"> of</w:t>
      </w:r>
      <w:r w:rsidRPr="00FE656D">
        <w:rPr>
          <w:sz w:val="16"/>
        </w:rPr>
        <w:t xml:space="preserve"> increasing consumer welfare or, by extension, </w:t>
      </w:r>
      <w:r w:rsidRPr="00FE656D">
        <w:rPr>
          <w:rStyle w:val="StyleUnderline"/>
        </w:rPr>
        <w:t>decreasing inequalities</w:t>
      </w:r>
      <w:r w:rsidRPr="00FE656D">
        <w:rPr>
          <w:sz w:val="16"/>
        </w:rPr>
        <w:t xml:space="preserve"> of disposable income. Global price regulation such as rent control does not surgically target households most in need and simultaneously always benefits higher-income households. At a minimum it is difficult to see how a policy instrument with uncertain outcomes and difficult implementation can be preferable to long-tested and proven effective policy instruments such as progressive income taxes or classic redistributive instruments.</w:t>
      </w:r>
    </w:p>
    <w:p w14:paraId="7B822FFA" w14:textId="77777777" w:rsidR="002141EF" w:rsidRPr="00FE656D" w:rsidRDefault="002141EF" w:rsidP="002141EF">
      <w:pPr>
        <w:rPr>
          <w:sz w:val="16"/>
        </w:rPr>
      </w:pPr>
      <w:r w:rsidRPr="00FE656D">
        <w:rPr>
          <w:sz w:val="16"/>
        </w:rPr>
        <w:t xml:space="preserve">A second more direct channel linking antitrust action and inequality is </w:t>
      </w:r>
      <w:r w:rsidRPr="00FE656D">
        <w:rPr>
          <w:rStyle w:val="StyleUnderline"/>
        </w:rPr>
        <w:t xml:space="preserve">the </w:t>
      </w:r>
      <w:r w:rsidRPr="000838DE">
        <w:rPr>
          <w:rStyle w:val="StyleUnderline"/>
        </w:rPr>
        <w:t>wage</w:t>
      </w:r>
      <w:r w:rsidRPr="00FE656D">
        <w:rPr>
          <w:rStyle w:val="StyleUnderline"/>
        </w:rPr>
        <w:t xml:space="preserve"> nexus</w:t>
      </w:r>
      <w:r w:rsidRPr="00FE656D">
        <w:rPr>
          <w:sz w:val="16"/>
        </w:rPr>
        <w:t>. Market power is not just about monopolies in consumer markets but is also reflected in monopsonies in labor markets. Big, monopsonist companies can thus depress wages (Benmelech/Bergman/Hyunseob 2018). If wages were decreased for all in the same way, inequality would rise ‘only’ because wage earners would all earn less and these lower production costs would translate into additional income for capital income receivers—something that has long been described as a decline in the labor share. Yet, wage inequality alone could increase because it is not likely that all wages can be cut in the same way, first, because higher-income earners can have more negotiating power and exit options, and second, because absolute wage decreases could play out relatively more severely for smaller budgets. More deconcentration, in the form of a more SME-centered economy, could hence promise less income inequality (cf. Naidu/Posner/Weyl 2018).</w:t>
      </w:r>
    </w:p>
    <w:p w14:paraId="4C778CCB" w14:textId="77777777" w:rsidR="002141EF" w:rsidRPr="00FE656D" w:rsidRDefault="002141EF" w:rsidP="002141EF">
      <w:pPr>
        <w:rPr>
          <w:sz w:val="16"/>
        </w:rPr>
      </w:pPr>
      <w:r w:rsidRPr="00FE656D">
        <w:rPr>
          <w:sz w:val="16"/>
        </w:rPr>
        <w:t xml:space="preserve">Empirically, this argument </w:t>
      </w:r>
      <w:r w:rsidRPr="00FE656D">
        <w:rPr>
          <w:rStyle w:val="StyleUnderline"/>
        </w:rPr>
        <w:t>is</w:t>
      </w:r>
      <w:r w:rsidRPr="00FE656D">
        <w:rPr>
          <w:rStyle w:val="Emphasis"/>
        </w:rPr>
        <w:t xml:space="preserve"> not as clear-cut as</w:t>
      </w:r>
      <w:r w:rsidRPr="00FE656D">
        <w:rPr>
          <w:sz w:val="16"/>
        </w:rPr>
        <w:t xml:space="preserve"> perhaps </w:t>
      </w:r>
      <w:r w:rsidRPr="00FE656D">
        <w:rPr>
          <w:rStyle w:val="Emphasis"/>
        </w:rPr>
        <w:t>in theory.</w:t>
      </w:r>
      <w:r w:rsidRPr="00FE656D">
        <w:rPr>
          <w:sz w:val="16"/>
        </w:rPr>
        <w:t xml:space="preserve"> As noted in the previous section, it is </w:t>
      </w:r>
      <w:r w:rsidRPr="000838DE">
        <w:rPr>
          <w:rStyle w:val="Emphasis"/>
          <w:highlight w:val="green"/>
        </w:rPr>
        <w:t>large</w:t>
      </w:r>
      <w:r w:rsidRPr="000838DE">
        <w:rPr>
          <w:rStyle w:val="StyleUnderline"/>
          <w:highlight w:val="green"/>
        </w:rPr>
        <w:t xml:space="preserve"> </w:t>
      </w:r>
      <w:r w:rsidRPr="000838DE">
        <w:rPr>
          <w:rStyle w:val="Emphasis"/>
          <w:highlight w:val="green"/>
        </w:rPr>
        <w:t>employers</w:t>
      </w:r>
      <w:r w:rsidRPr="00FE656D">
        <w:rPr>
          <w:sz w:val="16"/>
        </w:rPr>
        <w:t xml:space="preserve"> who can </w:t>
      </w:r>
      <w:r w:rsidRPr="000838DE">
        <w:rPr>
          <w:rStyle w:val="Emphasis"/>
          <w:highlight w:val="green"/>
        </w:rPr>
        <w:t>offer more attractive jobs</w:t>
      </w:r>
      <w:r w:rsidRPr="00FE656D">
        <w:rPr>
          <w:sz w:val="16"/>
        </w:rPr>
        <w:t xml:space="preserve"> (Moscarini/Postel-Vinay 2012, 2512). Theoretically it is true that labor at least theoretically has stronger bargaining power, the smaller a given firm is. At the same time, however, </w:t>
      </w:r>
      <w:r w:rsidRPr="00FE656D">
        <w:rPr>
          <w:rStyle w:val="StyleUnderline"/>
        </w:rPr>
        <w:t xml:space="preserve">a </w:t>
      </w:r>
      <w:r w:rsidRPr="000838DE">
        <w:rPr>
          <w:rStyle w:val="StyleUnderline"/>
          <w:highlight w:val="green"/>
        </w:rPr>
        <w:t>smaller firm</w:t>
      </w:r>
      <w:r w:rsidRPr="000838DE">
        <w:rPr>
          <w:rStyle w:val="StyleUnderline"/>
        </w:rPr>
        <w:t xml:space="preserve"> represents a </w:t>
      </w:r>
      <w:r w:rsidRPr="000838DE">
        <w:rPr>
          <w:rStyle w:val="Emphasis"/>
        </w:rPr>
        <w:t>competition-restrained bargaining partner</w:t>
      </w:r>
      <w:r w:rsidRPr="000838DE">
        <w:rPr>
          <w:rStyle w:val="StyleUnderline"/>
        </w:rPr>
        <w:t xml:space="preserve"> that </w:t>
      </w:r>
      <w:r w:rsidRPr="000838DE">
        <w:rPr>
          <w:rStyle w:val="Emphasis"/>
          <w:highlight w:val="green"/>
        </w:rPr>
        <w:t>cannot raise wages</w:t>
      </w:r>
      <w:r w:rsidRPr="00FE656D">
        <w:rPr>
          <w:rStyle w:val="Emphasis"/>
        </w:rPr>
        <w:t xml:space="preserve"> and costs beyond certain levels.</w:t>
      </w:r>
      <w:r w:rsidRPr="00FE656D">
        <w:rPr>
          <w:sz w:val="16"/>
        </w:rPr>
        <w:t xml:space="preserve"> In fact, David Cameron’s (1984) influential work found that </w:t>
      </w:r>
      <w:r w:rsidRPr="00FE656D">
        <w:rPr>
          <w:rStyle w:val="StyleUnderline"/>
        </w:rPr>
        <w:t xml:space="preserve">greater </w:t>
      </w:r>
      <w:r w:rsidRPr="000838DE">
        <w:rPr>
          <w:rStyle w:val="StyleUnderline"/>
          <w:highlight w:val="green"/>
        </w:rPr>
        <w:t xml:space="preserve">concentration led to </w:t>
      </w:r>
      <w:r w:rsidRPr="000838DE">
        <w:rPr>
          <w:rStyle w:val="Emphasis"/>
          <w:highlight w:val="green"/>
        </w:rPr>
        <w:t>more</w:t>
      </w:r>
      <w:r w:rsidRPr="000838DE">
        <w:rPr>
          <w:rStyle w:val="StyleUnderline"/>
          <w:highlight w:val="green"/>
        </w:rPr>
        <w:t xml:space="preserve"> </w:t>
      </w:r>
      <w:r w:rsidRPr="000838DE">
        <w:rPr>
          <w:rStyle w:val="Emphasis"/>
          <w:highlight w:val="green"/>
        </w:rPr>
        <w:t>unions</w:t>
      </w:r>
      <w:r w:rsidRPr="00FE656D">
        <w:rPr>
          <w:sz w:val="16"/>
        </w:rPr>
        <w:t xml:space="preserve">, </w:t>
      </w:r>
      <w:r w:rsidRPr="000838DE">
        <w:rPr>
          <w:rStyle w:val="StyleUnderline"/>
        </w:rPr>
        <w:t>which</w:t>
      </w:r>
      <w:r w:rsidRPr="00FE656D">
        <w:rPr>
          <w:sz w:val="16"/>
        </w:rPr>
        <w:t xml:space="preserve"> in turn </w:t>
      </w:r>
      <w:r w:rsidRPr="000838DE">
        <w:rPr>
          <w:rStyle w:val="StyleUnderline"/>
        </w:rPr>
        <w:t xml:space="preserve">led to </w:t>
      </w:r>
      <w:r w:rsidRPr="000838DE">
        <w:rPr>
          <w:rStyle w:val="Emphasis"/>
        </w:rPr>
        <w:t>more</w:t>
      </w:r>
      <w:r w:rsidRPr="000838DE">
        <w:rPr>
          <w:rStyle w:val="StyleUnderline"/>
        </w:rPr>
        <w:t xml:space="preserve"> </w:t>
      </w:r>
      <w:r w:rsidRPr="000838DE">
        <w:rPr>
          <w:rStyle w:val="Emphasis"/>
        </w:rPr>
        <w:t>redistribution</w:t>
      </w:r>
      <w:r w:rsidRPr="00FE656D">
        <w:rPr>
          <w:rStyle w:val="StyleUnderline"/>
        </w:rPr>
        <w:t>.</w:t>
      </w:r>
      <w:r w:rsidRPr="00FE656D">
        <w:rPr>
          <w:sz w:val="16"/>
        </w:rPr>
        <w:t xml:space="preserve"> Hence, Stansbury and Summers’s (2020) recent attempt to contrast monopolization and declining worker power explanations of the decreasing labor share may have looked at historically interlinked phenomena. Insofar as concentrated industries also tend to be more prone to unionization, it may well be that </w:t>
      </w:r>
      <w:r w:rsidRPr="00FE656D">
        <w:rPr>
          <w:rStyle w:val="StyleUnderline"/>
        </w:rPr>
        <w:t xml:space="preserve">greater concentration leads to </w:t>
      </w:r>
      <w:r w:rsidRPr="00FE656D">
        <w:rPr>
          <w:rStyle w:val="Emphasis"/>
        </w:rPr>
        <w:t>less wage inequality</w:t>
      </w:r>
      <w:r w:rsidRPr="00FE656D">
        <w:rPr>
          <w:rStyle w:val="StyleUnderline"/>
        </w:rPr>
        <w:t xml:space="preserve"> and </w:t>
      </w:r>
      <w:r w:rsidRPr="00FE656D">
        <w:rPr>
          <w:rStyle w:val="Emphasis"/>
        </w:rPr>
        <w:t>greater labor shares in the economy</w:t>
      </w:r>
      <w:r w:rsidRPr="00FE656D">
        <w:rPr>
          <w:rStyle w:val="StyleUnderline"/>
        </w:rPr>
        <w:t>. Arguments about declining worker bargaining power</w:t>
      </w:r>
      <w:r w:rsidRPr="00FE656D">
        <w:rPr>
          <w:sz w:val="16"/>
        </w:rPr>
        <w:t xml:space="preserve"> may </w:t>
      </w:r>
      <w:r w:rsidRPr="00FE656D">
        <w:rPr>
          <w:rStyle w:val="StyleUnderline"/>
        </w:rPr>
        <w:t xml:space="preserve">have to focus on a decline of collective capabilities to raise wages </w:t>
      </w:r>
      <w:r w:rsidRPr="00FE656D">
        <w:rPr>
          <w:rStyle w:val="Emphasis"/>
        </w:rPr>
        <w:t>independently of</w:t>
      </w:r>
      <w:r w:rsidRPr="00FE656D">
        <w:rPr>
          <w:sz w:val="16"/>
        </w:rPr>
        <w:t xml:space="preserve"> product </w:t>
      </w:r>
      <w:r w:rsidRPr="00FE656D">
        <w:rPr>
          <w:rStyle w:val="Emphasis"/>
        </w:rPr>
        <w:t>market structures</w:t>
      </w:r>
      <w:r w:rsidRPr="00FE656D">
        <w:rPr>
          <w:sz w:val="16"/>
        </w:rPr>
        <w:t xml:space="preserve"> (Bidwell 2013; Stansbury/Summers 2020). </w:t>
      </w:r>
    </w:p>
    <w:p w14:paraId="21613512" w14:textId="77777777" w:rsidR="002141EF" w:rsidRPr="00E629EA" w:rsidRDefault="002141EF" w:rsidP="002141EF">
      <w:pPr>
        <w:rPr>
          <w:sz w:val="16"/>
          <w:szCs w:val="16"/>
        </w:rPr>
      </w:pPr>
      <w:r w:rsidRPr="000838DE">
        <w:rPr>
          <w:rStyle w:val="StyleUnderline"/>
        </w:rPr>
        <w:t>SMEs</w:t>
      </w:r>
      <w:r w:rsidRPr="00FE656D">
        <w:rPr>
          <w:sz w:val="16"/>
        </w:rPr>
        <w:t xml:space="preserve">, by contrast, </w:t>
      </w:r>
      <w:r w:rsidRPr="00FE656D">
        <w:rPr>
          <w:rStyle w:val="StyleUnderline"/>
        </w:rPr>
        <w:t xml:space="preserve">find themselves in </w:t>
      </w:r>
      <w:r w:rsidRPr="00FE656D">
        <w:rPr>
          <w:rStyle w:val="Emphasis"/>
        </w:rPr>
        <w:t>stronger</w:t>
      </w:r>
      <w:r w:rsidRPr="00FE656D">
        <w:rPr>
          <w:rStyle w:val="StyleUnderline"/>
        </w:rPr>
        <w:t xml:space="preserve"> </w:t>
      </w:r>
      <w:r w:rsidRPr="00FE656D">
        <w:rPr>
          <w:rStyle w:val="Emphasis"/>
        </w:rPr>
        <w:t>competition</w:t>
      </w:r>
      <w:r w:rsidRPr="00FE656D">
        <w:rPr>
          <w:rStyle w:val="StyleUnderline"/>
        </w:rPr>
        <w:t xml:space="preserve"> and</w:t>
      </w:r>
      <w:r w:rsidRPr="00FE656D">
        <w:rPr>
          <w:sz w:val="16"/>
        </w:rPr>
        <w:t xml:space="preserve"> have been demonstrated to </w:t>
      </w:r>
      <w:r w:rsidRPr="000838DE">
        <w:rPr>
          <w:rStyle w:val="Emphasis"/>
        </w:rPr>
        <w:t>offer</w:t>
      </w:r>
      <w:r w:rsidRPr="00FE656D">
        <w:rPr>
          <w:rStyle w:val="Emphasis"/>
        </w:rPr>
        <w:t xml:space="preserve"> lower wages.</w:t>
      </w:r>
      <w:r w:rsidRPr="00FE656D">
        <w:rPr>
          <w:sz w:val="16"/>
        </w:rPr>
        <w:t xml:space="preserve"> It is true that most of the income inequality in recent decades comes from the widening intra-big firm wage inequality, as compared to the Trente Glorieuses, when big firms were seen as the great leveler by raising wages and offering unskilled workers the opportunity to rise through internal labor markets (Cobb/Lin 2017). In fact, recent studies have suggested that much of </w:t>
      </w:r>
      <w:r w:rsidRPr="000838DE">
        <w:rPr>
          <w:rStyle w:val="StyleUnderline"/>
          <w:highlight w:val="green"/>
        </w:rPr>
        <w:t>the</w:t>
      </w:r>
      <w:r w:rsidRPr="00FE656D">
        <w:rPr>
          <w:rStyle w:val="StyleUnderline"/>
        </w:rPr>
        <w:t xml:space="preserve"> historical </w:t>
      </w:r>
      <w:r w:rsidRPr="000838DE">
        <w:rPr>
          <w:rStyle w:val="StyleUnderline"/>
          <w:highlight w:val="green"/>
        </w:rPr>
        <w:t>decline of</w:t>
      </w:r>
      <w:r w:rsidRPr="00FE656D">
        <w:rPr>
          <w:rStyle w:val="StyleUnderline"/>
        </w:rPr>
        <w:t xml:space="preserve"> the relatively </w:t>
      </w:r>
      <w:r w:rsidRPr="000838DE">
        <w:rPr>
          <w:rStyle w:val="StyleUnderline"/>
          <w:highlight w:val="green"/>
        </w:rPr>
        <w:t>stable ‘core</w:t>
      </w:r>
      <w:r w:rsidRPr="00FE656D">
        <w:rPr>
          <w:rStyle w:val="StyleUnderline"/>
        </w:rPr>
        <w:t>’ of industrial economies</w:t>
      </w:r>
      <w:r w:rsidRPr="00FE656D">
        <w:rPr>
          <w:sz w:val="16"/>
        </w:rPr>
        <w:t xml:space="preserve"> has </w:t>
      </w:r>
      <w:r w:rsidRPr="000838DE">
        <w:rPr>
          <w:rStyle w:val="StyleUnderline"/>
          <w:highlight w:val="green"/>
        </w:rPr>
        <w:t>occurred through</w:t>
      </w:r>
      <w:r w:rsidRPr="00FE656D">
        <w:rPr>
          <w:sz w:val="16"/>
        </w:rPr>
        <w:t xml:space="preserve"> the </w:t>
      </w:r>
      <w:r w:rsidRPr="000838DE">
        <w:rPr>
          <w:rStyle w:val="Emphasis"/>
          <w:highlight w:val="green"/>
        </w:rPr>
        <w:t>disappearance of</w:t>
      </w:r>
      <w:r w:rsidRPr="00E629EA">
        <w:rPr>
          <w:rStyle w:val="Emphasis"/>
          <w:highlight w:val="green"/>
        </w:rPr>
        <w:t xml:space="preserve"> large internal labor ma</w:t>
      </w:r>
      <w:r w:rsidRPr="000838DE">
        <w:rPr>
          <w:rStyle w:val="Emphasis"/>
          <w:highlight w:val="green"/>
        </w:rPr>
        <w:t>rkets</w:t>
      </w:r>
      <w:r w:rsidRPr="00FE656D">
        <w:rPr>
          <w:rStyle w:val="StyleUnderline"/>
        </w:rPr>
        <w:t>, rather than</w:t>
      </w:r>
      <w:r w:rsidRPr="00FE656D">
        <w:rPr>
          <w:sz w:val="16"/>
        </w:rPr>
        <w:t xml:space="preserve"> through </w:t>
      </w:r>
      <w:r w:rsidRPr="00FE656D">
        <w:rPr>
          <w:rStyle w:val="StyleUnderline"/>
        </w:rPr>
        <w:t>increased concentration</w:t>
      </w:r>
      <w:r w:rsidRPr="00FE656D">
        <w:rPr>
          <w:sz w:val="16"/>
        </w:rPr>
        <w:t xml:space="preserve"> (Hollister 2004). Yet, </w:t>
      </w:r>
      <w:r w:rsidRPr="00FE656D">
        <w:rPr>
          <w:rStyle w:val="StyleUnderline"/>
        </w:rPr>
        <w:t>it is questionable whether this</w:t>
      </w:r>
      <w:r w:rsidRPr="00FE656D">
        <w:rPr>
          <w:sz w:val="16"/>
        </w:rPr>
        <w:t xml:space="preserve"> form of </w:t>
      </w:r>
      <w:r w:rsidRPr="00FE656D">
        <w:rPr>
          <w:rStyle w:val="StyleUnderline"/>
        </w:rPr>
        <w:t>inequality</w:t>
      </w:r>
      <w:r w:rsidRPr="00FE656D">
        <w:rPr>
          <w:sz w:val="16"/>
        </w:rPr>
        <w:t xml:space="preserve"> problem </w:t>
      </w:r>
      <w:r w:rsidRPr="00FE656D">
        <w:rPr>
          <w:rStyle w:val="StyleUnderline"/>
        </w:rPr>
        <w:t>is solved by discounting big firms in favor of small firm structures.</w:t>
      </w:r>
      <w:r w:rsidRPr="00FE656D">
        <w:rPr>
          <w:sz w:val="16"/>
        </w:rPr>
        <w:t xml:space="preserve"> As compared to potentially feeble attempts to influence general concentration levels, </w:t>
      </w:r>
      <w:r w:rsidRPr="00E629EA">
        <w:rPr>
          <w:sz w:val="16"/>
          <w:szCs w:val="16"/>
        </w:rPr>
        <w:t>established and tried policy toolkits around the strengthening of workers’ position vis-a-vis employers seem like the more straightforward policy option (Stansbury/Summers 2020).</w:t>
      </w:r>
    </w:p>
    <w:p w14:paraId="293DA78B" w14:textId="77777777" w:rsidR="002141EF" w:rsidRPr="006C2216" w:rsidRDefault="002141EF" w:rsidP="002141EF">
      <w:pPr>
        <w:rPr>
          <w:sz w:val="16"/>
          <w:szCs w:val="16"/>
        </w:rPr>
      </w:pPr>
      <w:r w:rsidRPr="006C2216">
        <w:rPr>
          <w:sz w:val="16"/>
          <w:szCs w:val="16"/>
        </w:rPr>
        <w:t>A third potential channel is linked to corporate ownership and wealth: what wage earners forego in income and what consumers forego in price benefits functionally produce a surplus for the owners of corporations. Of course, this is a problem for inequality only to the degree that corporate ownership is unequally distributed and concentrated. The Mittelstand ideal traditionally tried to provide an alternative model to the stark separation between owners of capital and workers (Bechhofer/Brian 1978). And, in fact, income by SME owners often should be classified as neither pure wages nor pure capital gains, but as a mixed form. A more widespread dispersion of corporate ownership could in such a model act as a bolster against labor- and consumer-market inequalities.</w:t>
      </w:r>
    </w:p>
    <w:p w14:paraId="3D513538" w14:textId="77777777" w:rsidR="002141EF" w:rsidRPr="006C2216" w:rsidRDefault="002141EF" w:rsidP="002141EF">
      <w:pPr>
        <w:rPr>
          <w:rStyle w:val="StyleUnderline"/>
        </w:rPr>
      </w:pPr>
      <w:r w:rsidRPr="000838DE">
        <w:rPr>
          <w:rStyle w:val="StyleUnderline"/>
          <w:highlight w:val="green"/>
        </w:rPr>
        <w:t>While equal opportunity to form</w:t>
      </w:r>
      <w:r w:rsidRPr="006C2216">
        <w:rPr>
          <w:rStyle w:val="StyleUnderline"/>
        </w:rPr>
        <w:t xml:space="preserve"> one’s own </w:t>
      </w:r>
      <w:r w:rsidRPr="000838DE">
        <w:rPr>
          <w:rStyle w:val="StyleUnderline"/>
          <w:highlight w:val="green"/>
        </w:rPr>
        <w:t>business</w:t>
      </w:r>
      <w:r w:rsidRPr="006C2216">
        <w:rPr>
          <w:rStyle w:val="StyleUnderline"/>
        </w:rPr>
        <w:t xml:space="preserve"> and a more widespread business ownership rate </w:t>
      </w:r>
      <w:r w:rsidRPr="000838DE">
        <w:rPr>
          <w:rStyle w:val="StyleUnderline"/>
          <w:highlight w:val="green"/>
        </w:rPr>
        <w:t>are noble</w:t>
      </w:r>
      <w:r w:rsidRPr="006C2216">
        <w:rPr>
          <w:rStyle w:val="StyleUnderline"/>
        </w:rPr>
        <w:t xml:space="preserve"> political </w:t>
      </w:r>
      <w:r w:rsidRPr="000838DE">
        <w:rPr>
          <w:rStyle w:val="StyleUnderline"/>
          <w:highlight w:val="green"/>
        </w:rPr>
        <w:t>goals, in reality</w:t>
      </w:r>
      <w:r w:rsidRPr="000838DE">
        <w:rPr>
          <w:rStyle w:val="Emphasis"/>
          <w:highlight w:val="green"/>
        </w:rPr>
        <w:t xml:space="preserve"> hardly</w:t>
      </w:r>
      <w:r w:rsidRPr="006C2216">
        <w:rPr>
          <w:sz w:val="16"/>
        </w:rPr>
        <w:t xml:space="preserve"> more than </w:t>
      </w:r>
      <w:r w:rsidRPr="000838DE">
        <w:rPr>
          <w:rStyle w:val="Emphasis"/>
          <w:highlight w:val="green"/>
        </w:rPr>
        <w:t>10 percent of the population</w:t>
      </w:r>
      <w:r w:rsidRPr="006C2216">
        <w:rPr>
          <w:rStyle w:val="Emphasis"/>
        </w:rPr>
        <w:t xml:space="preserve"> in rich countries </w:t>
      </w:r>
      <w:r w:rsidRPr="000838DE">
        <w:rPr>
          <w:rStyle w:val="Emphasis"/>
          <w:highlight w:val="green"/>
        </w:rPr>
        <w:t>will ever be in this role</w:t>
      </w:r>
      <w:r w:rsidRPr="006C2216">
        <w:rPr>
          <w:rStyle w:val="StyleUnderline"/>
        </w:rPr>
        <w:t>, even in societies with a supposedly entrepreneurial population such as the US</w:t>
      </w:r>
      <w:r w:rsidRPr="006C2216">
        <w:rPr>
          <w:sz w:val="16"/>
        </w:rPr>
        <w:t xml:space="preserve"> (Van Stel et al. 2010). This rate is much lower when compared to almost all other kinds of asset ownership rates, such as even stocks, homes or insurance. The high concentration of business wealth in private hands is particularly pronounced in European economies, such as Germany, where the minority of business wealth is publicly owned and where even the majority of public firms are still under private family control (Dao 2020). A democratization of stock ownership, as had occurred in the US already in the 1920s (Ott 2011), is far from realized. This leads to a paradoxical suggested outcome in which societies like Germany with a less concentrated corporate structure may have a tendency towards more concentrated corporate ownership (cf. Albers/Charlotte/Schularick 2020). What is more, the German case is often regarded as comprising a set of highly productive Mittelstand firms operating in global niche markets, meaning that high value parts of that economy are removed from public ownership. In times of r greater than g, </w:t>
      </w:r>
      <w:r w:rsidRPr="006C2216">
        <w:rPr>
          <w:rStyle w:val="StyleUnderline"/>
        </w:rPr>
        <w:t xml:space="preserve">a </w:t>
      </w:r>
      <w:r w:rsidRPr="000838DE">
        <w:rPr>
          <w:rStyle w:val="StyleUnderline"/>
          <w:highlight w:val="green"/>
        </w:rPr>
        <w:t>higher share of small and medium-sized enterprises</w:t>
      </w:r>
      <w:r w:rsidRPr="006C2216">
        <w:rPr>
          <w:rStyle w:val="StyleUnderline"/>
        </w:rPr>
        <w:t xml:space="preserve"> may </w:t>
      </w:r>
      <w:r w:rsidRPr="000838DE">
        <w:rPr>
          <w:rStyle w:val="StyleUnderline"/>
          <w:highlight w:val="green"/>
        </w:rPr>
        <w:t xml:space="preserve">have a </w:t>
      </w:r>
      <w:r w:rsidRPr="000838DE">
        <w:rPr>
          <w:rStyle w:val="Emphasis"/>
          <w:highlight w:val="green"/>
        </w:rPr>
        <w:t>concentrating effect</w:t>
      </w:r>
      <w:r w:rsidRPr="006C2216">
        <w:rPr>
          <w:sz w:val="16"/>
        </w:rPr>
        <w:t xml:space="preserve"> through the wealth channel. This is </w:t>
      </w:r>
      <w:r w:rsidRPr="000838DE">
        <w:rPr>
          <w:rStyle w:val="StyleUnderline"/>
          <w:highlight w:val="green"/>
        </w:rPr>
        <w:t xml:space="preserve">reinforced by </w:t>
      </w:r>
      <w:r w:rsidRPr="000838DE">
        <w:rPr>
          <w:rStyle w:val="Emphasis"/>
          <w:highlight w:val="green"/>
        </w:rPr>
        <w:t>low</w:t>
      </w:r>
      <w:r w:rsidRPr="006C2216">
        <w:rPr>
          <w:rStyle w:val="Emphasis"/>
        </w:rPr>
        <w:t xml:space="preserve"> inheritance and wealth </w:t>
      </w:r>
      <w:r w:rsidRPr="000838DE">
        <w:rPr>
          <w:rStyle w:val="Emphasis"/>
          <w:highlight w:val="green"/>
        </w:rPr>
        <w:t>taxes on (business) wealth</w:t>
      </w:r>
      <w:r w:rsidRPr="006C2216">
        <w:rPr>
          <w:rStyle w:val="Emphasis"/>
        </w:rPr>
        <w:t xml:space="preserve">. </w:t>
      </w:r>
      <w:r w:rsidRPr="006C2216">
        <w:rPr>
          <w:sz w:val="16"/>
        </w:rPr>
        <w:t xml:space="preserve">While much more empirical research is needed on the comparative effects of corporate ownership, </w:t>
      </w:r>
      <w:r w:rsidRPr="006C2216">
        <w:rPr>
          <w:rStyle w:val="StyleUnderline"/>
        </w:rPr>
        <w:t xml:space="preserve">very high levels of wealth inequality in Germany may be an indication for a </w:t>
      </w:r>
      <w:r w:rsidRPr="006C2216">
        <w:rPr>
          <w:rStyle w:val="Emphasis"/>
        </w:rPr>
        <w:t>less than straightforward effect</w:t>
      </w:r>
      <w:r w:rsidRPr="006C2216">
        <w:rPr>
          <w:rStyle w:val="StyleUnderline"/>
        </w:rPr>
        <w:t xml:space="preserve"> of SMEs on inequality</w:t>
      </w:r>
      <w:r w:rsidRPr="006C2216">
        <w:rPr>
          <w:sz w:val="16"/>
        </w:rPr>
        <w:t xml:space="preserve">, counteracting Piketty’s (2019, ch. 11) recent praise of the democratic worker participation in German companies through the tradition of stakeholder participation (cf. section 3.1). </w:t>
      </w:r>
      <w:r w:rsidRPr="006C2216">
        <w:rPr>
          <w:rStyle w:val="StyleUnderline"/>
        </w:rPr>
        <w:t>An SME-economy would limit not only workers’ participatory rights in management but also their participation in business wealth and its capital gains.</w:t>
      </w:r>
    </w:p>
    <w:p w14:paraId="6F73883F" w14:textId="77777777" w:rsidR="002141EF" w:rsidRPr="006C2216" w:rsidRDefault="002141EF" w:rsidP="002141EF">
      <w:pPr>
        <w:rPr>
          <w:sz w:val="16"/>
          <w:szCs w:val="16"/>
        </w:rPr>
      </w:pPr>
      <w:r w:rsidRPr="006C2216">
        <w:rPr>
          <w:sz w:val="16"/>
          <w:szCs w:val="16"/>
        </w:rPr>
        <w:t>3.3 Small firms as a check on concentration of political influence</w:t>
      </w:r>
    </w:p>
    <w:p w14:paraId="3E3ED019" w14:textId="77777777" w:rsidR="002141EF" w:rsidRPr="006C2216" w:rsidRDefault="002141EF" w:rsidP="002141EF">
      <w:pPr>
        <w:rPr>
          <w:sz w:val="16"/>
        </w:rPr>
      </w:pPr>
      <w:r w:rsidRPr="006C2216">
        <w:rPr>
          <w:rStyle w:val="StyleUnderline"/>
        </w:rPr>
        <w:t>In recent analyses of political scientists</w:t>
      </w:r>
      <w:r w:rsidRPr="006C2216">
        <w:rPr>
          <w:sz w:val="16"/>
        </w:rPr>
        <w:t xml:space="preserve"> (e.g., Häusermann 2018) </w:t>
      </w:r>
      <w:r w:rsidRPr="006C2216">
        <w:rPr>
          <w:rStyle w:val="StyleUnderline"/>
        </w:rPr>
        <w:t>and economists</w:t>
      </w:r>
      <w:r w:rsidRPr="006C2216">
        <w:rPr>
          <w:sz w:val="16"/>
        </w:rPr>
        <w:t xml:space="preserve"> alike (e.g., Piketty 2020, part 4), </w:t>
      </w:r>
      <w:r w:rsidRPr="006C2216">
        <w:rPr>
          <w:rStyle w:val="StyleUnderline"/>
        </w:rPr>
        <w:t>one of the central dangers for democratic capitalism is a movement of traditional lower-educated voters away from inequality-combatting parties on the left and towards conservative and right-wing parties</w:t>
      </w:r>
      <w:r w:rsidRPr="006C2216">
        <w:rPr>
          <w:sz w:val="16"/>
        </w:rPr>
        <w:t xml:space="preserve">, which often tend to run on economically regressive platforms, with negative consequences for social equality and democratic governance. </w:t>
      </w:r>
      <w:r w:rsidRPr="006C2216">
        <w:rPr>
          <w:rStyle w:val="StyleUnderline"/>
        </w:rPr>
        <w:t>What is lost</w:t>
      </w:r>
      <w:r w:rsidRPr="006C2216">
        <w:rPr>
          <w:sz w:val="16"/>
        </w:rPr>
        <w:t xml:space="preserve"> in this current perception</w:t>
      </w:r>
      <w:r w:rsidRPr="006C2216">
        <w:rPr>
          <w:rStyle w:val="StyleUnderline"/>
        </w:rPr>
        <w:t xml:space="preserve"> is that </w:t>
      </w:r>
      <w:r w:rsidRPr="00E629EA">
        <w:rPr>
          <w:rStyle w:val="StyleUnderline"/>
        </w:rPr>
        <w:t xml:space="preserve">dangers for democracy can </w:t>
      </w:r>
      <w:r w:rsidRPr="00E629EA">
        <w:rPr>
          <w:rStyle w:val="Emphasis"/>
        </w:rPr>
        <w:t>come from the</w:t>
      </w:r>
      <w:r w:rsidRPr="006C2216">
        <w:rPr>
          <w:sz w:val="16"/>
        </w:rPr>
        <w:t xml:space="preserve"> very </w:t>
      </w:r>
      <w:r w:rsidRPr="00E629EA">
        <w:rPr>
          <w:rStyle w:val="Emphasis"/>
        </w:rPr>
        <w:t>center</w:t>
      </w:r>
      <w:r w:rsidRPr="006C2216">
        <w:rPr>
          <w:sz w:val="16"/>
        </w:rPr>
        <w:t xml:space="preserve"> of the social structure, when social strata related to the small firm sector turn towards extremist forces. In the traditional view of the small firm ideal, by contrast, SMEs, rather than being a source of potential radicalism, are considered the very backbone of sound democracies. This is the third SME promise we want to scrutinize more closely in the light of empirical evidence.</w:t>
      </w:r>
    </w:p>
    <w:p w14:paraId="0AC228A0" w14:textId="77777777" w:rsidR="002141EF" w:rsidRPr="006C2216" w:rsidRDefault="002141EF" w:rsidP="002141EF">
      <w:pPr>
        <w:rPr>
          <w:sz w:val="16"/>
          <w:szCs w:val="16"/>
        </w:rPr>
      </w:pPr>
      <w:r w:rsidRPr="006C2216">
        <w:rPr>
          <w:sz w:val="16"/>
          <w:szCs w:val="16"/>
        </w:rPr>
        <w:t>The danger of too concentrated economies for the democratic process is still very present in current debates, as when the US Democratic Party’s 2016 manifesto states that:</w:t>
      </w:r>
    </w:p>
    <w:p w14:paraId="559D37EC" w14:textId="77777777" w:rsidR="002141EF" w:rsidRPr="006C2216" w:rsidRDefault="002141EF" w:rsidP="002141EF">
      <w:pPr>
        <w:ind w:left="720"/>
        <w:rPr>
          <w:sz w:val="16"/>
          <w:szCs w:val="16"/>
        </w:rPr>
      </w:pPr>
      <w:r w:rsidRPr="006C2216">
        <w:rPr>
          <w:sz w:val="16"/>
          <w:szCs w:val="16"/>
        </w:rPr>
        <w:t>Large corporations have concentrated their control over markets to a greater degree than Americans have seen in decades ... We support the historic purpose of the antitrust laws to protect competition and prevent excessively consolidated economic and political power, which can be corrosive to a healthy democracy.</w:t>
      </w:r>
    </w:p>
    <w:p w14:paraId="0B77429D" w14:textId="77777777" w:rsidR="002141EF" w:rsidRPr="006C2216" w:rsidRDefault="002141EF" w:rsidP="002141EF">
      <w:pPr>
        <w:rPr>
          <w:sz w:val="16"/>
        </w:rPr>
      </w:pPr>
      <w:r w:rsidRPr="006C2216">
        <w:rPr>
          <w:sz w:val="16"/>
        </w:rPr>
        <w:t xml:space="preserve">While the emphasis of an explicitly political motivation for competition policy enforcement is certainly a new dynamic for the 21st century American antitrust debate (Wu 2018), the underlying idea that small firm structures are contributing to a healthy democratic process can be found throughout all kinds of Mittelstand ideals. They often depart from the idea that large concentrated firms can use their excess resources to influence the political process. Again, on the face of it, the association between democracy and low concentration is not clear-cut. While participatory democracy is generally more developed in the mature economies where formally registered SMEs are more common and the informal sector is small, within the OECD world itself, </w:t>
      </w:r>
      <w:r w:rsidRPr="006C2216">
        <w:rPr>
          <w:rStyle w:val="StyleUnderline"/>
        </w:rPr>
        <w:t xml:space="preserve">differences in SMEs are </w:t>
      </w:r>
      <w:r w:rsidRPr="006C2216">
        <w:rPr>
          <w:rStyle w:val="Emphasis"/>
        </w:rPr>
        <w:t>hardly positively related</w:t>
      </w:r>
      <w:r w:rsidRPr="006C2216">
        <w:rPr>
          <w:rStyle w:val="StyleUnderline"/>
        </w:rPr>
        <w:t xml:space="preserve"> with participatory qualities of democracies</w:t>
      </w:r>
      <w:r w:rsidRPr="006C2216">
        <w:rPr>
          <w:sz w:val="16"/>
        </w:rPr>
        <w:t xml:space="preserve"> (cf. Figure 3).</w:t>
      </w:r>
    </w:p>
    <w:p w14:paraId="79432765" w14:textId="77777777" w:rsidR="002141EF" w:rsidRPr="006C2216" w:rsidRDefault="002141EF" w:rsidP="002141EF">
      <w:pPr>
        <w:rPr>
          <w:sz w:val="16"/>
        </w:rPr>
      </w:pPr>
      <w:r w:rsidRPr="000838DE">
        <w:rPr>
          <w:sz w:val="16"/>
        </w:rPr>
        <w:t xml:space="preserve">More systematically, we take issue with the idea that small firm structures are more conducive to a healthy democracy in three respects. First, </w:t>
      </w:r>
      <w:r w:rsidRPr="000838DE">
        <w:rPr>
          <w:rStyle w:val="StyleUnderline"/>
        </w:rPr>
        <w:t>small firm interests</w:t>
      </w:r>
      <w:r w:rsidRPr="006C2216">
        <w:rPr>
          <w:sz w:val="16"/>
        </w:rPr>
        <w:t xml:space="preserve"> have </w:t>
      </w:r>
      <w:r w:rsidRPr="006C2216">
        <w:rPr>
          <w:rStyle w:val="Emphasis"/>
        </w:rPr>
        <w:t>historically played anything but a stabilizing pro-democratic role</w:t>
      </w:r>
      <w:r w:rsidRPr="006C2216">
        <w:rPr>
          <w:sz w:val="16"/>
        </w:rPr>
        <w:t xml:space="preserve">. Second, </w:t>
      </w:r>
      <w:r w:rsidRPr="006C2216">
        <w:rPr>
          <w:rStyle w:val="StyleUnderline"/>
        </w:rPr>
        <w:t xml:space="preserve">small firm interests </w:t>
      </w:r>
      <w:r w:rsidRPr="000838DE">
        <w:rPr>
          <w:rStyle w:val="StyleUnderline"/>
        </w:rPr>
        <w:t>continue</w:t>
      </w:r>
      <w:r w:rsidRPr="006C2216">
        <w:rPr>
          <w:rStyle w:val="StyleUnderline"/>
        </w:rPr>
        <w:t xml:space="preserve"> to be</w:t>
      </w:r>
      <w:r w:rsidRPr="006C2216">
        <w:rPr>
          <w:sz w:val="16"/>
        </w:rPr>
        <w:t xml:space="preserve"> among </w:t>
      </w:r>
      <w:r w:rsidRPr="006C2216">
        <w:rPr>
          <w:rStyle w:val="Emphasis"/>
        </w:rPr>
        <w:t>the most radical opponents of state intervention</w:t>
      </w:r>
      <w:r w:rsidRPr="006C2216">
        <w:rPr>
          <w:rStyle w:val="StyleUnderline"/>
        </w:rPr>
        <w:t xml:space="preserve"> in the economy, and particularly of </w:t>
      </w:r>
      <w:r w:rsidRPr="006C2216">
        <w:rPr>
          <w:rStyle w:val="Emphasis"/>
        </w:rPr>
        <w:t>social</w:t>
      </w:r>
      <w:r w:rsidRPr="006C2216">
        <w:rPr>
          <w:rStyle w:val="StyleUnderline"/>
        </w:rPr>
        <w:t xml:space="preserve"> </w:t>
      </w:r>
      <w:r w:rsidRPr="006C2216">
        <w:rPr>
          <w:rStyle w:val="Emphasis"/>
        </w:rPr>
        <w:t>policy</w:t>
      </w:r>
      <w:r w:rsidRPr="006C2216">
        <w:rPr>
          <w:rStyle w:val="StyleUnderline"/>
        </w:rPr>
        <w:t xml:space="preserve"> and </w:t>
      </w:r>
      <w:r w:rsidRPr="006C2216">
        <w:rPr>
          <w:rStyle w:val="Emphasis"/>
        </w:rPr>
        <w:t>workers’</w:t>
      </w:r>
      <w:r w:rsidRPr="006C2216">
        <w:rPr>
          <w:rStyle w:val="StyleUnderline"/>
        </w:rPr>
        <w:t xml:space="preserve"> </w:t>
      </w:r>
      <w:r w:rsidRPr="006C2216">
        <w:rPr>
          <w:rStyle w:val="Emphasis"/>
        </w:rPr>
        <w:t>rights</w:t>
      </w:r>
      <w:r w:rsidRPr="006C2216">
        <w:rPr>
          <w:sz w:val="16"/>
        </w:rPr>
        <w:t xml:space="preserve">. Third, </w:t>
      </w:r>
      <w:r w:rsidRPr="006C2216">
        <w:rPr>
          <w:rStyle w:val="StyleUnderline"/>
        </w:rPr>
        <w:t>the theoretical model of corporate power underlying critiques of bigness is</w:t>
      </w:r>
      <w:r w:rsidRPr="006C2216">
        <w:rPr>
          <w:sz w:val="16"/>
        </w:rPr>
        <w:t xml:space="preserve"> at a minimum </w:t>
      </w:r>
      <w:r w:rsidRPr="006C2216">
        <w:rPr>
          <w:rStyle w:val="Emphasis"/>
        </w:rPr>
        <w:t>incomplete</w:t>
      </w:r>
      <w:r w:rsidRPr="006C2216">
        <w:rPr>
          <w:sz w:val="16"/>
        </w:rPr>
        <w:t xml:space="preserve">: </w:t>
      </w:r>
      <w:r w:rsidRPr="006C2216">
        <w:rPr>
          <w:rStyle w:val="Emphasis"/>
        </w:rPr>
        <w:t>dispersion</w:t>
      </w:r>
      <w:r w:rsidRPr="006C2216">
        <w:rPr>
          <w:rStyle w:val="StyleUnderline"/>
        </w:rPr>
        <w:t xml:space="preserve"> and </w:t>
      </w:r>
      <w:r w:rsidRPr="006C2216">
        <w:rPr>
          <w:rStyle w:val="Emphasis"/>
        </w:rPr>
        <w:t>fragmentation</w:t>
      </w:r>
      <w:r w:rsidRPr="006C2216">
        <w:rPr>
          <w:sz w:val="16"/>
        </w:rPr>
        <w:t xml:space="preserve"> can </w:t>
      </w:r>
      <w:r w:rsidRPr="006C2216">
        <w:rPr>
          <w:rStyle w:val="StyleUnderline"/>
        </w:rPr>
        <w:t xml:space="preserve">lead to </w:t>
      </w:r>
      <w:r w:rsidRPr="006C2216">
        <w:rPr>
          <w:rStyle w:val="Emphasis"/>
        </w:rPr>
        <w:t>high degrees of political influence</w:t>
      </w:r>
      <w:r w:rsidRPr="006C2216">
        <w:rPr>
          <w:rStyle w:val="StyleUnderline"/>
        </w:rPr>
        <w:t xml:space="preserve"> if we take structural business power into account.</w:t>
      </w:r>
    </w:p>
    <w:p w14:paraId="204B4DE5" w14:textId="77777777" w:rsidR="002141EF" w:rsidRDefault="002141EF" w:rsidP="002141EF">
      <w:r>
        <w:t>[Fig. 3 Omitted]</w:t>
      </w:r>
    </w:p>
    <w:p w14:paraId="03F81BF1" w14:textId="77777777" w:rsidR="002141EF" w:rsidRPr="006C2216" w:rsidRDefault="002141EF" w:rsidP="002141EF">
      <w:pPr>
        <w:rPr>
          <w:sz w:val="16"/>
        </w:rPr>
      </w:pPr>
      <w:r w:rsidRPr="006C2216">
        <w:rPr>
          <w:sz w:val="16"/>
        </w:rPr>
        <w:t xml:space="preserve">As mentioned above in section 3.1, </w:t>
      </w:r>
      <w:r w:rsidRPr="006C2216">
        <w:rPr>
          <w:rStyle w:val="StyleUnderline"/>
        </w:rPr>
        <w:t>from a historical standpoint today’s</w:t>
      </w:r>
      <w:r w:rsidRPr="006C2216">
        <w:rPr>
          <w:sz w:val="16"/>
        </w:rPr>
        <w:t xml:space="preserve"> largely </w:t>
      </w:r>
      <w:r w:rsidRPr="006C2216">
        <w:rPr>
          <w:rStyle w:val="StyleUnderline"/>
        </w:rPr>
        <w:t xml:space="preserve">positive connotations of small firms’ politics are </w:t>
      </w:r>
      <w:r w:rsidRPr="006C2216">
        <w:rPr>
          <w:rStyle w:val="Emphasis"/>
        </w:rPr>
        <w:t>very</w:t>
      </w:r>
      <w:r w:rsidRPr="006C2216">
        <w:rPr>
          <w:sz w:val="16"/>
        </w:rPr>
        <w:t xml:space="preserve"> much </w:t>
      </w:r>
      <w:r w:rsidRPr="006C2216">
        <w:rPr>
          <w:rStyle w:val="Emphasis"/>
        </w:rPr>
        <w:t>surprising</w:t>
      </w:r>
      <w:r w:rsidRPr="006C2216">
        <w:rPr>
          <w:rStyle w:val="StyleUnderline"/>
        </w:rPr>
        <w:t xml:space="preserve">. </w:t>
      </w:r>
      <w:r w:rsidRPr="00E629EA">
        <w:rPr>
          <w:rStyle w:val="StyleUnderline"/>
        </w:rPr>
        <w:t>Over</w:t>
      </w:r>
      <w:r w:rsidRPr="006C2216">
        <w:rPr>
          <w:sz w:val="16"/>
        </w:rPr>
        <w:t xml:space="preserve"> much of </w:t>
      </w:r>
      <w:r w:rsidRPr="00E629EA">
        <w:rPr>
          <w:rStyle w:val="StyleUnderline"/>
        </w:rPr>
        <w:t>the 19th and 20th centuries the petite bourgeoisie was regarded as</w:t>
      </w:r>
      <w:r w:rsidRPr="006C2216">
        <w:rPr>
          <w:sz w:val="16"/>
        </w:rPr>
        <w:t xml:space="preserve"> a </w:t>
      </w:r>
      <w:r w:rsidRPr="006C2216">
        <w:rPr>
          <w:rStyle w:val="Emphasis"/>
        </w:rPr>
        <w:t xml:space="preserve">deeply </w:t>
      </w:r>
      <w:r w:rsidRPr="00E629EA">
        <w:rPr>
          <w:rStyle w:val="Emphasis"/>
        </w:rPr>
        <w:t>reactionary</w:t>
      </w:r>
      <w:r w:rsidRPr="00E629EA">
        <w:rPr>
          <w:rStyle w:val="StyleUnderline"/>
        </w:rPr>
        <w:t xml:space="preserve"> and</w:t>
      </w:r>
      <w:r w:rsidRPr="006C2216">
        <w:rPr>
          <w:sz w:val="16"/>
        </w:rPr>
        <w:t xml:space="preserve"> even </w:t>
      </w:r>
      <w:r w:rsidRPr="00E629EA">
        <w:rPr>
          <w:rStyle w:val="Emphasis"/>
        </w:rPr>
        <w:t>antidemocratic</w:t>
      </w:r>
      <w:r w:rsidRPr="006C2216">
        <w:rPr>
          <w:sz w:val="16"/>
        </w:rPr>
        <w:t xml:space="preserve"> force in democratic capitalism. </w:t>
      </w:r>
      <w:r w:rsidRPr="006C2216">
        <w:rPr>
          <w:rStyle w:val="StyleUnderline"/>
        </w:rPr>
        <w:t>Intellectual figures</w:t>
      </w:r>
      <w:r w:rsidRPr="006C2216">
        <w:rPr>
          <w:sz w:val="16"/>
        </w:rPr>
        <w:t xml:space="preserve"> such as Daniel Bell and Seymour Martin Lipset </w:t>
      </w:r>
      <w:r w:rsidRPr="006C2216">
        <w:rPr>
          <w:rStyle w:val="StyleUnderline"/>
        </w:rPr>
        <w:t>considered</w:t>
      </w:r>
      <w:r w:rsidRPr="006C2216">
        <w:rPr>
          <w:sz w:val="16"/>
        </w:rPr>
        <w:t xml:space="preserve"> the </w:t>
      </w:r>
      <w:r w:rsidRPr="006C2216">
        <w:rPr>
          <w:rStyle w:val="StyleUnderline"/>
        </w:rPr>
        <w:t xml:space="preserve">small entrepreneurs to be the </w:t>
      </w:r>
      <w:r w:rsidRPr="006C2216">
        <w:rPr>
          <w:rStyle w:val="Emphasis"/>
        </w:rPr>
        <w:t>crucial social bedrock</w:t>
      </w:r>
      <w:r w:rsidRPr="006C2216">
        <w:rPr>
          <w:rStyle w:val="StyleUnderline"/>
        </w:rPr>
        <w:t xml:space="preserve"> of </w:t>
      </w:r>
      <w:r w:rsidRPr="006C2216">
        <w:rPr>
          <w:rStyle w:val="Emphasis"/>
        </w:rPr>
        <w:t>fascist</w:t>
      </w:r>
      <w:r w:rsidRPr="006C2216">
        <w:rPr>
          <w:rStyle w:val="StyleUnderline"/>
        </w:rPr>
        <w:t xml:space="preserve"> and </w:t>
      </w:r>
      <w:r w:rsidRPr="006C2216">
        <w:rPr>
          <w:rStyle w:val="Emphasis"/>
        </w:rPr>
        <w:t>radical</w:t>
      </w:r>
      <w:r w:rsidRPr="006C2216">
        <w:rPr>
          <w:rStyle w:val="StyleUnderline"/>
        </w:rPr>
        <w:t xml:space="preserve"> </w:t>
      </w:r>
      <w:r w:rsidRPr="006C2216">
        <w:rPr>
          <w:rStyle w:val="Emphasis"/>
        </w:rPr>
        <w:t>right</w:t>
      </w:r>
      <w:r w:rsidRPr="006C2216">
        <w:rPr>
          <w:rStyle w:val="StyleUnderline"/>
        </w:rPr>
        <w:t xml:space="preserve"> </w:t>
      </w:r>
      <w:r w:rsidRPr="006C2216">
        <w:rPr>
          <w:rStyle w:val="Emphasis"/>
        </w:rPr>
        <w:t>movements</w:t>
      </w:r>
      <w:r w:rsidRPr="006C2216">
        <w:rPr>
          <w:rStyle w:val="StyleUnderline"/>
        </w:rPr>
        <w:t xml:space="preserve">. </w:t>
      </w:r>
      <w:r w:rsidRPr="000838DE">
        <w:rPr>
          <w:rStyle w:val="StyleUnderline"/>
          <w:highlight w:val="green"/>
        </w:rPr>
        <w:t>Trapped between</w:t>
      </w:r>
      <w:r w:rsidRPr="006C2216">
        <w:rPr>
          <w:sz w:val="16"/>
        </w:rPr>
        <w:t xml:space="preserve"> the growing power of </w:t>
      </w:r>
      <w:r w:rsidRPr="006C2216">
        <w:rPr>
          <w:rStyle w:val="StyleUnderline"/>
        </w:rPr>
        <w:t xml:space="preserve">large </w:t>
      </w:r>
      <w:r w:rsidRPr="000838DE">
        <w:rPr>
          <w:rStyle w:val="StyleUnderline"/>
          <w:highlight w:val="green"/>
        </w:rPr>
        <w:t>industry</w:t>
      </w:r>
      <w:r w:rsidRPr="006C2216">
        <w:rPr>
          <w:sz w:val="16"/>
        </w:rPr>
        <w:t xml:space="preserve"> on one side </w:t>
      </w:r>
      <w:r w:rsidRPr="000838DE">
        <w:rPr>
          <w:rStyle w:val="StyleUnderline"/>
          <w:highlight w:val="green"/>
        </w:rPr>
        <w:t>and</w:t>
      </w:r>
      <w:r w:rsidRPr="006C2216">
        <w:rPr>
          <w:rStyle w:val="StyleUnderline"/>
        </w:rPr>
        <w:t xml:space="preserve"> organized </w:t>
      </w:r>
      <w:r w:rsidRPr="000838DE">
        <w:rPr>
          <w:rStyle w:val="StyleUnderline"/>
          <w:highlight w:val="green"/>
        </w:rPr>
        <w:t>labor</w:t>
      </w:r>
      <w:r w:rsidRPr="006C2216">
        <w:rPr>
          <w:sz w:val="16"/>
        </w:rPr>
        <w:t xml:space="preserve"> on the other, postwar sociology theorized that the </w:t>
      </w:r>
      <w:r w:rsidRPr="000838DE">
        <w:rPr>
          <w:rStyle w:val="StyleUnderline"/>
          <w:highlight w:val="green"/>
        </w:rPr>
        <w:t>small businessmen</w:t>
      </w:r>
      <w:r w:rsidRPr="006C2216">
        <w:rPr>
          <w:sz w:val="16"/>
        </w:rPr>
        <w:t xml:space="preserve"> would </w:t>
      </w:r>
      <w:r w:rsidRPr="000838DE">
        <w:rPr>
          <w:rStyle w:val="Emphasis"/>
          <w:highlight w:val="green"/>
        </w:rPr>
        <w:t>seek</w:t>
      </w:r>
      <w:r w:rsidRPr="000838DE">
        <w:rPr>
          <w:rStyle w:val="StyleUnderline"/>
          <w:highlight w:val="green"/>
        </w:rPr>
        <w:t xml:space="preserve"> </w:t>
      </w:r>
      <w:r w:rsidRPr="000838DE">
        <w:rPr>
          <w:rStyle w:val="Emphasis"/>
          <w:highlight w:val="green"/>
        </w:rPr>
        <w:t>protection</w:t>
      </w:r>
      <w:r w:rsidRPr="000838DE">
        <w:rPr>
          <w:rStyle w:val="StyleUnderline"/>
          <w:highlight w:val="green"/>
        </w:rPr>
        <w:t xml:space="preserve"> in </w:t>
      </w:r>
      <w:r w:rsidRPr="000838DE">
        <w:rPr>
          <w:rStyle w:val="Emphasis"/>
          <w:highlight w:val="green"/>
        </w:rPr>
        <w:t xml:space="preserve">right-wing </w:t>
      </w:r>
      <w:r w:rsidRPr="00E629EA">
        <w:rPr>
          <w:rStyle w:val="Emphasis"/>
          <w:highlight w:val="green"/>
        </w:rPr>
        <w:t>movements</w:t>
      </w:r>
      <w:r w:rsidRPr="006C2216">
        <w:rPr>
          <w:rStyle w:val="Emphasis"/>
        </w:rPr>
        <w:t>.</w:t>
      </w:r>
      <w:r w:rsidRPr="006C2216">
        <w:rPr>
          <w:sz w:val="16"/>
        </w:rPr>
        <w:t xml:space="preserve"> “The dispossessed,” Bell argued, would turn to “Protestant fundamentalism, nativist nationalism” and “good-and-evil moralism” in defense against the rise of liberal industrial society (Bell 1955, 24). </w:t>
      </w:r>
      <w:r w:rsidRPr="006C2216">
        <w:rPr>
          <w:rStyle w:val="StyleUnderline"/>
        </w:rPr>
        <w:t>Lipset</w:t>
      </w:r>
      <w:r w:rsidRPr="006C2216">
        <w:rPr>
          <w:sz w:val="16"/>
        </w:rPr>
        <w:t xml:space="preserve"> (1960, ch. 5) </w:t>
      </w:r>
      <w:r w:rsidRPr="006C2216">
        <w:rPr>
          <w:rStyle w:val="StyleUnderline"/>
        </w:rPr>
        <w:t xml:space="preserve">found the social bases of German and Italian fascism in the </w:t>
      </w:r>
      <w:r w:rsidRPr="006C2216">
        <w:rPr>
          <w:rStyle w:val="Emphasis"/>
        </w:rPr>
        <w:t>middle</w:t>
      </w:r>
      <w:r w:rsidRPr="006C2216">
        <w:rPr>
          <w:rStyle w:val="StyleUnderline"/>
        </w:rPr>
        <w:t xml:space="preserve"> </w:t>
      </w:r>
      <w:r w:rsidRPr="006C2216">
        <w:rPr>
          <w:rStyle w:val="Emphasis"/>
        </w:rPr>
        <w:t>classes</w:t>
      </w:r>
      <w:r w:rsidRPr="006C2216">
        <w:rPr>
          <w:sz w:val="16"/>
        </w:rPr>
        <w:t xml:space="preserve">, which were </w:t>
      </w:r>
      <w:r w:rsidRPr="006C2216">
        <w:rPr>
          <w:rStyle w:val="StyleUnderline"/>
        </w:rPr>
        <w:t>trying to</w:t>
      </w:r>
      <w:r w:rsidRPr="006C2216">
        <w:rPr>
          <w:sz w:val="16"/>
        </w:rPr>
        <w:t xml:space="preserve"> simultaneously </w:t>
      </w:r>
      <w:r w:rsidRPr="006C2216">
        <w:rPr>
          <w:rStyle w:val="StyleUnderline"/>
        </w:rPr>
        <w:t>fight socialism and</w:t>
      </w:r>
      <w:r w:rsidRPr="006C2216">
        <w:rPr>
          <w:sz w:val="16"/>
        </w:rPr>
        <w:t xml:space="preserve"> “big international” </w:t>
      </w:r>
      <w:r w:rsidRPr="006C2216">
        <w:rPr>
          <w:rStyle w:val="StyleUnderline"/>
        </w:rPr>
        <w:t>capital</w:t>
      </w:r>
      <w:r w:rsidRPr="006C2216">
        <w:rPr>
          <w:sz w:val="16"/>
        </w:rPr>
        <w:t>. While some of the strong arguments about the extremism of the 20th-century middle classes have been revised by historians (Winkler 1972), the idea of a strong proclivity of middle-class interests for reactionary political currents has survived throughout the 20th century (Bechhofer/Brian 1978; Norris 2005)</w:t>
      </w:r>
    </w:p>
    <w:p w14:paraId="6054A68B" w14:textId="77777777" w:rsidR="002141EF" w:rsidRPr="000778EC" w:rsidRDefault="002141EF" w:rsidP="002141EF">
      <w:pPr>
        <w:rPr>
          <w:rStyle w:val="Emphasis"/>
        </w:rPr>
      </w:pPr>
      <w:r w:rsidRPr="000778EC">
        <w:rPr>
          <w:sz w:val="16"/>
        </w:rPr>
        <w:t xml:space="preserve">Second, mid-century political sociologists hypothesized that </w:t>
      </w:r>
      <w:r w:rsidRPr="006C2216">
        <w:rPr>
          <w:rStyle w:val="StyleUnderline"/>
        </w:rPr>
        <w:t xml:space="preserve">the </w:t>
      </w:r>
      <w:r w:rsidRPr="000838DE">
        <w:rPr>
          <w:rStyle w:val="StyleUnderline"/>
          <w:highlight w:val="green"/>
        </w:rPr>
        <w:t>reactionary tendencies</w:t>
      </w:r>
      <w:r w:rsidRPr="006C2216">
        <w:rPr>
          <w:rStyle w:val="StyleUnderline"/>
        </w:rPr>
        <w:t xml:space="preserve"> of the petite bourgeoisie </w:t>
      </w:r>
      <w:r w:rsidRPr="000838DE">
        <w:rPr>
          <w:rStyle w:val="Emphasis"/>
          <w:highlight w:val="green"/>
        </w:rPr>
        <w:t>were</w:t>
      </w:r>
      <w:r w:rsidRPr="000838DE">
        <w:rPr>
          <w:rStyle w:val="StyleUnderline"/>
          <w:highlight w:val="green"/>
        </w:rPr>
        <w:t xml:space="preserve"> </w:t>
      </w:r>
      <w:r w:rsidRPr="00E629EA">
        <w:rPr>
          <w:rStyle w:val="Emphasis"/>
        </w:rPr>
        <w:t>not</w:t>
      </w:r>
      <w:r w:rsidRPr="00E629EA">
        <w:rPr>
          <w:rStyle w:val="StyleUnderline"/>
        </w:rPr>
        <w:t xml:space="preserve"> </w:t>
      </w:r>
      <w:r w:rsidRPr="00E629EA">
        <w:rPr>
          <w:rStyle w:val="Emphasis"/>
        </w:rPr>
        <w:t>contingent</w:t>
      </w:r>
      <w:r w:rsidRPr="006C2216">
        <w:rPr>
          <w:rStyle w:val="StyleUnderline"/>
        </w:rPr>
        <w:t xml:space="preserve"> political leanings, </w:t>
      </w:r>
      <w:r w:rsidRPr="00E629EA">
        <w:rPr>
          <w:rStyle w:val="StyleUnderline"/>
        </w:rPr>
        <w:t xml:space="preserve">but </w:t>
      </w:r>
      <w:r w:rsidRPr="000838DE">
        <w:rPr>
          <w:rStyle w:val="Emphasis"/>
          <w:highlight w:val="green"/>
        </w:rPr>
        <w:t>essentially grounded in their</w:t>
      </w:r>
      <w:r w:rsidRPr="006C2216">
        <w:rPr>
          <w:rStyle w:val="Emphasis"/>
        </w:rPr>
        <w:t xml:space="preserve"> economic </w:t>
      </w:r>
      <w:r w:rsidRPr="00E629EA">
        <w:rPr>
          <w:rStyle w:val="Emphasis"/>
        </w:rPr>
        <w:t>position</w:t>
      </w:r>
      <w:r w:rsidRPr="006C2216">
        <w:rPr>
          <w:rStyle w:val="StyleUnderline"/>
        </w:rPr>
        <w:t xml:space="preserve">. Subject to the whims of the free market, short on capital reserves, and easy to strong-arm by organized labor and large firms, small businessmen were theorized to </w:t>
      </w:r>
      <w:r w:rsidRPr="00E629EA">
        <w:rPr>
          <w:rStyle w:val="StyleUnderline"/>
        </w:rPr>
        <w:t xml:space="preserve">lean towards a </w:t>
      </w:r>
      <w:r w:rsidRPr="00E629EA">
        <w:rPr>
          <w:rStyle w:val="Emphasis"/>
        </w:rPr>
        <w:t>‘</w:t>
      </w:r>
      <w:r w:rsidRPr="000838DE">
        <w:rPr>
          <w:rStyle w:val="Emphasis"/>
          <w:highlight w:val="green"/>
        </w:rPr>
        <w:t>politics of survival</w:t>
      </w:r>
      <w:r w:rsidRPr="006C2216">
        <w:rPr>
          <w:rStyle w:val="Emphasis"/>
        </w:rPr>
        <w:t>’</w:t>
      </w:r>
      <w:r w:rsidRPr="000778EC">
        <w:rPr>
          <w:sz w:val="16"/>
        </w:rPr>
        <w:t xml:space="preserve"> (Bechhofer/Brian 1978). This defensive position in the name of economic survival is exactly what can be observed in the policy preferences of small business. The </w:t>
      </w:r>
      <w:r w:rsidRPr="000838DE">
        <w:rPr>
          <w:rStyle w:val="Emphasis"/>
        </w:rPr>
        <w:t>extensive</w:t>
      </w:r>
      <w:r w:rsidRPr="000838DE">
        <w:rPr>
          <w:rStyle w:val="StyleUnderline"/>
        </w:rPr>
        <w:t xml:space="preserve"> </w:t>
      </w:r>
      <w:r w:rsidRPr="000838DE">
        <w:rPr>
          <w:rStyle w:val="Emphasis"/>
        </w:rPr>
        <w:t>literature</w:t>
      </w:r>
      <w:r w:rsidRPr="000778EC">
        <w:rPr>
          <w:rStyle w:val="StyleUnderline"/>
        </w:rPr>
        <w:t xml:space="preserve"> of business preferences for social policy reform</w:t>
      </w:r>
      <w:r w:rsidRPr="000778EC">
        <w:rPr>
          <w:sz w:val="16"/>
        </w:rPr>
        <w:t xml:space="preserve"> have </w:t>
      </w:r>
      <w:r w:rsidRPr="000838DE">
        <w:rPr>
          <w:rStyle w:val="StyleUnderline"/>
        </w:rPr>
        <w:t>found firm size to be</w:t>
      </w:r>
      <w:r w:rsidRPr="000778EC">
        <w:rPr>
          <w:rStyle w:val="StyleUnderline"/>
        </w:rPr>
        <w:t xml:space="preserve"> </w:t>
      </w:r>
      <w:r w:rsidRPr="000838DE">
        <w:rPr>
          <w:rStyle w:val="StyleUnderline"/>
        </w:rPr>
        <w:t>one</w:t>
      </w:r>
      <w:r w:rsidRPr="000778EC">
        <w:rPr>
          <w:rStyle w:val="StyleUnderline"/>
        </w:rPr>
        <w:t xml:space="preserve"> of the</w:t>
      </w:r>
      <w:r w:rsidRPr="000778EC">
        <w:rPr>
          <w:rStyle w:val="Emphasis"/>
        </w:rPr>
        <w:t xml:space="preserve"> strongest predictors of hostile policy positions</w:t>
      </w:r>
      <w:r w:rsidRPr="000778EC">
        <w:rPr>
          <w:sz w:val="16"/>
        </w:rPr>
        <w:t xml:space="preserve"> (Paster 2015, 14). </w:t>
      </w:r>
      <w:r w:rsidRPr="000778EC">
        <w:rPr>
          <w:rStyle w:val="StyleUnderline"/>
        </w:rPr>
        <w:t xml:space="preserve">American </w:t>
      </w:r>
      <w:r w:rsidRPr="000838DE">
        <w:rPr>
          <w:rStyle w:val="StyleUnderline"/>
          <w:highlight w:val="green"/>
        </w:rPr>
        <w:t>small business interests</w:t>
      </w:r>
      <w:r w:rsidRPr="000778EC">
        <w:rPr>
          <w:sz w:val="16"/>
        </w:rPr>
        <w:t xml:space="preserve"> have arguably </w:t>
      </w:r>
      <w:r w:rsidRPr="000838DE">
        <w:rPr>
          <w:rStyle w:val="Emphasis"/>
          <w:highlight w:val="green"/>
        </w:rPr>
        <w:t>blocked health care</w:t>
      </w:r>
      <w:r w:rsidRPr="000778EC">
        <w:rPr>
          <w:rStyle w:val="Emphasis"/>
        </w:rPr>
        <w:t xml:space="preserve"> reform</w:t>
      </w:r>
      <w:r w:rsidRPr="000778EC">
        <w:rPr>
          <w:rStyle w:val="StyleUnderline"/>
        </w:rPr>
        <w:t xml:space="preserve"> for decades</w:t>
      </w:r>
      <w:r w:rsidRPr="000778EC">
        <w:rPr>
          <w:sz w:val="16"/>
        </w:rPr>
        <w:t xml:space="preserve"> (Martin 2000, 178–182). Due to their shaky economic position, </w:t>
      </w:r>
      <w:r w:rsidRPr="000778EC">
        <w:rPr>
          <w:rStyle w:val="StyleUnderline"/>
        </w:rPr>
        <w:t>they are</w:t>
      </w:r>
      <w:r w:rsidRPr="000778EC">
        <w:rPr>
          <w:sz w:val="16"/>
        </w:rPr>
        <w:t xml:space="preserve"> usually </w:t>
      </w:r>
      <w:r w:rsidRPr="000778EC">
        <w:rPr>
          <w:rStyle w:val="StyleUnderline"/>
        </w:rPr>
        <w:t>the first constituency to</w:t>
      </w:r>
      <w:r w:rsidRPr="000778EC">
        <w:rPr>
          <w:rStyle w:val="Emphasis"/>
        </w:rPr>
        <w:t xml:space="preserve"> </w:t>
      </w:r>
      <w:r w:rsidRPr="000838DE">
        <w:rPr>
          <w:rStyle w:val="Emphasis"/>
          <w:highlight w:val="green"/>
        </w:rPr>
        <w:t>rally against</w:t>
      </w:r>
      <w:r w:rsidRPr="00E629EA">
        <w:rPr>
          <w:rStyle w:val="Emphasis"/>
        </w:rPr>
        <w:t xml:space="preserve"> regulatory burdens,</w:t>
      </w:r>
      <w:r w:rsidRPr="000778EC">
        <w:rPr>
          <w:rStyle w:val="Emphasis"/>
        </w:rPr>
        <w:t xml:space="preserve"> high </w:t>
      </w:r>
      <w:r w:rsidRPr="00E629EA">
        <w:rPr>
          <w:rStyle w:val="Emphasis"/>
        </w:rPr>
        <w:t xml:space="preserve">tax loads and other </w:t>
      </w:r>
      <w:r w:rsidRPr="000838DE">
        <w:rPr>
          <w:rStyle w:val="Emphasis"/>
          <w:highlight w:val="green"/>
        </w:rPr>
        <w:t>interferences with their</w:t>
      </w:r>
      <w:r w:rsidRPr="000778EC">
        <w:rPr>
          <w:rStyle w:val="Emphasis"/>
        </w:rPr>
        <w:t xml:space="preserve"> short-</w:t>
      </w:r>
      <w:r w:rsidRPr="000838DE">
        <w:rPr>
          <w:rStyle w:val="Emphasis"/>
        </w:rPr>
        <w:t>term</w:t>
      </w:r>
      <w:r w:rsidRPr="000778EC">
        <w:rPr>
          <w:rStyle w:val="Emphasis"/>
        </w:rPr>
        <w:t xml:space="preserve"> </w:t>
      </w:r>
      <w:r w:rsidRPr="000838DE">
        <w:rPr>
          <w:rStyle w:val="Emphasis"/>
          <w:highlight w:val="green"/>
        </w:rPr>
        <w:t>bottom line</w:t>
      </w:r>
      <w:r w:rsidRPr="00E629EA">
        <w:rPr>
          <w:rStyle w:val="Emphasis"/>
        </w:rPr>
        <w:t>.</w:t>
      </w:r>
      <w:r w:rsidRPr="00E629EA">
        <w:rPr>
          <w:rStyle w:val="StyleUnderline"/>
        </w:rPr>
        <w:t xml:space="preserve"> This</w:t>
      </w:r>
      <w:r w:rsidRPr="000778EC">
        <w:rPr>
          <w:rStyle w:val="StyleUnderline"/>
        </w:rPr>
        <w:t xml:space="preserve"> troublesome </w:t>
      </w:r>
      <w:r w:rsidRPr="00E629EA">
        <w:rPr>
          <w:rStyle w:val="StyleUnderline"/>
        </w:rPr>
        <w:t>relationship</w:t>
      </w:r>
      <w:r w:rsidRPr="000778EC">
        <w:rPr>
          <w:rStyle w:val="StyleUnderline"/>
        </w:rPr>
        <w:t xml:space="preserve"> of small business with the regulatory state </w:t>
      </w:r>
      <w:r w:rsidRPr="00E629EA">
        <w:rPr>
          <w:rStyle w:val="StyleUnderline"/>
        </w:rPr>
        <w:t xml:space="preserve">is </w:t>
      </w:r>
      <w:r w:rsidRPr="000838DE">
        <w:rPr>
          <w:rStyle w:val="StyleUnderline"/>
          <w:highlight w:val="green"/>
        </w:rPr>
        <w:t>reflected in</w:t>
      </w:r>
      <w:r w:rsidRPr="000778EC">
        <w:rPr>
          <w:rStyle w:val="StyleUnderline"/>
        </w:rPr>
        <w:t xml:space="preserve"> </w:t>
      </w:r>
      <w:r w:rsidRPr="000778EC">
        <w:rPr>
          <w:rStyle w:val="Emphasis"/>
        </w:rPr>
        <w:t xml:space="preserve">far-reaching </w:t>
      </w:r>
      <w:r w:rsidRPr="000838DE">
        <w:rPr>
          <w:rStyle w:val="Emphasis"/>
          <w:highlight w:val="green"/>
        </w:rPr>
        <w:t>regulatory exemptions</w:t>
      </w:r>
      <w:r w:rsidRPr="000778EC">
        <w:rPr>
          <w:rStyle w:val="StyleUnderline"/>
        </w:rPr>
        <w:t xml:space="preserve"> in</w:t>
      </w:r>
      <w:r w:rsidRPr="000778EC">
        <w:rPr>
          <w:sz w:val="16"/>
        </w:rPr>
        <w:t xml:space="preserve"> all </w:t>
      </w:r>
      <w:r w:rsidRPr="000778EC">
        <w:rPr>
          <w:rStyle w:val="StyleUnderline"/>
        </w:rPr>
        <w:t xml:space="preserve">Western countries. Western small businesses are routinely relieved of regulations ranging </w:t>
      </w:r>
      <w:r w:rsidRPr="000838DE">
        <w:rPr>
          <w:rStyle w:val="StyleUnderline"/>
          <w:highlight w:val="green"/>
        </w:rPr>
        <w:t xml:space="preserve">from </w:t>
      </w:r>
      <w:r w:rsidRPr="000838DE">
        <w:rPr>
          <w:rStyle w:val="Emphasis"/>
          <w:highlight w:val="green"/>
        </w:rPr>
        <w:t>environmental protection</w:t>
      </w:r>
      <w:r w:rsidRPr="000778EC">
        <w:rPr>
          <w:rStyle w:val="Emphasis"/>
        </w:rPr>
        <w:t xml:space="preserve"> </w:t>
      </w:r>
      <w:r w:rsidRPr="000778EC">
        <w:rPr>
          <w:rStyle w:val="StyleUnderline"/>
        </w:rPr>
        <w:t xml:space="preserve">through </w:t>
      </w:r>
      <w:r w:rsidRPr="000838DE">
        <w:rPr>
          <w:rStyle w:val="StyleUnderline"/>
          <w:highlight w:val="green"/>
        </w:rPr>
        <w:t xml:space="preserve">to </w:t>
      </w:r>
      <w:r w:rsidRPr="000838DE">
        <w:rPr>
          <w:rStyle w:val="Emphasis"/>
          <w:highlight w:val="green"/>
        </w:rPr>
        <w:t>workers’ rights.</w:t>
      </w:r>
    </w:p>
    <w:p w14:paraId="2A8612F7" w14:textId="77777777" w:rsidR="002141EF" w:rsidRPr="000778EC" w:rsidRDefault="002141EF" w:rsidP="002141EF">
      <w:pPr>
        <w:rPr>
          <w:rStyle w:val="Emphasis"/>
        </w:rPr>
      </w:pPr>
      <w:r w:rsidRPr="000778EC">
        <w:rPr>
          <w:rStyle w:val="StyleUnderline"/>
        </w:rPr>
        <w:t xml:space="preserve">The </w:t>
      </w:r>
      <w:r w:rsidRPr="000838DE">
        <w:rPr>
          <w:rStyle w:val="StyleUnderline"/>
          <w:highlight w:val="green"/>
        </w:rPr>
        <w:t>systematic aversion</w:t>
      </w:r>
      <w:r w:rsidRPr="000778EC">
        <w:rPr>
          <w:rStyle w:val="StyleUnderline"/>
        </w:rPr>
        <w:t xml:space="preserve"> of small capitalist interests </w:t>
      </w:r>
      <w:r w:rsidRPr="000838DE">
        <w:rPr>
          <w:rStyle w:val="StyleUnderline"/>
          <w:highlight w:val="green"/>
        </w:rPr>
        <w:t>to</w:t>
      </w:r>
      <w:r w:rsidRPr="000778EC">
        <w:rPr>
          <w:rStyle w:val="StyleUnderline"/>
        </w:rPr>
        <w:t xml:space="preserve"> the provision of </w:t>
      </w:r>
      <w:r w:rsidRPr="000838DE">
        <w:rPr>
          <w:rStyle w:val="StyleUnderline"/>
          <w:highlight w:val="green"/>
        </w:rPr>
        <w:t xml:space="preserve">public goods has a </w:t>
      </w:r>
      <w:r w:rsidRPr="000838DE">
        <w:rPr>
          <w:rStyle w:val="Emphasis"/>
          <w:highlight w:val="green"/>
        </w:rPr>
        <w:t>further</w:t>
      </w:r>
      <w:r w:rsidRPr="000838DE">
        <w:rPr>
          <w:sz w:val="16"/>
        </w:rPr>
        <w:t xml:space="preserve">, more indirect </w:t>
      </w:r>
      <w:r w:rsidRPr="000838DE">
        <w:rPr>
          <w:rStyle w:val="Emphasis"/>
          <w:highlight w:val="green"/>
        </w:rPr>
        <w:t>consequence</w:t>
      </w:r>
      <w:r w:rsidRPr="000778EC">
        <w:rPr>
          <w:rStyle w:val="StyleUnderline"/>
        </w:rPr>
        <w:t xml:space="preserve"> for their relationship with democratic capitalism.</w:t>
      </w:r>
      <w:r w:rsidRPr="000838DE">
        <w:rPr>
          <w:sz w:val="16"/>
        </w:rPr>
        <w:t xml:space="preserve"> Most diagnoses of the crisis of democratic capitalist regimes recognize the problem of political alienation and growing beliefs among parts of the electorate that within-system-politics are non-responsive to their needs (Beckert 2019; Elsässer/Hense/Schäfer 2018; Piketty 2020). While the limits on governments to intervene in the economy are often described as emerging from concentrated interests and multinational enterprises, </w:t>
      </w:r>
      <w:r w:rsidRPr="000838DE">
        <w:rPr>
          <w:rStyle w:val="StyleUnderline"/>
          <w:highlight w:val="green"/>
        </w:rPr>
        <w:t>small firms have</w:t>
      </w:r>
      <w:r w:rsidRPr="000838DE">
        <w:rPr>
          <w:sz w:val="16"/>
        </w:rPr>
        <w:t xml:space="preserve"> traditionally </w:t>
      </w:r>
      <w:r w:rsidRPr="000838DE">
        <w:rPr>
          <w:rStyle w:val="StyleUnderline"/>
          <w:highlight w:val="green"/>
        </w:rPr>
        <w:t>been</w:t>
      </w:r>
      <w:r w:rsidRPr="000838DE">
        <w:rPr>
          <w:sz w:val="16"/>
        </w:rPr>
        <w:t xml:space="preserve"> among </w:t>
      </w:r>
      <w:r w:rsidRPr="000838DE">
        <w:rPr>
          <w:rStyle w:val="StyleUnderline"/>
          <w:highlight w:val="green"/>
        </w:rPr>
        <w:t xml:space="preserve">the staunchest opponents of </w:t>
      </w:r>
      <w:r w:rsidRPr="000838DE">
        <w:rPr>
          <w:rStyle w:val="Emphasis"/>
          <w:highlight w:val="green"/>
        </w:rPr>
        <w:t>governmental service</w:t>
      </w:r>
      <w:r w:rsidRPr="000778EC">
        <w:rPr>
          <w:rStyle w:val="Emphasis"/>
        </w:rPr>
        <w:t xml:space="preserve"> provision</w:t>
      </w:r>
      <w:r w:rsidRPr="000778EC">
        <w:rPr>
          <w:rStyle w:val="StyleUnderline"/>
        </w:rPr>
        <w:t xml:space="preserve"> </w:t>
      </w:r>
      <w:r w:rsidRPr="000838DE">
        <w:rPr>
          <w:rStyle w:val="StyleUnderline"/>
          <w:highlight w:val="green"/>
        </w:rPr>
        <w:t>and</w:t>
      </w:r>
      <w:r w:rsidRPr="000778EC">
        <w:rPr>
          <w:rStyle w:val="StyleUnderline"/>
        </w:rPr>
        <w:t xml:space="preserve"> </w:t>
      </w:r>
      <w:r w:rsidRPr="000778EC">
        <w:rPr>
          <w:rStyle w:val="Emphasis"/>
        </w:rPr>
        <w:t>regulatory</w:t>
      </w:r>
      <w:r w:rsidRPr="000778EC">
        <w:rPr>
          <w:rStyle w:val="StyleUnderline"/>
        </w:rPr>
        <w:t xml:space="preserve"> </w:t>
      </w:r>
      <w:r w:rsidRPr="000838DE">
        <w:rPr>
          <w:rStyle w:val="Emphasis"/>
          <w:highlight w:val="green"/>
        </w:rPr>
        <w:t>intervention</w:t>
      </w:r>
      <w:r w:rsidRPr="000838DE">
        <w:rPr>
          <w:sz w:val="16"/>
        </w:rPr>
        <w:t xml:space="preserve">. This is not to deny that in regulatory fields such as banking regulation, rules for tobacco consumption, and climate change policy, corporate lobbying by ‘Big Finance,’ ‘Big Tobacco,’ and ‘Big Oil’ has caused significant blockades, oversight loopholes, and institutional drift (Brandt 2012; Stokes 2020). Nevertheless, like in Albert Hirschman’s (1970) theorem of the vulnerability of monopolists to ‘voice,’ </w:t>
      </w:r>
      <w:r w:rsidRPr="000838DE">
        <w:rPr>
          <w:rStyle w:val="StyleUnderline"/>
          <w:highlight w:val="green"/>
        </w:rPr>
        <w:t>big</w:t>
      </w:r>
      <w:r w:rsidRPr="000778EC">
        <w:rPr>
          <w:rStyle w:val="StyleUnderline"/>
        </w:rPr>
        <w:t xml:space="preserve"> dominant </w:t>
      </w:r>
      <w:r w:rsidRPr="000838DE">
        <w:rPr>
          <w:rStyle w:val="StyleUnderline"/>
          <w:highlight w:val="green"/>
        </w:rPr>
        <w:t>firms</w:t>
      </w:r>
      <w:r w:rsidRPr="000778EC">
        <w:rPr>
          <w:rStyle w:val="StyleUnderline"/>
        </w:rPr>
        <w:t xml:space="preserve"> can </w:t>
      </w:r>
      <w:r w:rsidRPr="000838DE">
        <w:rPr>
          <w:rStyle w:val="StyleUnderline"/>
          <w:highlight w:val="green"/>
        </w:rPr>
        <w:t xml:space="preserve">appear as </w:t>
      </w:r>
      <w:r w:rsidRPr="000838DE">
        <w:rPr>
          <w:rStyle w:val="Emphasis"/>
          <w:highlight w:val="green"/>
        </w:rPr>
        <w:t>easier</w:t>
      </w:r>
      <w:r w:rsidRPr="000838DE">
        <w:rPr>
          <w:rStyle w:val="StyleUnderline"/>
          <w:highlight w:val="green"/>
        </w:rPr>
        <w:t xml:space="preserve"> </w:t>
      </w:r>
      <w:r w:rsidRPr="000838DE">
        <w:rPr>
          <w:rStyle w:val="Emphasis"/>
          <w:highlight w:val="green"/>
        </w:rPr>
        <w:t>targets</w:t>
      </w:r>
      <w:r w:rsidRPr="000838DE">
        <w:rPr>
          <w:rStyle w:val="StyleUnderline"/>
          <w:highlight w:val="green"/>
        </w:rPr>
        <w:t xml:space="preserve"> for </w:t>
      </w:r>
      <w:r w:rsidRPr="000838DE">
        <w:rPr>
          <w:rStyle w:val="Emphasis"/>
          <w:highlight w:val="green"/>
        </w:rPr>
        <w:t>public</w:t>
      </w:r>
      <w:r w:rsidRPr="000838DE">
        <w:rPr>
          <w:rStyle w:val="StyleUnderline"/>
          <w:highlight w:val="green"/>
        </w:rPr>
        <w:t xml:space="preserve"> </w:t>
      </w:r>
      <w:r w:rsidRPr="000838DE">
        <w:rPr>
          <w:rStyle w:val="Emphasis"/>
          <w:highlight w:val="green"/>
        </w:rPr>
        <w:t>campaigns</w:t>
      </w:r>
      <w:r w:rsidRPr="000838DE">
        <w:rPr>
          <w:sz w:val="16"/>
        </w:rPr>
        <w:t xml:space="preserve">, </w:t>
      </w:r>
      <w:r w:rsidRPr="000778EC">
        <w:rPr>
          <w:rStyle w:val="Emphasis"/>
        </w:rPr>
        <w:t>worse deflectors of responsibility</w:t>
      </w:r>
      <w:r w:rsidRPr="000778EC">
        <w:rPr>
          <w:rStyle w:val="StyleUnderline"/>
        </w:rPr>
        <w:t xml:space="preserve">, and </w:t>
      </w:r>
      <w:r w:rsidRPr="000778EC">
        <w:rPr>
          <w:rStyle w:val="Emphasis"/>
        </w:rPr>
        <w:t>sought-after conduits for regulatory change</w:t>
      </w:r>
      <w:r w:rsidRPr="000778EC">
        <w:rPr>
          <w:rStyle w:val="StyleUnderline"/>
        </w:rPr>
        <w:t>.</w:t>
      </w:r>
      <w:r w:rsidRPr="000838DE">
        <w:rPr>
          <w:sz w:val="16"/>
        </w:rPr>
        <w:t xml:space="preserve"> Hence </w:t>
      </w:r>
      <w:r w:rsidRPr="000778EC">
        <w:rPr>
          <w:rStyle w:val="StyleUnderline"/>
        </w:rPr>
        <w:t>the idea that a less concentrated corporate landscape would be</w:t>
      </w:r>
      <w:r w:rsidRPr="000838DE">
        <w:rPr>
          <w:sz w:val="16"/>
        </w:rPr>
        <w:t xml:space="preserve"> a </w:t>
      </w:r>
      <w:r w:rsidRPr="000778EC">
        <w:rPr>
          <w:rStyle w:val="Emphasis"/>
        </w:rPr>
        <w:t>necessary or sufficient</w:t>
      </w:r>
      <w:r w:rsidRPr="000838DE">
        <w:rPr>
          <w:sz w:val="16"/>
        </w:rPr>
        <w:t xml:space="preserve"> condition </w:t>
      </w:r>
      <w:r w:rsidRPr="000778EC">
        <w:rPr>
          <w:rStyle w:val="StyleUnderline"/>
        </w:rPr>
        <w:t>for</w:t>
      </w:r>
      <w:r w:rsidRPr="000838DE">
        <w:rPr>
          <w:sz w:val="16"/>
        </w:rPr>
        <w:t xml:space="preserve"> </w:t>
      </w:r>
      <w:r w:rsidRPr="000778EC">
        <w:rPr>
          <w:rStyle w:val="StyleUnderline"/>
        </w:rPr>
        <w:t xml:space="preserve">more responsive policies should be treated as </w:t>
      </w:r>
      <w:r w:rsidRPr="000778EC">
        <w:rPr>
          <w:rStyle w:val="Emphasis"/>
        </w:rPr>
        <w:t>structurally doubtful.</w:t>
      </w:r>
    </w:p>
    <w:p w14:paraId="749259DB" w14:textId="77777777" w:rsidR="002141EF" w:rsidRPr="000838DE" w:rsidRDefault="002141EF" w:rsidP="002141EF">
      <w:pPr>
        <w:rPr>
          <w:rStyle w:val="StyleUnderline"/>
        </w:rPr>
      </w:pPr>
      <w:r w:rsidRPr="000838DE">
        <w:rPr>
          <w:sz w:val="16"/>
        </w:rPr>
        <w:t xml:space="preserve">Finally, much of the democratic appraisal of small business rests on the assumption that political power is a linear function of economic power. As predicted by the theory of collective action (Olson 1965), </w:t>
      </w:r>
      <w:r w:rsidRPr="00E629EA">
        <w:rPr>
          <w:sz w:val="16"/>
          <w:szCs w:val="16"/>
        </w:rPr>
        <w:t>fragmented interests should be worse at bargaining for their collective advantage than concentrated interests (Martin 2000, 57). Indeed, qualitative research suggests that small businesses have historically found it very hard to organize around common interests</w:t>
      </w:r>
      <w:r w:rsidRPr="000838DE">
        <w:rPr>
          <w:sz w:val="16"/>
        </w:rPr>
        <w:t xml:space="preserve"> (Bechhofer/Brian 1978). However, </w:t>
      </w:r>
      <w:r w:rsidRPr="000838DE">
        <w:rPr>
          <w:rStyle w:val="StyleUnderline"/>
        </w:rPr>
        <w:t xml:space="preserve">the idea of a </w:t>
      </w:r>
      <w:r w:rsidRPr="00E629EA">
        <w:rPr>
          <w:rStyle w:val="Emphasis"/>
          <w:highlight w:val="green"/>
        </w:rPr>
        <w:t>linear</w:t>
      </w:r>
      <w:r w:rsidRPr="00E629EA">
        <w:rPr>
          <w:rStyle w:val="StyleUnderline"/>
          <w:highlight w:val="green"/>
        </w:rPr>
        <w:t xml:space="preserve"> </w:t>
      </w:r>
      <w:r w:rsidRPr="00E629EA">
        <w:rPr>
          <w:rStyle w:val="Emphasis"/>
          <w:highlight w:val="green"/>
        </w:rPr>
        <w:t>relationship</w:t>
      </w:r>
      <w:r w:rsidRPr="000838DE">
        <w:rPr>
          <w:rStyle w:val="StyleUnderline"/>
        </w:rPr>
        <w:t xml:space="preserve"> between corporate concentration and political clout </w:t>
      </w:r>
      <w:r w:rsidRPr="00E629EA">
        <w:rPr>
          <w:rStyle w:val="StyleUnderline"/>
          <w:highlight w:val="green"/>
        </w:rPr>
        <w:t>rests</w:t>
      </w:r>
      <w:r w:rsidRPr="000838DE">
        <w:rPr>
          <w:sz w:val="16"/>
        </w:rPr>
        <w:t xml:space="preserve">, in our view, </w:t>
      </w:r>
      <w:r w:rsidRPr="00E629EA">
        <w:rPr>
          <w:rStyle w:val="StyleUnderline"/>
          <w:highlight w:val="green"/>
        </w:rPr>
        <w:t>on</w:t>
      </w:r>
      <w:r w:rsidRPr="000838DE">
        <w:rPr>
          <w:rStyle w:val="StyleUnderline"/>
        </w:rPr>
        <w:t xml:space="preserve"> an i</w:t>
      </w:r>
      <w:r w:rsidRPr="000838DE">
        <w:rPr>
          <w:rStyle w:val="Emphasis"/>
        </w:rPr>
        <w:t xml:space="preserve">mpoverished notion of business </w:t>
      </w:r>
      <w:r w:rsidRPr="00E629EA">
        <w:rPr>
          <w:rStyle w:val="Emphasis"/>
          <w:highlight w:val="green"/>
        </w:rPr>
        <w:t>power</w:t>
      </w:r>
      <w:r w:rsidRPr="00E629EA">
        <w:rPr>
          <w:rStyle w:val="StyleUnderline"/>
          <w:highlight w:val="green"/>
        </w:rPr>
        <w:t xml:space="preserve"> as the result of</w:t>
      </w:r>
      <w:r w:rsidRPr="000838DE">
        <w:rPr>
          <w:rStyle w:val="StyleUnderline"/>
        </w:rPr>
        <w:t xml:space="preserve"> </w:t>
      </w:r>
      <w:r w:rsidRPr="000838DE">
        <w:rPr>
          <w:rStyle w:val="Emphasis"/>
        </w:rPr>
        <w:t>targeted</w:t>
      </w:r>
      <w:r w:rsidRPr="000838DE">
        <w:rPr>
          <w:rStyle w:val="StyleUnderline"/>
        </w:rPr>
        <w:t xml:space="preserve"> </w:t>
      </w:r>
      <w:r w:rsidRPr="00E629EA">
        <w:rPr>
          <w:rStyle w:val="Emphasis"/>
          <w:highlight w:val="green"/>
        </w:rPr>
        <w:t>lobbying</w:t>
      </w:r>
      <w:r w:rsidRPr="000838DE">
        <w:rPr>
          <w:sz w:val="16"/>
        </w:rPr>
        <w:t xml:space="preserve">. As demonstrated by Cornelia Woll (2014) in her comparative analysis of bank bailouts, </w:t>
      </w:r>
      <w:r w:rsidRPr="000838DE">
        <w:rPr>
          <w:rStyle w:val="StyleUnderline"/>
        </w:rPr>
        <w:t xml:space="preserve">the </w:t>
      </w:r>
      <w:r w:rsidRPr="00E629EA">
        <w:rPr>
          <w:rStyle w:val="StyleUnderline"/>
        </w:rPr>
        <w:t>financial industry’s inability to act collectively proved</w:t>
      </w:r>
      <w:r w:rsidRPr="000838DE">
        <w:rPr>
          <w:rStyle w:val="StyleUnderline"/>
        </w:rPr>
        <w:t xml:space="preserve"> to be </w:t>
      </w:r>
      <w:r w:rsidRPr="00E629EA">
        <w:rPr>
          <w:rStyle w:val="StyleUnderline"/>
        </w:rPr>
        <w:t xml:space="preserve">a boon in bargaining over bailout funds as it </w:t>
      </w:r>
      <w:r w:rsidRPr="00E629EA">
        <w:rPr>
          <w:rStyle w:val="Emphasis"/>
        </w:rPr>
        <w:t>forced the state’s hand</w:t>
      </w:r>
      <w:r w:rsidRPr="00E629EA">
        <w:rPr>
          <w:rStyle w:val="StyleUnderline"/>
        </w:rPr>
        <w:t xml:space="preserve">. </w:t>
      </w:r>
      <w:r w:rsidRPr="00E629EA">
        <w:rPr>
          <w:rStyle w:val="StyleUnderline"/>
          <w:highlight w:val="green"/>
        </w:rPr>
        <w:t>If governments depend on businesses</w:t>
      </w:r>
      <w:r w:rsidRPr="00E629EA">
        <w:rPr>
          <w:rStyle w:val="StyleUnderline"/>
        </w:rPr>
        <w:t xml:space="preserve">’ health, </w:t>
      </w:r>
      <w:r w:rsidRPr="00E629EA">
        <w:rPr>
          <w:rStyle w:val="StyleUnderline"/>
          <w:highlight w:val="green"/>
        </w:rPr>
        <w:t xml:space="preserve">lobbying is </w:t>
      </w:r>
      <w:r w:rsidRPr="00E629EA">
        <w:rPr>
          <w:rStyle w:val="Emphasis"/>
          <w:highlight w:val="green"/>
        </w:rPr>
        <w:t>not</w:t>
      </w:r>
      <w:r w:rsidRPr="00E629EA">
        <w:rPr>
          <w:rStyle w:val="StyleUnderline"/>
          <w:highlight w:val="green"/>
        </w:rPr>
        <w:t xml:space="preserve"> </w:t>
      </w:r>
      <w:r w:rsidRPr="00E629EA">
        <w:rPr>
          <w:rStyle w:val="Emphasis"/>
          <w:highlight w:val="green"/>
        </w:rPr>
        <w:t>necessary</w:t>
      </w:r>
      <w:r w:rsidRPr="00E629EA">
        <w:rPr>
          <w:rStyle w:val="StyleUnderline"/>
        </w:rPr>
        <w:t xml:space="preserve"> to make policy-makers conform to firms’ demands</w:t>
      </w:r>
      <w:r w:rsidRPr="000838DE">
        <w:rPr>
          <w:sz w:val="16"/>
        </w:rPr>
        <w:t xml:space="preserve"> (Culpepper 2015). Quite the opposite, </w:t>
      </w:r>
      <w:r w:rsidRPr="00E629EA">
        <w:rPr>
          <w:sz w:val="16"/>
          <w:szCs w:val="16"/>
        </w:rPr>
        <w:t>well-endowed and well-organized business actors can induce legislators to impose costly reform without fearing imminent business failure.</w:t>
      </w:r>
      <w:r w:rsidRPr="000838DE">
        <w:rPr>
          <w:sz w:val="16"/>
        </w:rPr>
        <w:t xml:space="preserve"> By no means do we want to suggest that large firms are powerless in democratic capitalism, or that they do not pose a consistent threat to the democratic process. However, </w:t>
      </w:r>
      <w:r w:rsidRPr="000838DE">
        <w:rPr>
          <w:rStyle w:val="StyleUnderline"/>
        </w:rPr>
        <w:t>the idea that business fragmentation</w:t>
      </w:r>
      <w:r w:rsidRPr="000838DE">
        <w:rPr>
          <w:sz w:val="16"/>
        </w:rPr>
        <w:t>—</w:t>
      </w:r>
      <w:r w:rsidRPr="000838DE">
        <w:rPr>
          <w:rStyle w:val="Emphasis"/>
        </w:rPr>
        <w:t>by itself</w:t>
      </w:r>
      <w:r w:rsidRPr="000838DE">
        <w:rPr>
          <w:sz w:val="16"/>
        </w:rPr>
        <w:t>—</w:t>
      </w:r>
      <w:r w:rsidRPr="000838DE">
        <w:rPr>
          <w:rStyle w:val="StyleUnderline"/>
        </w:rPr>
        <w:t xml:space="preserve">shields the political process from private influence is </w:t>
      </w:r>
      <w:r w:rsidRPr="000838DE">
        <w:rPr>
          <w:rStyle w:val="Emphasis"/>
        </w:rPr>
        <w:t>highly</w:t>
      </w:r>
      <w:r w:rsidRPr="000838DE">
        <w:rPr>
          <w:rStyle w:val="StyleUnderline"/>
        </w:rPr>
        <w:t xml:space="preserve"> </w:t>
      </w:r>
      <w:r w:rsidRPr="000838DE">
        <w:rPr>
          <w:rStyle w:val="Emphasis"/>
        </w:rPr>
        <w:t>implausible</w:t>
      </w:r>
      <w:r w:rsidRPr="000838DE">
        <w:rPr>
          <w:rStyle w:val="StyleUnderline"/>
        </w:rPr>
        <w:t>.</w:t>
      </w:r>
    </w:p>
    <w:p w14:paraId="2D8E1561" w14:textId="77777777" w:rsidR="002141EF" w:rsidRPr="000838DE" w:rsidRDefault="002141EF" w:rsidP="002141EF">
      <w:pPr>
        <w:rPr>
          <w:sz w:val="16"/>
          <w:szCs w:val="16"/>
        </w:rPr>
      </w:pPr>
      <w:r w:rsidRPr="000838DE">
        <w:rPr>
          <w:sz w:val="16"/>
          <w:szCs w:val="16"/>
        </w:rPr>
        <w:t>4 Conclusion</w:t>
      </w:r>
    </w:p>
    <w:p w14:paraId="3ED6F697" w14:textId="77777777" w:rsidR="002141EF" w:rsidRDefault="002141EF" w:rsidP="002141EF">
      <w:pPr>
        <w:rPr>
          <w:sz w:val="16"/>
        </w:rPr>
      </w:pPr>
      <w:r w:rsidRPr="000838DE">
        <w:rPr>
          <w:sz w:val="16"/>
        </w:rPr>
        <w:t xml:space="preserve">The purpose of this paper has been to critically evaluate the case for deconcentration as a tool to restore the functioning of democratic capitalism with its three core elements of good and stable employment relations, relative equality and healthy democracy. We do not fundamentally doubt that monopolization and the emergence of the giant firm represent crucial challenges for 21st-century democratic capitalism. However, we assembled extensive evidence suggesting that </w:t>
      </w:r>
      <w:r w:rsidRPr="00011171">
        <w:rPr>
          <w:rStyle w:val="StyleUnderline"/>
        </w:rPr>
        <w:t>the small</w:t>
      </w:r>
      <w:r w:rsidRPr="000838DE">
        <w:rPr>
          <w:rStyle w:val="StyleUnderline"/>
        </w:rPr>
        <w:t xml:space="preserve"> capitalist firm is</w:t>
      </w:r>
      <w:r w:rsidRPr="000838DE">
        <w:rPr>
          <w:sz w:val="16"/>
        </w:rPr>
        <w:t xml:space="preserve"> probably </w:t>
      </w:r>
      <w:r w:rsidRPr="000838DE">
        <w:rPr>
          <w:rStyle w:val="Emphasis"/>
        </w:rPr>
        <w:t>not the final solution to these challenges. Empirically</w:t>
      </w:r>
      <w:r w:rsidRPr="000838DE">
        <w:rPr>
          <w:rStyle w:val="StyleUnderline"/>
        </w:rPr>
        <w:t>, the small capitalist firm has</w:t>
      </w:r>
      <w:r w:rsidRPr="000838DE">
        <w:rPr>
          <w:sz w:val="16"/>
        </w:rPr>
        <w:t xml:space="preserve"> rather </w:t>
      </w:r>
      <w:r w:rsidRPr="000838DE">
        <w:rPr>
          <w:rStyle w:val="StyleUnderline"/>
        </w:rPr>
        <w:t xml:space="preserve">been a </w:t>
      </w:r>
      <w:r w:rsidRPr="000838DE">
        <w:rPr>
          <w:rStyle w:val="Emphasis"/>
        </w:rPr>
        <w:t>routine</w:t>
      </w:r>
      <w:r w:rsidRPr="000838DE">
        <w:rPr>
          <w:rStyle w:val="StyleUnderline"/>
        </w:rPr>
        <w:t xml:space="preserve"> </w:t>
      </w:r>
      <w:r w:rsidRPr="000838DE">
        <w:rPr>
          <w:rStyle w:val="Emphasis"/>
        </w:rPr>
        <w:t>inhibitor</w:t>
      </w:r>
      <w:r w:rsidRPr="000838DE">
        <w:rPr>
          <w:rStyle w:val="StyleUnderline"/>
        </w:rPr>
        <w:t xml:space="preserve"> of</w:t>
      </w:r>
      <w:r w:rsidRPr="000838DE">
        <w:rPr>
          <w:sz w:val="16"/>
        </w:rPr>
        <w:t xml:space="preserve"> the realization of </w:t>
      </w:r>
      <w:r w:rsidRPr="000838DE">
        <w:rPr>
          <w:rStyle w:val="StyleUnderline"/>
        </w:rPr>
        <w:t>progressive reforms and might not be the</w:t>
      </w:r>
      <w:r w:rsidRPr="000838DE">
        <w:rPr>
          <w:sz w:val="16"/>
        </w:rPr>
        <w:t xml:space="preserve"> much-vaunted </w:t>
      </w:r>
      <w:r w:rsidRPr="000838DE">
        <w:rPr>
          <w:rStyle w:val="StyleUnderline"/>
        </w:rPr>
        <w:t>motor of good, stable jobs</w:t>
      </w:r>
      <w:r w:rsidRPr="000838DE">
        <w:rPr>
          <w:sz w:val="16"/>
        </w:rPr>
        <w:t xml:space="preserve">. While antitrust might be able to reduce certain inequalities of disposable incomes through consumption, </w:t>
      </w:r>
      <w:r w:rsidRPr="000838DE">
        <w:rPr>
          <w:rStyle w:val="StyleUnderline"/>
        </w:rPr>
        <w:t>SMEs might</w:t>
      </w:r>
      <w:r w:rsidRPr="000838DE">
        <w:rPr>
          <w:sz w:val="16"/>
        </w:rPr>
        <w:t xml:space="preserve"> themselves </w:t>
      </w:r>
      <w:r w:rsidRPr="000838DE">
        <w:rPr>
          <w:rStyle w:val="StyleUnderline"/>
        </w:rPr>
        <w:t>be a</w:t>
      </w:r>
      <w:r w:rsidRPr="000838DE">
        <w:rPr>
          <w:sz w:val="16"/>
        </w:rPr>
        <w:t xml:space="preserve"> potential </w:t>
      </w:r>
      <w:r w:rsidRPr="000838DE">
        <w:rPr>
          <w:rStyle w:val="Emphasis"/>
        </w:rPr>
        <w:t>contributor to wealth inequalities</w:t>
      </w:r>
      <w:r w:rsidRPr="000838DE">
        <w:rPr>
          <w:rStyle w:val="StyleUnderline"/>
        </w:rPr>
        <w:t>. Realizing equality through</w:t>
      </w:r>
      <w:r w:rsidRPr="000838DE">
        <w:rPr>
          <w:sz w:val="16"/>
        </w:rPr>
        <w:t xml:space="preserve"> the </w:t>
      </w:r>
      <w:r w:rsidRPr="000838DE">
        <w:rPr>
          <w:rStyle w:val="StyleUnderline"/>
        </w:rPr>
        <w:t>consumption</w:t>
      </w:r>
      <w:r w:rsidRPr="000838DE">
        <w:rPr>
          <w:sz w:val="16"/>
        </w:rPr>
        <w:t xml:space="preserve"> channel </w:t>
      </w:r>
      <w:r w:rsidRPr="000838DE">
        <w:rPr>
          <w:rStyle w:val="StyleUnderline"/>
        </w:rPr>
        <w:t>might</w:t>
      </w:r>
      <w:r w:rsidRPr="000838DE">
        <w:rPr>
          <w:sz w:val="16"/>
        </w:rPr>
        <w:t xml:space="preserve"> also </w:t>
      </w:r>
      <w:r w:rsidRPr="000838DE">
        <w:rPr>
          <w:rStyle w:val="StyleUnderline"/>
        </w:rPr>
        <w:t xml:space="preserve">be </w:t>
      </w:r>
      <w:r w:rsidRPr="000838DE">
        <w:rPr>
          <w:rStyle w:val="Emphasis"/>
        </w:rPr>
        <w:t>less</w:t>
      </w:r>
      <w:r w:rsidRPr="000838DE">
        <w:rPr>
          <w:rStyle w:val="StyleUnderline"/>
        </w:rPr>
        <w:t xml:space="preserve"> </w:t>
      </w:r>
      <w:r w:rsidRPr="000838DE">
        <w:rPr>
          <w:rStyle w:val="Emphasis"/>
        </w:rPr>
        <w:t>straightforward</w:t>
      </w:r>
      <w:r w:rsidRPr="000838DE">
        <w:rPr>
          <w:rStyle w:val="StyleUnderline"/>
        </w:rPr>
        <w:t xml:space="preserve"> than </w:t>
      </w:r>
      <w:r w:rsidRPr="000838DE">
        <w:rPr>
          <w:rStyle w:val="Emphasis"/>
        </w:rPr>
        <w:t>attacking income and wealth inequality at its core.</w:t>
      </w:r>
      <w:r w:rsidRPr="000838DE">
        <w:rPr>
          <w:sz w:val="16"/>
        </w:rPr>
        <w:t xml:space="preserve"> Finally, </w:t>
      </w:r>
      <w:r w:rsidRPr="000838DE">
        <w:rPr>
          <w:rStyle w:val="StyleUnderline"/>
        </w:rPr>
        <w:t>research on the ‘extremism of the center’ suggests</w:t>
      </w:r>
      <w:r w:rsidRPr="000838DE">
        <w:rPr>
          <w:sz w:val="16"/>
        </w:rPr>
        <w:t xml:space="preserve"> that </w:t>
      </w:r>
      <w:r w:rsidRPr="00011171">
        <w:rPr>
          <w:rStyle w:val="StyleUnderline"/>
        </w:rPr>
        <w:t>SMEs</w:t>
      </w:r>
      <w:r w:rsidRPr="000838DE">
        <w:rPr>
          <w:sz w:val="16"/>
        </w:rPr>
        <w:t xml:space="preserve"> and allied interests </w:t>
      </w:r>
      <w:r w:rsidRPr="000838DE">
        <w:rPr>
          <w:rStyle w:val="StyleUnderline"/>
        </w:rPr>
        <w:t>might</w:t>
      </w:r>
      <w:r w:rsidRPr="000838DE">
        <w:rPr>
          <w:sz w:val="16"/>
        </w:rPr>
        <w:t xml:space="preserve"> even </w:t>
      </w:r>
      <w:r w:rsidRPr="000838DE">
        <w:rPr>
          <w:rStyle w:val="Emphasis"/>
        </w:rPr>
        <w:t>turn into a reactionary force in modern democracy</w:t>
      </w:r>
      <w:r w:rsidRPr="000838DE">
        <w:rPr>
          <w:rStyle w:val="StyleUnderline"/>
        </w:rPr>
        <w:t xml:space="preserve">, </w:t>
      </w:r>
      <w:r w:rsidRPr="000838DE">
        <w:rPr>
          <w:rStyle w:val="Emphasis"/>
        </w:rPr>
        <w:t>inhibiting social reform</w:t>
      </w:r>
      <w:r w:rsidRPr="000838DE">
        <w:rPr>
          <w:sz w:val="16"/>
        </w:rPr>
        <w:t xml:space="preserve"> and regulation. </w:t>
      </w:r>
      <w:r w:rsidRPr="00011171">
        <w:rPr>
          <w:rStyle w:val="StyleUnderline"/>
          <w:highlight w:val="green"/>
        </w:rPr>
        <w:t>SMEs</w:t>
      </w:r>
      <w:r w:rsidRPr="000838DE">
        <w:rPr>
          <w:rStyle w:val="StyleUnderline"/>
        </w:rPr>
        <w:t xml:space="preserve"> are</w:t>
      </w:r>
      <w:r w:rsidRPr="000838DE">
        <w:rPr>
          <w:sz w:val="16"/>
        </w:rPr>
        <w:t xml:space="preserve"> among the </w:t>
      </w:r>
      <w:r w:rsidRPr="000838DE">
        <w:rPr>
          <w:rStyle w:val="StyleUnderline"/>
        </w:rPr>
        <w:t>key defenders of low inheritance and wealth taxation in</w:t>
      </w:r>
      <w:r w:rsidRPr="000838DE">
        <w:rPr>
          <w:sz w:val="16"/>
        </w:rPr>
        <w:t xml:space="preserve"> the </w:t>
      </w:r>
      <w:r w:rsidRPr="000838DE">
        <w:rPr>
          <w:rStyle w:val="StyleUnderline"/>
        </w:rPr>
        <w:t>protection of their</w:t>
      </w:r>
      <w:r w:rsidRPr="000838DE">
        <w:rPr>
          <w:sz w:val="16"/>
        </w:rPr>
        <w:t xml:space="preserve"> business </w:t>
      </w:r>
      <w:r w:rsidRPr="000838DE">
        <w:rPr>
          <w:rStyle w:val="StyleUnderline"/>
        </w:rPr>
        <w:t>wealth and</w:t>
      </w:r>
      <w:r w:rsidRPr="000838DE">
        <w:rPr>
          <w:sz w:val="16"/>
        </w:rPr>
        <w:t xml:space="preserve"> thus rather </w:t>
      </w:r>
      <w:r w:rsidRPr="00011171">
        <w:rPr>
          <w:rStyle w:val="StyleUnderline"/>
          <w:highlight w:val="green"/>
        </w:rPr>
        <w:t>stand in the way of</w:t>
      </w:r>
      <w:r w:rsidRPr="000838DE">
        <w:rPr>
          <w:sz w:val="16"/>
        </w:rPr>
        <w:t xml:space="preserve"> Piketty’s </w:t>
      </w:r>
      <w:r w:rsidRPr="000838DE">
        <w:rPr>
          <w:rStyle w:val="Emphasis"/>
        </w:rPr>
        <w:t xml:space="preserve">participatory </w:t>
      </w:r>
      <w:r w:rsidRPr="00011171">
        <w:rPr>
          <w:rStyle w:val="Emphasis"/>
          <w:highlight w:val="green"/>
        </w:rPr>
        <w:t>socialism</w:t>
      </w:r>
      <w:r w:rsidRPr="000838DE">
        <w:rPr>
          <w:sz w:val="16"/>
        </w:rPr>
        <w:t xml:space="preserve"> and ‘progressive tax triptych.’ Reasons of space prevent us from dissecting other inconclusive empirical evidence for further claims brought forward by modern Mittelstand ideals, such as superior innovativeness and contributions to employment. As important as size can be for determining social phenomena (Simmel [1908] 1950), it might generally be too unsteady a factor to build a strong reform agenda upon. As generalizing sets of political economic assertions, Mittelstand ideologies rarely stand the test of scientific scrutiny.</w:t>
      </w:r>
    </w:p>
    <w:p w14:paraId="58ADDD95" w14:textId="77777777" w:rsidR="002141EF" w:rsidRPr="000D2198" w:rsidRDefault="002141EF" w:rsidP="002141EF">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211A75FF" w14:textId="77777777" w:rsidR="002141EF" w:rsidRDefault="002141EF" w:rsidP="002141EF">
      <w:pPr>
        <w:rPr>
          <w:rStyle w:val="Style13ptBold"/>
        </w:rPr>
      </w:pPr>
      <w:r>
        <w:rPr>
          <w:rStyle w:val="Style13ptBold"/>
        </w:rPr>
        <w:t>Escalante ‘18</w:t>
      </w:r>
    </w:p>
    <w:p w14:paraId="0F2D7B73" w14:textId="77777777" w:rsidR="002141EF" w:rsidRPr="001E1390" w:rsidRDefault="002141EF" w:rsidP="002141EF">
      <w:pPr>
        <w:rPr>
          <w:sz w:val="16"/>
          <w:szCs w:val="16"/>
        </w:rPr>
      </w:pPr>
      <w:r w:rsidRPr="001E1390">
        <w:rPr>
          <w:sz w:val="16"/>
          <w:szCs w:val="16"/>
        </w:rPr>
        <w:t xml:space="preserve">[Alyson, philosophy at U of Oregon. 08/24/2018. “Against Electoralism,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5EE5AD03" w14:textId="77777777" w:rsidR="002141EF" w:rsidRPr="000D2198" w:rsidRDefault="002141EF" w:rsidP="002141EF">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C2B3BCF" w14:textId="77777777" w:rsidR="002141EF" w:rsidRPr="000D2198" w:rsidRDefault="002141EF" w:rsidP="002141EF">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0D2198">
        <w:rPr>
          <w:rStyle w:val="Emphasis"/>
          <w:highlight w:val="green"/>
        </w:rPr>
        <w:t>we need to abandon electoralism</w:t>
      </w:r>
      <w:r w:rsidRPr="000D2198">
        <w:rPr>
          <w:rStyle w:val="Emphasis"/>
        </w:rPr>
        <w:t xml:space="preserve"> and working within the bourgeois state</w:t>
      </w:r>
      <w:r w:rsidRPr="000D2198">
        <w:rPr>
          <w:sz w:val="12"/>
        </w:rPr>
        <w:t>.</w:t>
      </w:r>
    </w:p>
    <w:p w14:paraId="11A2475F" w14:textId="77777777" w:rsidR="002141EF" w:rsidRPr="000D2198" w:rsidRDefault="002141EF" w:rsidP="002141EF">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1998D2D1" w14:textId="77777777" w:rsidR="002141EF" w:rsidRPr="000D2198" w:rsidRDefault="002141EF" w:rsidP="002141EF">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16DC6476" w14:textId="77777777" w:rsidR="002141EF" w:rsidRPr="000D2198" w:rsidRDefault="002141EF" w:rsidP="002141EF">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2006AFC0" w14:textId="77777777" w:rsidR="002141EF" w:rsidRPr="000D2198" w:rsidRDefault="002141EF" w:rsidP="002141EF">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B912B06" w14:textId="77777777" w:rsidR="002141EF" w:rsidRPr="000D2198" w:rsidRDefault="002141EF" w:rsidP="002141EF">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B2C4997" w14:textId="77777777" w:rsidR="002141EF" w:rsidRPr="000D2198" w:rsidRDefault="002141EF" w:rsidP="002141EF">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7D0FF979" w14:textId="77777777" w:rsidR="002141EF" w:rsidRPr="000D2198" w:rsidRDefault="002141EF" w:rsidP="002141EF">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68E28C11" w14:textId="77777777" w:rsidR="002141EF" w:rsidRPr="000D2198" w:rsidRDefault="002141EF" w:rsidP="002141EF">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562464C8" w14:textId="77777777" w:rsidR="002141EF" w:rsidRPr="000D2198" w:rsidRDefault="002141EF" w:rsidP="002141EF">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For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4D3B291E" w14:textId="77777777" w:rsidR="002141EF" w:rsidRPr="000D2198" w:rsidRDefault="002141EF" w:rsidP="002141EF">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71A54348" w14:textId="77777777" w:rsidR="002141EF" w:rsidRDefault="002141EF" w:rsidP="002141EF">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6C1303C2" w14:textId="77777777" w:rsidR="002141EF" w:rsidRPr="007F4F3A" w:rsidRDefault="002141EF" w:rsidP="002141EF">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30842B2E" w14:textId="77777777" w:rsidR="002141EF" w:rsidRPr="009C1D1E" w:rsidRDefault="002141EF" w:rsidP="002141EF">
      <w:pPr>
        <w:rPr>
          <w:rStyle w:val="Style13ptBold"/>
        </w:rPr>
      </w:pPr>
      <w:r>
        <w:rPr>
          <w:rStyle w:val="Style13ptBold"/>
        </w:rPr>
        <w:t>Yamada et al ‘20</w:t>
      </w:r>
    </w:p>
    <w:p w14:paraId="5979475F" w14:textId="77777777" w:rsidR="002141EF" w:rsidRDefault="002141EF" w:rsidP="002141EF">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1CB3E22D" w14:textId="77777777" w:rsidR="002141EF" w:rsidRPr="009C1D1E" w:rsidRDefault="002141EF" w:rsidP="002141EF">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3BF8A9F2" w14:textId="77777777" w:rsidR="002141EF" w:rsidRPr="009C1D1E" w:rsidRDefault="002141EF" w:rsidP="002141EF">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4D9C7B56" w14:textId="77777777" w:rsidR="002141EF" w:rsidRPr="009C1D1E" w:rsidRDefault="002141EF" w:rsidP="002141EF">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07346498" w14:textId="77777777" w:rsidR="002141EF" w:rsidRPr="009C1D1E" w:rsidRDefault="002141EF" w:rsidP="002141EF">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0003C03D" w14:textId="77777777" w:rsidR="002141EF" w:rsidRPr="00306111" w:rsidRDefault="002141EF" w:rsidP="002141EF">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2AF28D4C" w14:textId="77777777" w:rsidR="002141EF" w:rsidRPr="00306111" w:rsidRDefault="002141EF" w:rsidP="002141EF">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36236BBC" w14:textId="77777777" w:rsidR="002141EF" w:rsidRPr="00306111" w:rsidRDefault="002141EF" w:rsidP="002141EF">
      <w:pPr>
        <w:rPr>
          <w:sz w:val="8"/>
          <w:szCs w:val="8"/>
        </w:rPr>
      </w:pPr>
      <w:r w:rsidRPr="00306111">
        <w:rPr>
          <w:sz w:val="8"/>
          <w:szCs w:val="8"/>
        </w:rPr>
        <w:t>Why we need revolutionary medicine now. Climate catastrophe, threat of nuclear war, inequality.</w:t>
      </w:r>
    </w:p>
    <w:p w14:paraId="07E8EBC5" w14:textId="77777777" w:rsidR="002141EF" w:rsidRPr="00306111" w:rsidRDefault="002141EF" w:rsidP="002141EF">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0DA9A5E8" w14:textId="77777777" w:rsidR="002141EF" w:rsidRPr="00306111" w:rsidRDefault="002141EF" w:rsidP="002141EF">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404E77BE" w14:textId="77777777" w:rsidR="002141EF" w:rsidRPr="00306111" w:rsidRDefault="002141EF" w:rsidP="002141EF">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1D549249" w14:textId="77777777" w:rsidR="002141EF" w:rsidRPr="00306111" w:rsidRDefault="002141EF" w:rsidP="002141EF">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507CC153" w14:textId="77777777" w:rsidR="002141EF" w:rsidRPr="00306111" w:rsidRDefault="002141EF" w:rsidP="002141EF">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5D117FF1" w14:textId="77777777" w:rsidR="002141EF" w:rsidRPr="00306111" w:rsidRDefault="002141EF" w:rsidP="002141EF">
      <w:pPr>
        <w:rPr>
          <w:sz w:val="8"/>
          <w:szCs w:val="8"/>
        </w:rPr>
      </w:pPr>
      <w:r w:rsidRPr="00306111">
        <w:rPr>
          <w:sz w:val="8"/>
          <w:szCs w:val="8"/>
        </w:rPr>
        <w:t>The scientific basis – against reductionism.</w:t>
      </w:r>
    </w:p>
    <w:p w14:paraId="036624E2" w14:textId="77777777" w:rsidR="002141EF" w:rsidRPr="00306111" w:rsidRDefault="002141EF" w:rsidP="002141EF">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00A1ADE6" w14:textId="77777777" w:rsidR="002141EF" w:rsidRPr="00306111" w:rsidRDefault="002141EF" w:rsidP="002141EF">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55990215" w14:textId="77777777" w:rsidR="002141EF" w:rsidRPr="00306111" w:rsidRDefault="002141EF" w:rsidP="002141EF">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69F1BBF1" w14:textId="77777777" w:rsidR="002141EF" w:rsidRPr="00306111" w:rsidRDefault="002141EF" w:rsidP="002141EF">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79C3E975" w14:textId="77777777" w:rsidR="002141EF" w:rsidRPr="00306111" w:rsidRDefault="002141EF" w:rsidP="002141EF">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6BE036B2" w14:textId="77777777" w:rsidR="002141EF" w:rsidRPr="00306111" w:rsidRDefault="002141EF" w:rsidP="002141EF">
      <w:pPr>
        <w:rPr>
          <w:sz w:val="8"/>
          <w:szCs w:val="8"/>
        </w:rPr>
      </w:pPr>
      <w:r w:rsidRPr="00306111">
        <w:rPr>
          <w:sz w:val="8"/>
          <w:szCs w:val="8"/>
        </w:rPr>
        <w:t>Proletarianization of health workers.</w:t>
      </w:r>
    </w:p>
    <w:p w14:paraId="139F3AFC" w14:textId="77777777" w:rsidR="002141EF" w:rsidRPr="00306111" w:rsidRDefault="002141EF" w:rsidP="002141EF">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5EA693D0" w14:textId="77777777" w:rsidR="002141EF" w:rsidRPr="00306111" w:rsidRDefault="002141EF" w:rsidP="002141EF">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37816A3B" w14:textId="77777777" w:rsidR="002141EF" w:rsidRPr="00306111" w:rsidRDefault="002141EF" w:rsidP="002141EF">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7AD520D6" w14:textId="77777777" w:rsidR="002141EF" w:rsidRPr="00306111" w:rsidRDefault="002141EF" w:rsidP="002141EF">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5D59B5EA" w14:textId="77777777" w:rsidR="002141EF" w:rsidRPr="00306111" w:rsidRDefault="002141EF" w:rsidP="002141EF">
      <w:pPr>
        <w:ind w:firstLine="720"/>
        <w:rPr>
          <w:sz w:val="8"/>
          <w:szCs w:val="8"/>
        </w:rPr>
      </w:pPr>
      <w:r w:rsidRPr="00306111">
        <w:rPr>
          <w:sz w:val="8"/>
          <w:szCs w:val="8"/>
        </w:rPr>
        <w:t>Nurse Neo to family doctor Trinity: Can you fix this subarachnoid hemorrhage?</w:t>
      </w:r>
    </w:p>
    <w:p w14:paraId="55A4BBBB" w14:textId="77777777" w:rsidR="002141EF" w:rsidRPr="00306111" w:rsidRDefault="002141EF" w:rsidP="002141EF">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2BC2DA17" w14:textId="77777777" w:rsidR="002141EF" w:rsidRPr="00306111" w:rsidRDefault="002141EF" w:rsidP="002141EF">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6D356012" w14:textId="77777777" w:rsidR="002141EF" w:rsidRPr="00306111" w:rsidRDefault="002141EF" w:rsidP="002141EF">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33B389D3" w14:textId="77777777" w:rsidR="002141EF" w:rsidRDefault="002141EF" w:rsidP="002141EF">
      <w:pPr>
        <w:pStyle w:val="Heading2"/>
      </w:pPr>
      <w:r>
        <w:t>Case</w:t>
      </w:r>
    </w:p>
    <w:p w14:paraId="2319D99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6C2C24"/>
    <w:multiLevelType w:val="hybridMultilevel"/>
    <w:tmpl w:val="1378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960FC3"/>
    <w:multiLevelType w:val="hybridMultilevel"/>
    <w:tmpl w:val="0840CEDC"/>
    <w:lvl w:ilvl="0" w:tplc="9FAC1B42">
      <w:start w:val="239"/>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41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1EF"/>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8EC0A"/>
  <w14:defaultImageDpi w14:val="300"/>
  <w15:docId w15:val="{15395609-E806-964F-AEA5-14678F68F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41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141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41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2141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2141EF"/>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141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41EF"/>
  </w:style>
  <w:style w:type="character" w:customStyle="1" w:styleId="Heading1Char">
    <w:name w:val="Heading 1 Char"/>
    <w:aliases w:val="Pocket Char"/>
    <w:basedOn w:val="DefaultParagraphFont"/>
    <w:link w:val="Heading1"/>
    <w:uiPriority w:val="9"/>
    <w:rsid w:val="002141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41EF"/>
    <w:rPr>
      <w:rFonts w:ascii="Calibri" w:eastAsiaTheme="majorEastAsia" w:hAnsi="Calibri" w:cstheme="majorBidi"/>
      <w:b/>
      <w:bCs/>
      <w:sz w:val="44"/>
      <w:szCs w:val="44"/>
      <w:u w:val="double"/>
    </w:rPr>
  </w:style>
  <w:style w:type="character" w:customStyle="1" w:styleId="Heading3Char">
    <w:name w:val="Heading 3 Char"/>
    <w:aliases w:val="Block Char,CD Underline Char,Heading 3 Char Char Char Char Char,Citation Char Char Char Char Char,Citation Char1 Char Char Char,Heading 3 Char Char1 Char,Citation Char Char1 Char,Citation Char Char Char1,Heading 3 Char1 Char Char Char1"/>
    <w:basedOn w:val="DefaultParagraphFont"/>
    <w:link w:val="Heading3"/>
    <w:uiPriority w:val="9"/>
    <w:rsid w:val="002141EF"/>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2141EF"/>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41EF"/>
    <w:rPr>
      <w:b/>
      <w:sz w:val="24"/>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2141E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s"/>
    <w:basedOn w:val="DefaultParagraphFont"/>
    <w:link w:val="textbold"/>
    <w:uiPriority w:val="20"/>
    <w:qFormat/>
    <w:rsid w:val="002141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141E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2141EF"/>
    <w:rPr>
      <w:color w:val="auto"/>
      <w:u w:val="none"/>
    </w:rPr>
  </w:style>
  <w:style w:type="paragraph" w:styleId="DocumentMap">
    <w:name w:val="Document Map"/>
    <w:basedOn w:val="Normal"/>
    <w:link w:val="DocumentMapChar"/>
    <w:uiPriority w:val="99"/>
    <w:semiHidden/>
    <w:unhideWhenUsed/>
    <w:rsid w:val="002141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41EF"/>
    <w:rPr>
      <w:rFonts w:ascii="Lucida Grande" w:hAnsi="Lucida Grande" w:cs="Lucida Grande"/>
    </w:rPr>
  </w:style>
  <w:style w:type="paragraph" w:customStyle="1" w:styleId="textbold">
    <w:name w:val="text bold"/>
    <w:basedOn w:val="Normal"/>
    <w:link w:val="Emphasis"/>
    <w:uiPriority w:val="20"/>
    <w:qFormat/>
    <w:rsid w:val="002141EF"/>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nonunderlined,Very Small Text,No Spacing111112,No Spacing41,Dont use,Note Level 21,ClearFormatting,Clear,DDI Tag,Tag Title,No Spacing51,Tag and Ci,No Spacing11211,Debate Text,No Spacing31"/>
    <w:basedOn w:val="Heading1"/>
    <w:link w:val="Hyperlink"/>
    <w:autoRedefine/>
    <w:uiPriority w:val="99"/>
    <w:qFormat/>
    <w:rsid w:val="002141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2141E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2141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9477</Words>
  <Characters>54021</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2021-09-25T18:26:00Z</dcterms:created>
  <dcterms:modified xsi:type="dcterms:W3CDTF">2021-09-25T18:27:00Z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