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8766" w14:textId="77777777" w:rsidR="004940BF" w:rsidRDefault="004940BF" w:rsidP="004940BF">
      <w:pPr>
        <w:pStyle w:val="NormalWeb"/>
        <w:spacing w:before="240" w:beforeAutospacing="0" w:after="40" w:afterAutospacing="0"/>
      </w:pPr>
      <w:r>
        <w:rPr>
          <w:rFonts w:ascii="Calibri" w:hAnsi="Calibri" w:cs="Calibri"/>
          <w:b/>
          <w:bCs/>
          <w:color w:val="000000"/>
          <w:sz w:val="26"/>
          <w:szCs w:val="26"/>
        </w:rPr>
        <w:t>Extinction comes first under any framework</w:t>
      </w:r>
    </w:p>
    <w:p w14:paraId="722B518F" w14:textId="77777777" w:rsidR="004940BF" w:rsidRDefault="004940BF" w:rsidP="004940BF">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02E4BE62" w14:textId="77777777" w:rsidR="004940BF" w:rsidRDefault="004940BF" w:rsidP="004940BF">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w:t>
      </w:r>
      <w:r>
        <w:rPr>
          <w:rFonts w:ascii="Calibri" w:hAnsi="Calibri" w:cs="Calibri"/>
          <w:color w:val="000000"/>
          <w:sz w:val="22"/>
          <w:szCs w:val="22"/>
          <w:u w:val="single"/>
        </w:rPr>
        <w:lastRenderedPageBreak/>
        <w:t>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We should also take into account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they would have pretty strong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seem to be fairly implausible views.</w:t>
      </w:r>
      <w:r>
        <w:rPr>
          <w:rFonts w:ascii="Calibri" w:hAnsi="Calibri" w:cs="Calibri"/>
          <w:color w:val="000000"/>
          <w:sz w:val="16"/>
          <w:szCs w:val="16"/>
        </w:rPr>
        <w:t xml:space="preserve"> And </w:t>
      </w:r>
      <w:r>
        <w:rPr>
          <w:rFonts w:ascii="Calibri" w:hAnsi="Calibri" w:cs="Calibri"/>
          <w:color w:val="000000"/>
          <w:sz w:val="22"/>
          <w:szCs w:val="22"/>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7C703D17" w14:textId="77777777" w:rsidR="004940BF" w:rsidRDefault="004940BF" w:rsidP="004940BF"/>
    <w:p w14:paraId="1A3EAB23" w14:textId="55B784D8" w:rsidR="004940BF" w:rsidRDefault="004940BF" w:rsidP="004940BF">
      <w:pPr>
        <w:pStyle w:val="Heading1"/>
      </w:pPr>
      <w:r>
        <w:lastRenderedPageBreak/>
        <w:t>Case Level</w:t>
      </w:r>
    </w:p>
    <w:p w14:paraId="713815AF" w14:textId="77777777" w:rsidR="004940BF" w:rsidRDefault="004940BF" w:rsidP="004940BF">
      <w:pPr>
        <w:pStyle w:val="Heading2"/>
      </w:pPr>
      <w:r>
        <w:lastRenderedPageBreak/>
        <w:t>Trade Secrecy DA</w:t>
      </w:r>
    </w:p>
    <w:p w14:paraId="0FA4CEB7" w14:textId="77777777" w:rsidR="004940BF" w:rsidRDefault="004940BF" w:rsidP="004940BF">
      <w:pPr>
        <w:pStyle w:val="Heading4"/>
        <w:spacing w:before="240" w:after="40"/>
      </w:pPr>
      <w:r>
        <w:rPr>
          <w:rFonts w:cs="Calibri"/>
          <w:color w:val="000000"/>
        </w:rPr>
        <w:t>Removing Patent protections will just encourage trade secrecy</w:t>
      </w:r>
    </w:p>
    <w:p w14:paraId="409B0AF0" w14:textId="77777777" w:rsidR="004940BF" w:rsidRDefault="004940BF" w:rsidP="004940BF">
      <w:pPr>
        <w:pStyle w:val="NormalWeb"/>
        <w:spacing w:before="0" w:beforeAutospacing="0" w:after="160" w:afterAutospacing="0"/>
      </w:pPr>
      <w:r>
        <w:rPr>
          <w:rFonts w:ascii="Calibri" w:hAnsi="Calibri" w:cs="Calibri"/>
          <w:b/>
          <w:bCs/>
          <w:color w:val="000000"/>
          <w:sz w:val="26"/>
          <w:szCs w:val="26"/>
        </w:rPr>
        <w:t>Raidt 14</w:t>
      </w:r>
      <w:r>
        <w:rPr>
          <w:rFonts w:ascii="Calibri" w:hAnsi="Calibri" w:cs="Calibri"/>
          <w:color w:val="000000"/>
          <w:sz w:val="22"/>
          <w:szCs w:val="22"/>
        </w:rPr>
        <w:t>, John Raidt, US Chamber of Commerce Foundation, “Patents and Biotechnology”</w:t>
      </w:r>
      <w:hyperlink r:id="rId9" w:history="1">
        <w:r>
          <w:rPr>
            <w:rStyle w:val="Hyperlink"/>
            <w:rFonts w:ascii="Calibri" w:hAnsi="Calibri" w:cs="Calibri"/>
            <w:color w:val="000000"/>
            <w:szCs w:val="22"/>
          </w:rPr>
          <w:t xml:space="preserve"> </w:t>
        </w:r>
        <w:r>
          <w:rPr>
            <w:rStyle w:val="Hyperlink"/>
            <w:rFonts w:ascii="Calibri" w:hAnsi="Calibri" w:cs="Calibri"/>
            <w:color w:val="1155CC"/>
            <w:szCs w:val="22"/>
          </w:rPr>
          <w:t>https://www.uschamberfoundation.org/patents-and-biotechnology</w:t>
        </w:r>
      </w:hyperlink>
    </w:p>
    <w:p w14:paraId="16FF6578" w14:textId="77777777" w:rsidR="004940BF" w:rsidRDefault="004940BF" w:rsidP="004940BF">
      <w:pPr>
        <w:pStyle w:val="NormalWeb"/>
        <w:spacing w:before="0" w:beforeAutospacing="0" w:after="160" w:afterAutospacing="0"/>
      </w:pPr>
      <w:r>
        <w:rPr>
          <w:rFonts w:ascii="Calibri" w:hAnsi="Calibri" w:cs="Calibri"/>
          <w:color w:val="000000"/>
          <w:sz w:val="22"/>
          <w:szCs w:val="22"/>
        </w:rPr>
        <w:t xml:space="preserve">What would our innovation system look like </w:t>
      </w:r>
      <w:r>
        <w:rPr>
          <w:rFonts w:ascii="Calibri" w:hAnsi="Calibri" w:cs="Calibri"/>
          <w:b/>
          <w:bCs/>
          <w:color w:val="000000"/>
          <w:sz w:val="22"/>
          <w:szCs w:val="22"/>
          <w:u w:val="single"/>
          <w:shd w:val="clear" w:color="auto" w:fill="FFBADD"/>
        </w:rPr>
        <w:t>without patents</w:t>
      </w:r>
      <w:r>
        <w:rPr>
          <w:rFonts w:ascii="Calibri" w:hAnsi="Calibri" w:cs="Calibri"/>
          <w:color w:val="000000"/>
          <w:sz w:val="22"/>
          <w:szCs w:val="22"/>
        </w:rPr>
        <w:t>? It’s hard to imagine that it would</w:t>
      </w:r>
      <w:r>
        <w:rPr>
          <w:rFonts w:ascii="MS Mincho" w:eastAsia="MS Mincho" w:hAnsi="MS Mincho" w:hint="eastAsia"/>
          <w:color w:val="000000"/>
          <w:sz w:val="22"/>
          <w:szCs w:val="22"/>
        </w:rPr>
        <w:t> </w:t>
      </w:r>
      <w:r>
        <w:rPr>
          <w:rFonts w:ascii="Calibri" w:hAnsi="Calibri" w:cs="Calibri"/>
          <w:color w:val="000000"/>
          <w:sz w:val="22"/>
          <w:szCs w:val="22"/>
        </w:rPr>
        <w:t xml:space="preserve">be much to look at given that </w:t>
      </w:r>
      <w:r>
        <w:rPr>
          <w:rFonts w:ascii="Calibri" w:hAnsi="Calibri" w:cs="Calibri"/>
          <w:b/>
          <w:bCs/>
          <w:color w:val="000000"/>
          <w:sz w:val="22"/>
          <w:szCs w:val="22"/>
          <w:u w:val="single"/>
          <w:shd w:val="clear" w:color="auto" w:fill="FFBADD"/>
        </w:rPr>
        <w:t>the primary alternative would be trade secrecy</w:t>
      </w:r>
      <w:r>
        <w:rPr>
          <w:rFonts w:ascii="Calibri" w:hAnsi="Calibri" w:cs="Calibri"/>
          <w:color w:val="000000"/>
          <w:sz w:val="22"/>
          <w:szCs w:val="22"/>
        </w:rPr>
        <w:t>. But the high cost of seeking patent protection overseas, among other reasons, is elevating the status of trade secrecy as an IP tool of choice, despite its chief shortcoming. As the NIH points out, “</w:t>
      </w:r>
      <w:r>
        <w:rPr>
          <w:rFonts w:ascii="Calibri" w:hAnsi="Calibri" w:cs="Calibri"/>
          <w:b/>
          <w:bCs/>
          <w:color w:val="000000"/>
          <w:sz w:val="22"/>
          <w:szCs w:val="22"/>
          <w:u w:val="single"/>
          <w:shd w:val="clear" w:color="auto" w:fill="FFBADD"/>
        </w:rPr>
        <w:t>trade secret protection lasts for as long as the secret is kept confidential. If the secret is never publicly disclosed, it will never lose its protection</w:t>
      </w:r>
      <w:r>
        <w:rPr>
          <w:rFonts w:ascii="Calibri" w:hAnsi="Calibri" w:cs="Calibri"/>
          <w:color w:val="000000"/>
          <w:sz w:val="22"/>
          <w:szCs w:val="22"/>
        </w:rPr>
        <w:t>. If the secret is uncovered by means of industrial espionage, disloyal employees, theft, or the like, the owner of the secret has legal recourse against those who misappropriated the secret, or anyone who procured it through such impropriety.” Protection is not afforded, however, “in the event that someone managed to successfully duplicate the recipe by legitimate means</w:t>
      </w:r>
      <w:r>
        <w:rPr>
          <w:rFonts w:ascii="Calibri" w:hAnsi="Calibri" w:cs="Calibri"/>
          <w:b/>
          <w:bCs/>
          <w:color w:val="000000"/>
          <w:sz w:val="22"/>
          <w:szCs w:val="22"/>
          <w:u w:val="single"/>
          <w:shd w:val="clear" w:color="auto" w:fill="FFBADD"/>
        </w:rPr>
        <w:t>.” A trend toward greater trade secrecy to avoid the pitfall of an insufficient patent regime poses two significant problems. For companies, it’s unsustainable because today’s technology makes inimitability exceedingly difficult to maintain. For society, it’s undesirable because secrecy deeply undermines the scientific process that feeds on the kind of transparency and collaboration that the patent system was conceived to deliver. Opting for trade secrecy over patent protection will have a chilling effect on innovation and threatens to undermine broad-ranging scientific advancement.</w:t>
      </w:r>
      <w:r>
        <w:rPr>
          <w:rFonts w:ascii="Calibri" w:hAnsi="Calibri" w:cs="Calibri"/>
          <w:b/>
          <w:bCs/>
          <w:color w:val="000000"/>
          <w:sz w:val="22"/>
          <w:szCs w:val="22"/>
          <w:u w:val="single"/>
        </w:rPr>
        <w:t xml:space="preserve"> </w:t>
      </w:r>
      <w:r>
        <w:rPr>
          <w:rFonts w:ascii="Calibri" w:hAnsi="Calibri" w:cs="Calibri"/>
          <w:color w:val="000000"/>
          <w:sz w:val="22"/>
          <w:szCs w:val="22"/>
        </w:rPr>
        <w:t>The quality of innovation touches our lives and enterprises in so many ways. Thus, we are all stakeholders in the patent debate and, in particular, the life science patent debate.</w:t>
      </w:r>
    </w:p>
    <w:p w14:paraId="5EE45C9F" w14:textId="77777777" w:rsidR="004940BF" w:rsidRDefault="004940BF" w:rsidP="004940BF">
      <w:pPr>
        <w:pStyle w:val="NormalWeb"/>
        <w:spacing w:before="0" w:beforeAutospacing="0" w:after="0" w:afterAutospacing="0"/>
      </w:pPr>
      <w:r>
        <w:rPr>
          <w:color w:val="000000"/>
        </w:rPr>
        <w:t> </w:t>
      </w:r>
    </w:p>
    <w:p w14:paraId="79C22A28" w14:textId="77777777" w:rsidR="004940BF" w:rsidRDefault="004940BF" w:rsidP="004940BF">
      <w:pPr>
        <w:pStyle w:val="Heading4"/>
        <w:spacing w:before="240" w:after="40"/>
      </w:pPr>
      <w:r>
        <w:rPr>
          <w:rFonts w:cs="Calibri"/>
          <w:color w:val="000000"/>
        </w:rPr>
        <w:t>Trade Secrecy is bad</w:t>
      </w:r>
    </w:p>
    <w:p w14:paraId="28D83E0A" w14:textId="77777777" w:rsidR="004940BF" w:rsidRDefault="004940BF" w:rsidP="004940BF">
      <w:pPr>
        <w:pStyle w:val="NormalWeb"/>
        <w:spacing w:before="0" w:beforeAutospacing="0" w:after="160" w:afterAutospacing="0"/>
      </w:pPr>
      <w:r>
        <w:rPr>
          <w:rFonts w:ascii="Calibri" w:hAnsi="Calibri" w:cs="Calibri"/>
          <w:b/>
          <w:bCs/>
          <w:color w:val="000000"/>
          <w:sz w:val="26"/>
          <w:szCs w:val="26"/>
        </w:rPr>
        <w:t>Zink 18</w:t>
      </w:r>
      <w:r>
        <w:rPr>
          <w:rFonts w:ascii="Calibri" w:hAnsi="Calibri" w:cs="Calibri"/>
          <w:color w:val="000000"/>
          <w:sz w:val="22"/>
          <w:szCs w:val="22"/>
        </w:rPr>
        <w:t>, Julie Zink, University of Dayton, “When Trade Secrecy Goes Too Far: Public Health and Safety Should Trump Corporate Profits” Summer 2018 issue, Page 1142</w:t>
      </w:r>
      <w:hyperlink r:id="rId10" w:history="1">
        <w:r>
          <w:rPr>
            <w:rStyle w:val="Hyperlink"/>
            <w:rFonts w:ascii="Calibri" w:hAnsi="Calibri" w:cs="Calibri"/>
            <w:color w:val="000000"/>
            <w:szCs w:val="22"/>
          </w:rPr>
          <w:t xml:space="preserve"> </w:t>
        </w:r>
        <w:r>
          <w:rPr>
            <w:rStyle w:val="Hyperlink"/>
            <w:rFonts w:ascii="Calibri" w:hAnsi="Calibri" w:cs="Calibri"/>
            <w:color w:val="1155CC"/>
            <w:szCs w:val="22"/>
          </w:rPr>
          <w:t>https://ecommons.udayton.edu/cgi/viewcontent.cgi?article=1109&amp;context=law_fac_pub</w:t>
        </w:r>
      </w:hyperlink>
      <w:r>
        <w:rPr>
          <w:rFonts w:ascii="Calibri" w:hAnsi="Calibri" w:cs="Calibri"/>
          <w:color w:val="000000"/>
          <w:sz w:val="22"/>
          <w:szCs w:val="22"/>
        </w:rPr>
        <w:t xml:space="preserve"> Livingston RB</w:t>
      </w:r>
    </w:p>
    <w:p w14:paraId="0AD0C2B4" w14:textId="77777777" w:rsidR="004940BF" w:rsidRDefault="004940BF" w:rsidP="004940BF">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Not surprisingly, there are also negatives involved in protecting </w:t>
      </w:r>
      <w:r>
        <w:rPr>
          <w:rFonts w:ascii="Calibri" w:hAnsi="Calibri" w:cs="Calibri"/>
          <w:b/>
          <w:bCs/>
          <w:color w:val="000000"/>
          <w:sz w:val="22"/>
          <w:szCs w:val="22"/>
          <w:u w:val="single"/>
          <w:shd w:val="clear" w:color="auto" w:fill="FFBADD"/>
        </w:rPr>
        <w:t>trade secrets</w:t>
      </w:r>
      <w:r>
        <w:rPr>
          <w:rFonts w:ascii="Calibri" w:hAnsi="Calibri" w:cs="Calibri"/>
          <w:color w:val="000000"/>
          <w:sz w:val="22"/>
          <w:szCs w:val="22"/>
        </w:rPr>
        <w:t xml:space="preserve">—namely, </w:t>
      </w:r>
      <w:r>
        <w:rPr>
          <w:rFonts w:ascii="Calibri" w:hAnsi="Calibri" w:cs="Calibri"/>
          <w:b/>
          <w:bCs/>
          <w:color w:val="000000"/>
          <w:sz w:val="22"/>
          <w:szCs w:val="22"/>
          <w:u w:val="single"/>
          <w:shd w:val="clear" w:color="auto" w:fill="FFBADD"/>
        </w:rPr>
        <w:t>providing a legal shield that corporations can use to conceal nefarious activities</w:t>
      </w:r>
      <w:r>
        <w:rPr>
          <w:rFonts w:ascii="Calibri" w:hAnsi="Calibri" w:cs="Calibri"/>
          <w:color w:val="000000"/>
          <w:sz w:val="22"/>
          <w:szCs w:val="22"/>
        </w:rPr>
        <w:t xml:space="preserve">. According to Bok, “[t]rade secrecy is the most frequent claim made by those who want to protect secrets in business”; corporations may assert such claims to protect legitimate secrets and, in some cases, to abuse or exploit their trade secret protections. Trade secrecy can cause harm. First, </w:t>
      </w:r>
      <w:r>
        <w:rPr>
          <w:rFonts w:ascii="Calibri" w:hAnsi="Calibri" w:cs="Calibri"/>
          <w:b/>
          <w:bCs/>
          <w:color w:val="000000"/>
          <w:sz w:val="22"/>
          <w:szCs w:val="22"/>
          <w:u w:val="single"/>
          <w:shd w:val="clear" w:color="auto" w:fill="FFBADD"/>
        </w:rPr>
        <w:t>trade secrecy</w:t>
      </w:r>
      <w:r>
        <w:rPr>
          <w:rFonts w:ascii="Calibri" w:hAnsi="Calibri" w:cs="Calibri"/>
          <w:color w:val="000000"/>
          <w:sz w:val="22"/>
          <w:szCs w:val="22"/>
        </w:rPr>
        <w:t xml:space="preserve"> does not always promote one of its stated policy goals—innovation. Rather, it </w:t>
      </w:r>
      <w:r>
        <w:rPr>
          <w:rFonts w:ascii="Calibri" w:hAnsi="Calibri" w:cs="Calibri"/>
          <w:b/>
          <w:bCs/>
          <w:color w:val="000000"/>
          <w:sz w:val="22"/>
          <w:szCs w:val="22"/>
          <w:u w:val="single"/>
          <w:shd w:val="clear" w:color="auto" w:fill="FFBADD"/>
        </w:rPr>
        <w:t>encourages companies to engage in duplicative investment in research and development.</w:t>
      </w:r>
      <w:r>
        <w:rPr>
          <w:rFonts w:ascii="Calibri" w:hAnsi="Calibri" w:cs="Calibri"/>
          <w:color w:val="000000"/>
          <w:sz w:val="22"/>
          <w:szCs w:val="22"/>
        </w:rPr>
        <w:t xml:space="preserve"> It also frustrates the disclosure goals of the patent system when companies opt for trade secrecy rather than patent protection. Second, </w:t>
      </w:r>
      <w:r>
        <w:rPr>
          <w:rFonts w:ascii="Calibri" w:hAnsi="Calibri" w:cs="Calibri"/>
          <w:b/>
          <w:bCs/>
          <w:color w:val="000000"/>
          <w:sz w:val="22"/>
          <w:szCs w:val="22"/>
          <w:u w:val="single"/>
          <w:shd w:val="clear" w:color="auto" w:fill="FFBADD"/>
        </w:rPr>
        <w:t>secrecy debilitates judgment</w:t>
      </w:r>
      <w:r>
        <w:rPr>
          <w:rFonts w:ascii="Calibri" w:hAnsi="Calibri" w:cs="Calibri"/>
          <w:color w:val="000000"/>
          <w:sz w:val="22"/>
          <w:szCs w:val="22"/>
        </w:rPr>
        <w:t xml:space="preserve">. If only a select few know the trade secret, then they are the only ones who can make decisions regarding the information at issue. </w:t>
      </w:r>
      <w:r>
        <w:rPr>
          <w:rFonts w:ascii="Calibri" w:hAnsi="Calibri" w:cs="Calibri"/>
          <w:b/>
          <w:bCs/>
          <w:color w:val="000000"/>
          <w:sz w:val="22"/>
          <w:szCs w:val="22"/>
          <w:u w:val="single"/>
          <w:shd w:val="clear" w:color="auto" w:fill="FFBADD"/>
        </w:rPr>
        <w:t xml:space="preserve">This postpones discovery of errors and effectively shuts out criticism from others who may be able to provide valuable feedback. As a result, faulty assumptions about risk may </w:t>
      </w:r>
      <w:r>
        <w:rPr>
          <w:rFonts w:ascii="Calibri" w:hAnsi="Calibri" w:cs="Calibri"/>
          <w:b/>
          <w:bCs/>
          <w:color w:val="000000"/>
          <w:sz w:val="22"/>
          <w:szCs w:val="22"/>
          <w:u w:val="single"/>
          <w:shd w:val="clear" w:color="auto" w:fill="FFBADD"/>
        </w:rPr>
        <w:lastRenderedPageBreak/>
        <w:t>mean that little to no deliberation takes place regarding whether to continue, modify, or cease use of the trade secret</w:t>
      </w:r>
      <w:r>
        <w:rPr>
          <w:rFonts w:ascii="Calibri" w:hAnsi="Calibri" w:cs="Calibri"/>
          <w:color w:val="000000"/>
          <w:sz w:val="22"/>
          <w:szCs w:val="22"/>
        </w:rPr>
        <w:t xml:space="preserve">. Third, </w:t>
      </w:r>
      <w:r>
        <w:rPr>
          <w:rFonts w:ascii="Calibri" w:hAnsi="Calibri" w:cs="Calibri"/>
          <w:b/>
          <w:bCs/>
          <w:color w:val="000000"/>
          <w:sz w:val="22"/>
          <w:szCs w:val="22"/>
          <w:u w:val="single"/>
          <w:shd w:val="clear" w:color="auto" w:fill="FFBADD"/>
        </w:rPr>
        <w:t>secrecy has the capacity to corrupt and to invite abuse</w:t>
      </w:r>
      <w:r>
        <w:rPr>
          <w:rFonts w:ascii="Calibri" w:hAnsi="Calibri" w:cs="Calibri"/>
          <w:color w:val="000000"/>
          <w:sz w:val="22"/>
          <w:szCs w:val="22"/>
        </w:rPr>
        <w:t xml:space="preserve">. Due to others’ lack of knowledge regarding the trade secret, those with knowledge operate in a system free from oversight. </w:t>
      </w:r>
      <w:r>
        <w:rPr>
          <w:rFonts w:ascii="Calibri" w:hAnsi="Calibri" w:cs="Calibri"/>
          <w:b/>
          <w:bCs/>
          <w:color w:val="000000"/>
          <w:sz w:val="22"/>
          <w:szCs w:val="22"/>
          <w:u w:val="single"/>
          <w:shd w:val="clear" w:color="auto" w:fill="FFBADD"/>
        </w:rPr>
        <w:t>This lack of accountability coupled with the desire for higher profits</w:t>
      </w:r>
      <w:r>
        <w:rPr>
          <w:rFonts w:ascii="Calibri" w:hAnsi="Calibri" w:cs="Calibri"/>
          <w:color w:val="000000"/>
          <w:sz w:val="22"/>
          <w:szCs w:val="22"/>
        </w:rPr>
        <w:t xml:space="preserve"> (for which they are held accountable) </w:t>
      </w:r>
      <w:r>
        <w:rPr>
          <w:rFonts w:ascii="Calibri" w:hAnsi="Calibri" w:cs="Calibri"/>
          <w:b/>
          <w:bCs/>
          <w:color w:val="000000"/>
          <w:sz w:val="22"/>
          <w:szCs w:val="22"/>
          <w:u w:val="single"/>
          <w:shd w:val="clear" w:color="auto" w:fill="FFBADD"/>
        </w:rPr>
        <w:t>results in a loosening of moral constraints.</w:t>
      </w:r>
      <w:r>
        <w:rPr>
          <w:rFonts w:ascii="Calibri" w:hAnsi="Calibri" w:cs="Calibri"/>
          <w:color w:val="000000"/>
          <w:sz w:val="22"/>
          <w:szCs w:val="22"/>
        </w:rPr>
        <w:t xml:space="preserve"> When no one is present to hold a mirror up to their faces, they can downplay the consequences of their actions and disregard any negative impacts the trade secret may have on their employees, their consumers, the general public, or the environment.</w:t>
      </w:r>
    </w:p>
    <w:p w14:paraId="05CA284B" w14:textId="77777777" w:rsidR="004940BF" w:rsidRDefault="004940BF" w:rsidP="004940BF">
      <w:pPr>
        <w:pStyle w:val="Heading3"/>
      </w:pPr>
      <w:r>
        <w:lastRenderedPageBreak/>
        <w:t>1NC – Innovation DA</w:t>
      </w:r>
    </w:p>
    <w:p w14:paraId="377881DD" w14:textId="77777777" w:rsidR="004940BF" w:rsidRDefault="004940BF" w:rsidP="004940BF">
      <w:pPr>
        <w:pStyle w:val="Heading4"/>
      </w:pPr>
      <w:r>
        <w:t>Innovation is steady now – COVID uplifted the market just enough to keep collaboration going.</w:t>
      </w:r>
    </w:p>
    <w:p w14:paraId="251AD31A" w14:textId="77777777" w:rsidR="004940BF" w:rsidRDefault="004940BF" w:rsidP="004940BF">
      <w:r>
        <w:rPr>
          <w:b/>
          <w:sz w:val="26"/>
          <w:szCs w:val="26"/>
        </w:rPr>
        <w:t>IP 20</w:t>
      </w:r>
      <w:r>
        <w:t xml:space="preserve"> [Idea Pharma, 4-6-2020, "These pharmaceutical companies are the top inventors and innovators," Fortune, </w:t>
      </w:r>
      <w:hyperlink r:id="rId11">
        <w:r>
          <w:rPr>
            <w:color w:val="000000"/>
          </w:rPr>
          <w:t>https://fortune.com/2020/04/06/top-pharmaceutical-companies-innovation-invention-2020/</w:t>
        </w:r>
      </w:hyperlink>
      <w:r>
        <w:t>] //DD PT</w:t>
      </w:r>
    </w:p>
    <w:p w14:paraId="112161CB" w14:textId="77777777" w:rsidR="004940BF" w:rsidRDefault="004940BF" w:rsidP="004940BF">
      <w:pPr>
        <w:rPr>
          <w:sz w:val="16"/>
          <w:szCs w:val="16"/>
        </w:rPr>
      </w:pPr>
      <w:r w:rsidRPr="004940BF">
        <w:t xml:space="preserve">The 2020 Pharmaceutical Invention and Innovation Indices, compiled by </w:t>
      </w:r>
      <w:hyperlink r:id="rId12">
        <w:r w:rsidRPr="004940BF">
          <w:rPr>
            <w:rStyle w:val="Hyperlink"/>
          </w:rPr>
          <w:t>IDEA Pharma</w:t>
        </w:r>
      </w:hyperlink>
      <w:r w:rsidRPr="004940BF">
        <w:t xml:space="preserve">, were generated prior to the unfolding </w:t>
      </w:r>
      <w:hyperlink r:id="rId13">
        <w:r w:rsidRPr="004940BF">
          <w:rPr>
            <w:rStyle w:val="Hyperlink"/>
          </w:rPr>
          <w:t>COVID</w:t>
        </w:r>
      </w:hyperlink>
      <w:hyperlink r:id="rId14">
        <w:r w:rsidRPr="004940BF">
          <w:rPr>
            <w:rStyle w:val="Hyperlink"/>
          </w:rPr>
          <w:t>-19 pandemic</w:t>
        </w:r>
      </w:hyperlink>
      <w:r w:rsidRPr="004940BF">
        <w:t xml:space="preserve"> and do not relate to what any pharmaceutical or biotech company is doing in relatifon to that particular challenge. </w:t>
      </w:r>
      <w:r w:rsidRPr="004940BF">
        <w:rPr>
          <w:highlight w:val="green"/>
        </w:rPr>
        <w:t>There is a</w:t>
      </w:r>
      <w:r>
        <w:rPr>
          <w:szCs w:val="22"/>
          <w:u w:val="single"/>
        </w:rPr>
        <w:t xml:space="preserve">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5">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A pipeline full of novelty and meaningful opportunity is what we all want from a pharmaceutical company</w:t>
      </w:r>
      <w:r>
        <w:t xml:space="preserve">—potential answers to life’s most important questions. So, after 10 </w:t>
      </w:r>
      <w:r>
        <w:lastRenderedPageBreak/>
        <w:t xml:space="preserve">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xml:space="preserve">, but Europe—with the exception of the U.K. and Switzerland—is dropping away as a player. —IDEA Pharma Highlighted companies Roche Innovation Index rank: 1 Invention Index rank: 10 Number of employees: 97,735 2019 revenue: $63.638 billion Headquarters: Basel, Switzerland </w:t>
      </w:r>
      <w:hyperlink r:id="rId16">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Tecentriq. AbbVie Innovation Index rank: 2 Invention Index rank: 7 Number of employees: 30,000 2019 revenue: $32.75 billion Headquarters: North Chicago, Ill., U.S. Runner-up on this year’s Innovation Index (and seventh overall on the Invention ranking) is </w:t>
      </w:r>
      <w:hyperlink r:id="rId17">
        <w:r>
          <w:rPr>
            <w:color w:val="000000"/>
          </w:rPr>
          <w:t>AbbVie</w:t>
        </w:r>
      </w:hyperlink>
      <w:r>
        <w:t xml:space="preserve">. </w:t>
      </w:r>
      <w:r>
        <w:rPr>
          <w:szCs w:val="22"/>
          <w:u w:val="single"/>
        </w:rPr>
        <w:t xml:space="preserve">A model of consistency, </w:t>
      </w:r>
      <w:hyperlink r:id="rId18">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Trikafta,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9">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the vast majority of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Leading the charge on the Innovation front for Alexion is the blockbuster drug Soliris, and the emergence of its successor, Ultomiris.</w:t>
      </w:r>
    </w:p>
    <w:p w14:paraId="48B157F3" w14:textId="77777777" w:rsidR="004940BF" w:rsidRDefault="004940BF" w:rsidP="004940BF"/>
    <w:p w14:paraId="5687EFC0" w14:textId="77777777" w:rsidR="004940BF" w:rsidRDefault="004940BF" w:rsidP="004940BF">
      <w:pPr>
        <w:pStyle w:val="Heading4"/>
      </w:pPr>
      <w:r>
        <w:lastRenderedPageBreak/>
        <w:t>IP protections for medicines are necessary for innovation in the field of pharmaceuticals.</w:t>
      </w:r>
    </w:p>
    <w:p w14:paraId="380576DC" w14:textId="77777777" w:rsidR="004940BF" w:rsidRDefault="004940BF" w:rsidP="004940BF">
      <w:r>
        <w:rPr>
          <w:b/>
          <w:sz w:val="26"/>
          <w:szCs w:val="26"/>
        </w:rPr>
        <w:t>Wilbur 19</w:t>
      </w:r>
      <w:r>
        <w:t xml:space="preserve"> [Tom Wilbur, 4-16-2019, "IP Explained: Why patents are so critical to biopharmaceutical innovation," PhRMA, </w:t>
      </w:r>
      <w:hyperlink r:id="rId20">
        <w:r>
          <w:rPr>
            <w:color w:val="000000"/>
          </w:rPr>
          <w:t>https://catalyst.phrma.org/ip-explained-why-patents-are-so-critical-to-biopharmaceutical-innovation</w:t>
        </w:r>
      </w:hyperlink>
      <w:r>
        <w:t>] //DD PT</w:t>
      </w:r>
    </w:p>
    <w:p w14:paraId="44ADB528" w14:textId="77777777" w:rsidR="004940BF" w:rsidRDefault="004940BF" w:rsidP="004940BF">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21">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570B9433" w14:textId="77777777" w:rsidR="004940BF" w:rsidRDefault="004940BF" w:rsidP="004940BF"/>
    <w:p w14:paraId="72414C1B" w14:textId="77777777" w:rsidR="004940BF" w:rsidRDefault="004940BF" w:rsidP="004940BF">
      <w:pPr>
        <w:pStyle w:val="Heading4"/>
      </w:pPr>
      <w:r>
        <w:t>African pharmaceutical industries are still underdeveloped, but investment is growing. Any assistance for the African pharmaceutical industry is good.</w:t>
      </w:r>
    </w:p>
    <w:p w14:paraId="4E119102" w14:textId="77777777" w:rsidR="004940BF" w:rsidRDefault="004940BF" w:rsidP="004940BF">
      <w:r>
        <w:rPr>
          <w:b/>
          <w:sz w:val="26"/>
          <w:szCs w:val="26"/>
        </w:rPr>
        <w:t>Idris 20</w:t>
      </w:r>
      <w:r>
        <w:t xml:space="preserve"> [Abubakar Idris, 16-03-2020, "Investor interest in Africa’s innovative pharma business is growing," TechCabal, </w:t>
      </w:r>
      <w:hyperlink r:id="rId22">
        <w:r>
          <w:rPr>
            <w:color w:val="000000"/>
          </w:rPr>
          <w:t>https://techcabal.com/2020/03/16/lifestores-seed-funding/</w:t>
        </w:r>
      </w:hyperlink>
      <w:r>
        <w:t>] //DD PT</w:t>
      </w:r>
    </w:p>
    <w:p w14:paraId="12F4D478" w14:textId="77777777" w:rsidR="004940BF" w:rsidRDefault="004940BF" w:rsidP="004940BF">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3">
        <w:r>
          <w:rPr>
            <w:szCs w:val="22"/>
            <w:highlight w:val="green"/>
            <w:u w:val="single"/>
          </w:rPr>
          <w:t>$50 billion</w:t>
        </w:r>
      </w:hyperlink>
      <w:r>
        <w:t xml:space="preserve">. In Nigeria, </w:t>
      </w:r>
      <w:hyperlink r:id="rId24">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demand is high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w:t>
      </w:r>
      <w:r>
        <w:lastRenderedPageBreak/>
        <w:t xml:space="preserve">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5">
        <w:r>
          <w:rPr>
            <w:color w:val="000000"/>
          </w:rPr>
          <w:t>United Nations Industrial Development Organisation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a number of innovators have identified this problem and have developed their own tech solutions to address it. </w:t>
      </w:r>
      <w:hyperlink r:id="rId26">
        <w:r>
          <w:rPr>
            <w:szCs w:val="22"/>
            <w:highlight w:val="green"/>
            <w:u w:val="single"/>
          </w:rPr>
          <w:t>Lifestores</w:t>
        </w:r>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TechCabal. Lifestores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Lifestores has gone into the business for itself. It has </w:t>
      </w:r>
      <w:r>
        <w:rPr>
          <w:szCs w:val="22"/>
          <w:highlight w:val="green"/>
          <w:u w:val="single"/>
        </w:rPr>
        <w:t>opened a number of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Yaba, Ilupeju and Festac. It acquired a fourth store in early 2020 and is on course to take over another store. Lifestores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TechCabal.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Lifestores’ COO </w:t>
      </w:r>
      <w:hyperlink r:id="rId27">
        <w:r>
          <w:rPr>
            <w:color w:val="000000"/>
          </w:rPr>
          <w:t>told TechCabal</w:t>
        </w:r>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Lifestores provides third-party stores (which it calls affiliates) with the software to manage their processes and inventory. “We’ve developed the software that will be the foundation of the program,” Garza told TechCabal. “[We] are currently testing it in our own stores before rolling it out to 3rd party pharmacies.” By the end of March or the next quarter, Lifestores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StartUp Health Transformer Fund, Altadore Lionbear Capital, Unseen Ventures, K50 Ventures, Chinook Capital and Kepple Africa Ventures. A number of angel investors also invested in this round. Lifestores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8">
        <w:r>
          <w:rPr>
            <w:color w:val="000000"/>
          </w:rPr>
          <w:t xml:space="preserve">closed a $3.6 million Series A </w:t>
        </w:r>
      </w:hyperlink>
      <w:r>
        <w:t xml:space="preserve">round led by Blue Haven Initiative, one of the world’s biggest impact investors. </w:t>
      </w:r>
      <w:r>
        <w:rPr>
          <w:szCs w:val="22"/>
          <w:u w:val="single"/>
        </w:rPr>
        <w:t xml:space="preserve">Ghana’s </w:t>
      </w:r>
      <w:r>
        <w:rPr>
          <w:szCs w:val="22"/>
          <w:highlight w:val="green"/>
          <w:u w:val="single"/>
        </w:rPr>
        <w:t>mPharma</w:t>
      </w:r>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9">
        <w:r>
          <w:rPr>
            <w:szCs w:val="22"/>
            <w:highlight w:val="green"/>
            <w:u w:val="single"/>
          </w:rPr>
          <w:t>HealthPlus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30">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The new entity, Dannex Ayrton Starwin Plc or DAS Pharma, will produce around 80 drugs and is planning to expand across Africa. Daniel Apeagyei Kissi, DAS Pharma’s CEO, said the new entity will take advantage of new trends in the market spurred by tech. “[DAS Pharma] is coming into the market at an opportune time when the industry as we know is changing,” a </w:t>
      </w:r>
      <w:hyperlink r:id="rId31">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5587B1CB" w14:textId="77777777" w:rsidR="004940BF" w:rsidRDefault="004940BF" w:rsidP="004940BF"/>
    <w:p w14:paraId="51BCAD69" w14:textId="77777777" w:rsidR="004940BF" w:rsidRDefault="004940BF" w:rsidP="004940BF">
      <w:pPr>
        <w:pStyle w:val="Heading4"/>
        <w:rPr>
          <w:b w:val="0"/>
          <w:sz w:val="22"/>
          <w:u w:val="single"/>
        </w:rPr>
      </w:pPr>
      <w:r>
        <w:t>The only way that we can ensure that we can counter highly deadly pandemics is through pharmaceutical drug development and innovation.</w:t>
      </w:r>
    </w:p>
    <w:p w14:paraId="4E5567DD" w14:textId="77777777" w:rsidR="004940BF" w:rsidRDefault="004940BF" w:rsidP="004940BF">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Gelband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3D7E7781" w14:textId="77777777" w:rsidR="004940BF" w:rsidRDefault="004940BF" w:rsidP="004940BF">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2">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3">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4">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5">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6">
        <w:r>
          <w:rPr>
            <w:rFonts w:ascii="Georgia" w:eastAsia="Georgia" w:hAnsi="Georgia" w:cs="Georgia"/>
            <w:color w:val="000000"/>
            <w:szCs w:val="22"/>
          </w:rPr>
          <w:t>box 17.3</w:t>
        </w:r>
      </w:hyperlink>
      <w:r>
        <w:rPr>
          <w:rFonts w:ascii="Georgia" w:eastAsia="Georgia" w:hAnsi="Georgia" w:cs="Georgia"/>
          <w:color w:val="000000"/>
          <w:szCs w:val="22"/>
        </w:rPr>
        <w:t>).</w:t>
      </w:r>
    </w:p>
    <w:p w14:paraId="37BB711F" w14:textId="77777777" w:rsidR="004940BF" w:rsidRDefault="004940BF" w:rsidP="004940BF">
      <w:pPr>
        <w:pBdr>
          <w:top w:val="nil"/>
          <w:left w:val="nil"/>
          <w:bottom w:val="nil"/>
          <w:right w:val="nil"/>
          <w:between w:val="nil"/>
        </w:pBdr>
        <w:shd w:val="clear" w:color="auto" w:fill="FFFFFF"/>
        <w:spacing w:before="166" w:after="166" w:line="240" w:lineRule="auto"/>
        <w:rPr>
          <w:color w:val="000000"/>
        </w:rPr>
      </w:pPr>
    </w:p>
    <w:p w14:paraId="2CEF8343" w14:textId="77777777" w:rsidR="004940BF" w:rsidRDefault="004940BF" w:rsidP="004940BF">
      <w:pPr>
        <w:pStyle w:val="Heading4"/>
      </w:pPr>
      <w:r>
        <w:lastRenderedPageBreak/>
        <w:t>Future pandemics are going to cause extinction – gut micro bacteria will mutate into deadly diseases which would threaten humanity.</w:t>
      </w:r>
    </w:p>
    <w:p w14:paraId="7B8B6260" w14:textId="77777777" w:rsidR="004940BF" w:rsidRDefault="004940BF" w:rsidP="004940BF">
      <w:r>
        <w:rPr>
          <w:b/>
          <w:sz w:val="26"/>
          <w:szCs w:val="26"/>
        </w:rPr>
        <w:t>Diamandis 21</w:t>
      </w:r>
      <w:r>
        <w:t xml:space="preserve"> [Diamandis, E. The Mother of All Battles: Viruses vs. Humans. Can Humans Avoid Extinction in 50-100 Years?. Preprints 2021, 2021040397] //DD PT</w:t>
      </w:r>
    </w:p>
    <w:p w14:paraId="1026DEC3" w14:textId="30AA8D4D" w:rsidR="00E42E4C" w:rsidRDefault="004940BF" w:rsidP="004940BF">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pandemic is now being controlled by various isolation measures, therapeutics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r>
        <w:rPr>
          <w:szCs w:val="22"/>
          <w:highlight w:val="green"/>
          <w:u w:val="single"/>
        </w:rPr>
        <w:t>have to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in the near future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in order to be in danger. Creditable scientific evidence indicates that the </w:t>
      </w:r>
      <w:r>
        <w:rPr>
          <w:szCs w:val="22"/>
          <w:u w:val="single"/>
        </w:rPr>
        <w:t xml:space="preserve">human </w:t>
      </w:r>
      <w:r>
        <w:rPr>
          <w:szCs w:val="22"/>
          <w:highlight w:val="green"/>
          <w:u w:val="single"/>
        </w:rPr>
        <w:t>gut microbiota harbor billions of viruses which are capable of affecting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leading to destruction of vital organs, causing death or various debilitating diseases such as blindness, respiratory, liver, heart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0F12EAD5" w14:textId="77777777" w:rsidR="004940BF" w:rsidRPr="00F601E6" w:rsidRDefault="004940BF" w:rsidP="004940BF"/>
    <w:sectPr w:rsidR="004940B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40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0B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96D"/>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F09AA1"/>
  <w14:defaultImageDpi w14:val="300"/>
  <w15:docId w15:val="{9B02446E-F3A8-3A49-A34F-4D44AA660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19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19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19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19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319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19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96D"/>
  </w:style>
  <w:style w:type="character" w:customStyle="1" w:styleId="Heading1Char">
    <w:name w:val="Heading 1 Char"/>
    <w:aliases w:val="Pocket Char"/>
    <w:basedOn w:val="DefaultParagraphFont"/>
    <w:link w:val="Heading1"/>
    <w:uiPriority w:val="9"/>
    <w:rsid w:val="00B319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19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196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3196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3196D"/>
    <w:rPr>
      <w:b/>
      <w:sz w:val="26"/>
      <w:u w:val="none"/>
    </w:rPr>
  </w:style>
  <w:style w:type="character" w:customStyle="1" w:styleId="StyleUnderline">
    <w:name w:val="Style Underline"/>
    <w:aliases w:val="Underline"/>
    <w:basedOn w:val="DefaultParagraphFont"/>
    <w:uiPriority w:val="1"/>
    <w:qFormat/>
    <w:rsid w:val="00B3196D"/>
    <w:rPr>
      <w:b w:val="0"/>
      <w:sz w:val="22"/>
      <w:u w:val="single"/>
    </w:rPr>
  </w:style>
  <w:style w:type="character" w:styleId="Emphasis">
    <w:name w:val="Emphasis"/>
    <w:basedOn w:val="DefaultParagraphFont"/>
    <w:uiPriority w:val="20"/>
    <w:qFormat/>
    <w:rsid w:val="00B319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196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B3196D"/>
    <w:rPr>
      <w:color w:val="auto"/>
      <w:u w:val="none"/>
    </w:rPr>
  </w:style>
  <w:style w:type="paragraph" w:styleId="DocumentMap">
    <w:name w:val="Document Map"/>
    <w:basedOn w:val="Normal"/>
    <w:link w:val="DocumentMapChar"/>
    <w:uiPriority w:val="99"/>
    <w:semiHidden/>
    <w:unhideWhenUsed/>
    <w:rsid w:val="00B319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196D"/>
    <w:rPr>
      <w:rFonts w:ascii="Lucida Grande" w:hAnsi="Lucida Grande" w:cs="Lucida Grande"/>
    </w:rPr>
  </w:style>
  <w:style w:type="paragraph" w:styleId="NormalWeb">
    <w:name w:val="Normal (Web)"/>
    <w:basedOn w:val="Normal"/>
    <w:uiPriority w:val="99"/>
    <w:unhideWhenUsed/>
    <w:rsid w:val="004940BF"/>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4940B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tune.com/tag/coronavirus/" TargetMode="External"/><Relationship Id="rId18" Type="http://schemas.openxmlformats.org/officeDocument/2006/relationships/hyperlink" Target="https://fortune.com/longform/abbvie-humira-drug-costs-innovation/" TargetMode="External"/><Relationship Id="rId26" Type="http://schemas.openxmlformats.org/officeDocument/2006/relationships/hyperlink" Target="https://techcabal.com/2019/10/07/lifestores-wants-to-change-nigerias-pharma-business-using-technology/" TargetMode="External"/><Relationship Id="rId21" Type="http://schemas.openxmlformats.org/officeDocument/2006/relationships/hyperlink" Target="http://phrma-docs.phrma.org/sites/default/files/pdf/2014-economic-futures-report.pdf" TargetMode="External"/><Relationship Id="rId34" Type="http://schemas.openxmlformats.org/officeDocument/2006/relationships/hyperlink" Target="https://www.ncbi.nlm.nih.gov/books/NBK525302/" TargetMode="External"/><Relationship Id="rId7" Type="http://schemas.openxmlformats.org/officeDocument/2006/relationships/settings" Target="settings.xml"/><Relationship Id="rId12" Type="http://schemas.openxmlformats.org/officeDocument/2006/relationships/hyperlink" Target="https://www.ideapharma.com/" TargetMode="External"/><Relationship Id="rId17" Type="http://schemas.openxmlformats.org/officeDocument/2006/relationships/hyperlink" Target="https://fortune.com/company/abbvie" TargetMode="External"/><Relationship Id="rId25" Type="http://schemas.openxmlformats.org/officeDocument/2006/relationships/hyperlink" Target="https://www.unido.org/sites/default/files/2011-04/Nigeria_Pharma%20Sector%20Profile_032011_Ebook_0.pdf" TargetMode="External"/><Relationship Id="rId33" Type="http://schemas.openxmlformats.org/officeDocument/2006/relationships/hyperlink" Target="https://www.ncbi.nlm.nih.gov/books/NBK52530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ortune.com/2020/03/13/coronavirus-test-roche-covid-19/" TargetMode="External"/><Relationship Id="rId20" Type="http://schemas.openxmlformats.org/officeDocument/2006/relationships/hyperlink" Target="https://catalyst.phrma.org/ip-explained-why-patents-are-so-critical-to-biopharmaceutical-innovation" TargetMode="External"/><Relationship Id="rId29" Type="http://schemas.openxmlformats.org/officeDocument/2006/relationships/hyperlink" Target="https://www.businesswire.com/news/home/20180327005256/en/Alta-Semper-Capital-LLP-commits-US18-mill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une.com/2020/04/06/top-pharmaceutical-companies-innovation-invention-2020/" TargetMode="External"/><Relationship Id="rId24" Type="http://schemas.openxmlformats.org/officeDocument/2006/relationships/hyperlink" Target="https://www.mckinsey.com/industries/pharmaceuticals-and-medical-products/our-insights/winning-in-nigeria-pharmas-next-frontier" TargetMode="External"/><Relationship Id="rId32" Type="http://schemas.openxmlformats.org/officeDocument/2006/relationships/hyperlink" Target="https://www.ncbi.nlm.nih.gov/books/NBK52530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ortune.com/tag/pharmaceuticals/" TargetMode="External"/><Relationship Id="rId23" Type="http://schemas.openxmlformats.org/officeDocument/2006/relationships/hyperlink" Target="https://techcabal.com/2020/03/11/nigerian-health-startup-field-intelligence-funding/" TargetMode="External"/><Relationship Id="rId28" Type="http://schemas.openxmlformats.org/officeDocument/2006/relationships/hyperlink" Target="https://techcabal.com/2020/03/11/nigerian-health-startup-field-intelligence-funding/" TargetMode="External"/><Relationship Id="rId36" Type="http://schemas.openxmlformats.org/officeDocument/2006/relationships/hyperlink" Target="https://www.ncbi.nlm.nih.gov/books/NBK525302/box/pt5.ch17.sec4.box3/?report=objectonly" TargetMode="External"/><Relationship Id="rId10" Type="http://schemas.openxmlformats.org/officeDocument/2006/relationships/hyperlink" Target="https://ecommons.udayton.edu/cgi/viewcontent.cgi?article=1109&amp;context=law_fac_pub" TargetMode="External"/><Relationship Id="rId19" Type="http://schemas.openxmlformats.org/officeDocument/2006/relationships/hyperlink" Target="https://fortune.com/company/eli-lilly" TargetMode="External"/><Relationship Id="rId31" Type="http://schemas.openxmlformats.org/officeDocument/2006/relationships/hyperlink" Target="https://www.graphic.com.gh/business/business-news/three-local-pharmaceutical-companies-merge-lists-on-gse-as-das-pharma.html" TargetMode="External"/><Relationship Id="rId4" Type="http://schemas.openxmlformats.org/officeDocument/2006/relationships/customXml" Target="../customXml/item4.xml"/><Relationship Id="rId9" Type="http://schemas.openxmlformats.org/officeDocument/2006/relationships/hyperlink" Target="https://www.uschamberfoundation.org/patents-and-biotechnology" TargetMode="External"/><Relationship Id="rId14" Type="http://schemas.openxmlformats.org/officeDocument/2006/relationships/hyperlink" Target="https://fortune.com/tag/coronavirus/" TargetMode="External"/><Relationship Id="rId22" Type="http://schemas.openxmlformats.org/officeDocument/2006/relationships/hyperlink" Target="https://techcabal.com/2020/03/16/lifestores-seed-funding/" TargetMode="External"/><Relationship Id="rId27" Type="http://schemas.openxmlformats.org/officeDocument/2006/relationships/hyperlink" Target="https://techcabal.com/2019/10/07/lifestores-wants-to-change-nigerias-pharma-business-using-technology/" TargetMode="External"/><Relationship Id="rId30" Type="http://schemas.openxmlformats.org/officeDocument/2006/relationships/hyperlink" Target="https://africanbusinessmagazine.com/african-banker/ghana-pharma-firms-merge-into-single-giant/" TargetMode="External"/><Relationship Id="rId35" Type="http://schemas.openxmlformats.org/officeDocument/2006/relationships/hyperlink" Target="https://www.ncbi.nlm.nih.gov/books/NBK525302/"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5362</Words>
  <Characters>30566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2021-09-10T21:06:00Z</dcterms:created>
  <dcterms:modified xsi:type="dcterms:W3CDTF">2021-09-18T14:11:00Z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