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A858" w14:textId="45CC5811" w:rsidR="005B43C1" w:rsidRDefault="006D1C4E" w:rsidP="006D1C4E">
      <w:pPr>
        <w:pStyle w:val="Heading1"/>
      </w:pPr>
      <w:r>
        <w:t>Woodward Round 1</w:t>
      </w:r>
    </w:p>
    <w:p w14:paraId="2FB663B6" w14:textId="77777777" w:rsidR="00003786" w:rsidRDefault="00003786" w:rsidP="00003786">
      <w:pPr>
        <w:pStyle w:val="Heading2"/>
        <w:spacing w:line="240" w:lineRule="auto"/>
        <w:rPr>
          <w:rFonts w:asciiTheme="minorHAnsi" w:hAnsiTheme="minorHAnsi" w:cstheme="minorHAnsi"/>
        </w:rPr>
      </w:pPr>
      <w:r w:rsidRPr="00DD5C37">
        <w:rPr>
          <w:rFonts w:asciiTheme="minorHAnsi" w:hAnsiTheme="minorHAnsi" w:cstheme="minorHAnsi"/>
        </w:rPr>
        <w:lastRenderedPageBreak/>
        <w:t>1AC</w:t>
      </w:r>
    </w:p>
    <w:p w14:paraId="031C1A42" w14:textId="77777777" w:rsidR="00003786" w:rsidRPr="00780316" w:rsidRDefault="00003786" w:rsidP="00003786">
      <w:pPr>
        <w:pStyle w:val="Heading3"/>
      </w:pPr>
      <w:r>
        <w:lastRenderedPageBreak/>
        <w:t>1AC – Fwrk</w:t>
      </w:r>
    </w:p>
    <w:p w14:paraId="682800FC" w14:textId="77777777" w:rsidR="00003786" w:rsidRPr="00472885" w:rsidRDefault="00003786" w:rsidP="00003786">
      <w:pPr>
        <w:pStyle w:val="Heading4"/>
      </w:pPr>
      <w:r>
        <w:t xml:space="preserve">Ethics must be derived a priori – </w:t>
      </w:r>
    </w:p>
    <w:p w14:paraId="61BAA76D" w14:textId="77777777" w:rsidR="00003786" w:rsidRDefault="00003786" w:rsidP="00003786">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50B5F64F" w14:textId="77777777" w:rsidR="00003786" w:rsidRDefault="00003786" w:rsidP="00003786">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6FB71C3F" w14:textId="77777777" w:rsidR="00003786" w:rsidRDefault="00003786" w:rsidP="00003786"/>
    <w:p w14:paraId="5EC39E23" w14:textId="77777777" w:rsidR="00003786" w:rsidRPr="00567285" w:rsidRDefault="00003786" w:rsidP="00003786">
      <w:pPr>
        <w:pStyle w:val="Heading4"/>
      </w:pPr>
      <w:r w:rsidRPr="00567285">
        <w:t xml:space="preserve">The existence of conditional goodness requires unconditional human worth—that means we must treat others as ends in themselves. </w:t>
      </w:r>
    </w:p>
    <w:p w14:paraId="11968B4B" w14:textId="77777777" w:rsidR="00003786" w:rsidRPr="00567285" w:rsidRDefault="00003786" w:rsidP="00003786">
      <w:pPr>
        <w:spacing w:after="0"/>
        <w:rPr>
          <w:rFonts w:asciiTheme="majorHAnsi" w:hAnsiTheme="majorHAnsi" w:cstheme="majorHAnsi"/>
        </w:rPr>
      </w:pPr>
      <w:r w:rsidRPr="00957259">
        <w:rPr>
          <w:rStyle w:val="Style13ptBold"/>
        </w:rPr>
        <w:t>Korsgaard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576A8945" w14:textId="77777777" w:rsidR="00003786" w:rsidRPr="00567285" w:rsidRDefault="00003786" w:rsidP="00003786">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2D2111C8" w14:textId="77777777" w:rsidR="00003786" w:rsidRDefault="00003786" w:rsidP="00003786">
      <w:pPr>
        <w:pStyle w:val="Heading4"/>
      </w:pPr>
      <w:r>
        <w:t>Outweighs – All other frameworks collapse—non-Kantian theories source obligations in extrinsically good objects, but that presupposes the goodness of the rational will.</w:t>
      </w:r>
    </w:p>
    <w:p w14:paraId="68B3E6D7" w14:textId="77777777" w:rsidR="00003786" w:rsidRPr="00EF565E" w:rsidRDefault="00003786" w:rsidP="00003786"/>
    <w:p w14:paraId="58ABC75B" w14:textId="77777777" w:rsidR="00003786" w:rsidRDefault="00003786" w:rsidP="00003786">
      <w:pPr>
        <w:pStyle w:val="Heading4"/>
      </w:pPr>
      <w:r>
        <w:lastRenderedPageBreak/>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10BD48F" w14:textId="77777777" w:rsidR="00003786" w:rsidRPr="00EF565E" w:rsidRDefault="00003786" w:rsidP="00003786"/>
    <w:p w14:paraId="4DE65E5F" w14:textId="77777777" w:rsidR="00003786" w:rsidRDefault="00003786" w:rsidP="00003786">
      <w:pPr>
        <w:pStyle w:val="paragraph"/>
        <w:spacing w:before="0" w:beforeAutospacing="0" w:after="0" w:afterAutospacing="0"/>
        <w:textAlignment w:val="baseline"/>
        <w:rPr>
          <w:rFonts w:ascii="Calibri" w:eastAsiaTheme="majorEastAsia" w:hAnsi="Calibri" w:cstheme="majorBidi"/>
          <w:b/>
          <w:iCs/>
          <w:sz w:val="26"/>
        </w:rPr>
      </w:pPr>
      <w:r w:rsidRPr="003B1CA8">
        <w:rPr>
          <w:rFonts w:ascii="Calibri" w:eastAsiaTheme="majorEastAsia" w:hAnsi="Calibri" w:cstheme="majorBidi"/>
          <w:b/>
          <w:iCs/>
          <w:sz w:val="26"/>
        </w:rPr>
        <w:t xml:space="preserve">Practical reason means we must be able to universally will maxims – </w:t>
      </w:r>
    </w:p>
    <w:p w14:paraId="19BF35FC" w14:textId="77777777" w:rsidR="00003786" w:rsidRDefault="00003786" w:rsidP="00003786">
      <w:pPr>
        <w:pStyle w:val="paragraph"/>
        <w:spacing w:before="0" w:beforeAutospacing="0" w:after="0" w:afterAutospacing="0"/>
        <w:textAlignment w:val="baseline"/>
      </w:pPr>
      <w:r w:rsidRPr="003B1CA8">
        <w:rPr>
          <w:rFonts w:ascii="Calibri" w:eastAsiaTheme="majorEastAsia" w:hAnsi="Calibri" w:cstheme="majorBidi"/>
          <w:b/>
          <w:iCs/>
          <w:sz w:val="26"/>
        </w:rPr>
        <w:t>a) our judgements are authoritative and can’t only apply to ourselves any more than 2+2=4 can be true only for me.</w:t>
      </w:r>
      <w:r>
        <w:t xml:space="preserve"> </w:t>
      </w:r>
    </w:p>
    <w:p w14:paraId="5786C55C" w14:textId="77777777" w:rsidR="00003786" w:rsidRDefault="00003786" w:rsidP="00003786">
      <w:pPr>
        <w:pStyle w:val="paragraph"/>
        <w:spacing w:before="0" w:beforeAutospacing="0" w:after="0" w:afterAutospacing="0"/>
        <w:textAlignment w:val="baseline"/>
        <w:rPr>
          <w:rStyle w:val="Heading4Char"/>
        </w:rPr>
      </w:pPr>
      <w:r>
        <w:rPr>
          <w:rStyle w:val="Heading4Char"/>
        </w:rPr>
        <w:t>b) A</w:t>
      </w:r>
      <w:r w:rsidRPr="009037D1">
        <w:rPr>
          <w:rStyle w:val="Heading4Char"/>
        </w:rPr>
        <w:t>ction theory</w:t>
      </w:r>
      <w:r>
        <w:rPr>
          <w:rStyle w:val="Heading4Char"/>
        </w:rPr>
        <w:t xml:space="preserve"> </w:t>
      </w:r>
      <w:r w:rsidRPr="009037D1">
        <w:rPr>
          <w:rStyle w:val="Heading4Char"/>
        </w:rPr>
        <w:t>– absent a will, we are just blobs of chemicals – only practical reason makes action coherent, otherwise every action can be split into an infinite number of smaller actions.  </w:t>
      </w:r>
    </w:p>
    <w:p w14:paraId="684E38D4" w14:textId="77777777" w:rsidR="00003786" w:rsidRDefault="00003786" w:rsidP="00003786">
      <w:pPr>
        <w:pStyle w:val="Heading4"/>
      </w:pPr>
      <w:r>
        <w:t xml:space="preserve">The only constraint is noncontradiction – </w:t>
      </w:r>
    </w:p>
    <w:p w14:paraId="1BE71820" w14:textId="77777777" w:rsidR="00003786" w:rsidRPr="00B17883" w:rsidRDefault="00003786" w:rsidP="00003786"/>
    <w:p w14:paraId="0B9547D0" w14:textId="77777777" w:rsidR="00003786" w:rsidRPr="001D16F3" w:rsidRDefault="00003786" w:rsidP="00003786">
      <w:pPr>
        <w:pStyle w:val="Heading4"/>
      </w:pPr>
      <w:r>
        <w:t xml:space="preserve">The </w:t>
      </w:r>
      <w:r w:rsidRPr="009954F0">
        <w:t xml:space="preserve">standard is consistency with the categorical imperative.  To clarify, consequences don’t link to the framework.  </w:t>
      </w:r>
    </w:p>
    <w:p w14:paraId="78F0B546" w14:textId="77777777" w:rsidR="00003786" w:rsidRPr="009954F0" w:rsidRDefault="00003786" w:rsidP="00003786">
      <w:pPr>
        <w:pStyle w:val="Heading4"/>
      </w:pPr>
      <w:r>
        <w:t xml:space="preserve">Prefer – </w:t>
      </w:r>
    </w:p>
    <w:p w14:paraId="45673FE8" w14:textId="77777777" w:rsidR="00003786" w:rsidRDefault="00003786" w:rsidP="00003786">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250B7C54" w14:textId="77777777" w:rsidR="00003786" w:rsidRDefault="00003786" w:rsidP="00003786">
      <w:pPr>
        <w:pStyle w:val="Heading4"/>
        <w:spacing w:line="240" w:lineRule="auto"/>
      </w:pPr>
      <w:r>
        <w:t>[2] Other frameworks collapse – they contain conditional obligations which derive their authority from the categorical imperative.</w:t>
      </w:r>
    </w:p>
    <w:p w14:paraId="44AD5C36" w14:textId="77777777" w:rsidR="00003786" w:rsidRPr="0068420B" w:rsidRDefault="00003786" w:rsidP="00003786">
      <w:pPr>
        <w:spacing w:after="0"/>
      </w:pPr>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49B75836" w14:textId="77777777" w:rsidR="00003786" w:rsidRDefault="00003786" w:rsidP="00003786">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2B0887">
        <w:rPr>
          <w:rStyle w:val="Emphasis"/>
        </w:rPr>
        <w:t xml:space="preserve">that </w:t>
      </w:r>
      <w:r w:rsidRPr="008251D2">
        <w:rPr>
          <w:rStyle w:val="Emphasis"/>
          <w:highlight w:val="green"/>
        </w:rPr>
        <w:t>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2B0887">
        <w:rPr>
          <w:rStyle w:val="Emphasis"/>
          <w:highlight w:val="green"/>
        </w:rPr>
        <w:t xml:space="preserve">itself a categorical </w:t>
      </w:r>
      <w:r w:rsidRPr="008251D2">
        <w:rPr>
          <w:rStyle w:val="Emphasis"/>
          <w:highlight w:val="green"/>
        </w:rPr>
        <w:t>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t>
      </w:r>
      <w:r w:rsidRPr="002B0887">
        <w:rPr>
          <w:rStyle w:val="StyleUnderline"/>
          <w:highlight w:val="green"/>
        </w:rPr>
        <w:t xml:space="preserve">we </w:t>
      </w:r>
      <w:r w:rsidRPr="002B0887">
        <w:rPr>
          <w:rStyle w:val="Emphasis"/>
          <w:highlight w:val="green"/>
        </w:rPr>
        <w:t>m</w:t>
      </w:r>
      <w:r w:rsidRPr="008251D2">
        <w:rPr>
          <w:rStyle w:val="Emphasis"/>
          <w:highlight w:val="green"/>
        </w:rPr>
        <w:t xml:space="preserve">ust </w:t>
      </w:r>
      <w:r w:rsidRPr="002B0887">
        <w:rPr>
          <w:rStyle w:val="Emphasis"/>
        </w:rPr>
        <w:t xml:space="preserve">at some point </w:t>
      </w:r>
      <w:r w:rsidRPr="008251D2">
        <w:rPr>
          <w:rStyle w:val="Emphasis"/>
          <w:highlight w:val="green"/>
        </w:rPr>
        <w:t xml:space="preserve">arrive at principles </w:t>
      </w:r>
      <w:r w:rsidRPr="002B0887">
        <w:rPr>
          <w:rStyle w:val="Emphasis"/>
        </w:rPr>
        <w:t xml:space="preserve">on </w:t>
      </w:r>
      <w:r w:rsidRPr="008251D2">
        <w:rPr>
          <w:rStyle w:val="Emphasis"/>
          <w:highlight w:val="green"/>
        </w:rPr>
        <w:t xml:space="preserve">which </w:t>
      </w:r>
      <w:r w:rsidRPr="002B0887">
        <w:rPr>
          <w:rStyle w:val="Emphasis"/>
        </w:rPr>
        <w:t xml:space="preserve">we </w:t>
      </w:r>
      <w:r w:rsidRPr="008251D2">
        <w:rPr>
          <w:rStyle w:val="Emphasis"/>
          <w:highlight w:val="green"/>
        </w:rPr>
        <w:t>are required to act</w:t>
      </w:r>
      <w:r w:rsidRPr="008251D2">
        <w:rPr>
          <w:rStyle w:val="Emphasis"/>
        </w:rPr>
        <w:t xml:space="preserve">, not because we are commanded to do so by some yet higher law, but </w:t>
      </w:r>
      <w:r w:rsidRPr="002B0887">
        <w:rPr>
          <w:rStyle w:val="Emphasis"/>
          <w:highlight w:val="green"/>
        </w:rPr>
        <w:t xml:space="preserve">because they are laws </w:t>
      </w:r>
      <w:r w:rsidRPr="002B0887">
        <w:rPr>
          <w:rStyle w:val="Emphasis"/>
        </w:rPr>
        <w:t xml:space="preserve">in </w:t>
      </w:r>
      <w:r w:rsidRPr="002B0887">
        <w:rPr>
          <w:rStyle w:val="Emphasis"/>
          <w:highlight w:val="green"/>
        </w:rPr>
        <w:t>themselves</w:t>
      </w:r>
      <w:r w:rsidRPr="002B0887">
        <w:rPr>
          <w:sz w:val="16"/>
          <w:highlight w:val="green"/>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19BFEC3B" w14:textId="77777777" w:rsidR="00003786" w:rsidRPr="00903207" w:rsidRDefault="00003786" w:rsidP="00003786">
      <w:pPr>
        <w:pStyle w:val="Heading4"/>
        <w:rPr>
          <w:sz w:val="16"/>
        </w:rPr>
      </w:pPr>
      <w:r>
        <w:lastRenderedPageBreak/>
        <w:t xml:space="preserve">[3] </w:t>
      </w:r>
      <w:r w:rsidRPr="008E4C26">
        <w:t>Only universalizable reason can effectively explain the perspectives of agents – that’s the best method for combatting oppression.</w:t>
      </w:r>
    </w:p>
    <w:p w14:paraId="72D65A63" w14:textId="77777777" w:rsidR="00003786" w:rsidRPr="008E4C26" w:rsidRDefault="00003786" w:rsidP="00003786">
      <w:r w:rsidRPr="008E4C26">
        <w:rPr>
          <w:rStyle w:val="Style13ptBold"/>
        </w:rPr>
        <w:t>Farr 02</w:t>
      </w:r>
      <w:r w:rsidRPr="008E4C26">
        <w:rPr>
          <w:sz w:val="16"/>
        </w:rPr>
        <w:t xml:space="preserve"> </w:t>
      </w:r>
      <w:r w:rsidRPr="008E4C26">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45688B2" w14:textId="77777777" w:rsidR="00003786" w:rsidRDefault="00003786" w:rsidP="00003786">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empiri- cal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26C6CA8A" w14:textId="77777777" w:rsidR="00003786" w:rsidRDefault="00003786" w:rsidP="00003786">
      <w:pPr>
        <w:pStyle w:val="Heading4"/>
      </w:pPr>
      <w:r>
        <w:t>[4] A</w:t>
      </w:r>
      <w:r w:rsidRPr="00911797">
        <w:t xml:space="preserve">ctor specificity – governments use Kantian conceptions of the state when implementing policies. </w:t>
      </w:r>
    </w:p>
    <w:p w14:paraId="3354DA9D" w14:textId="77777777" w:rsidR="00003786" w:rsidRPr="00E62936" w:rsidRDefault="00003786" w:rsidP="00003786">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595381A4" w14:textId="77777777" w:rsidR="00003786" w:rsidRPr="008D05C8" w:rsidRDefault="00003786" w:rsidP="00003786">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73A14ACA" w14:textId="77777777" w:rsidR="00003786" w:rsidRDefault="00003786" w:rsidP="00003786">
      <w:pPr>
        <w:pStyle w:val="Heading3"/>
      </w:pPr>
      <w:r>
        <w:lastRenderedPageBreak/>
        <w:t>1AC – Offense</w:t>
      </w:r>
    </w:p>
    <w:p w14:paraId="0DBF1BE6" w14:textId="77777777" w:rsidR="00003786" w:rsidRDefault="00003786" w:rsidP="00003786">
      <w:pPr>
        <w:pStyle w:val="Heading4"/>
      </w:pPr>
      <w:proofErr w:type="gramStart"/>
      <w:r>
        <w:t>Thus</w:t>
      </w:r>
      <w:proofErr w:type="gramEnd"/>
      <w:r>
        <w:t xml:space="preserve"> t</w:t>
      </w:r>
      <w:r w:rsidRPr="001C7996">
        <w:t>he appropriation of outer space by private entities is unjust.</w:t>
      </w:r>
    </w:p>
    <w:p w14:paraId="779E0B69" w14:textId="77777777" w:rsidR="00003786" w:rsidRPr="009646D3" w:rsidRDefault="00003786" w:rsidP="00003786"/>
    <w:p w14:paraId="0528B894" w14:textId="77777777" w:rsidR="00003786" w:rsidRPr="00100A2B" w:rsidRDefault="00003786" w:rsidP="00003786">
      <w:pPr>
        <w:pStyle w:val="Heading4"/>
        <w:rPr>
          <w:rFonts w:cs="Calibri"/>
        </w:rPr>
      </w:pPr>
      <w:r>
        <w:rPr>
          <w:rFonts w:cs="Calibri"/>
        </w:rPr>
        <w:t xml:space="preserve">A] </w:t>
      </w:r>
      <w:r w:rsidRPr="00100A2B">
        <w:rPr>
          <w:rFonts w:cs="Calibri"/>
        </w:rPr>
        <w:t>Normal means is ratification of the Moon Treaty</w:t>
      </w:r>
    </w:p>
    <w:p w14:paraId="063DBBF1" w14:textId="77777777" w:rsidR="00003786" w:rsidRPr="009646D3" w:rsidRDefault="00003786" w:rsidP="00003786">
      <w:r w:rsidRPr="009646D3">
        <w:rPr>
          <w:rStyle w:val="Style13ptBold"/>
        </w:rPr>
        <w:t>Mallick and Rajagopalan 19</w:t>
      </w:r>
      <w:r w:rsidRPr="009646D3">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9646D3">
        <w:t>, in particular, Space</w:t>
      </w:r>
      <w:proofErr w:type="gramEnd"/>
      <w:r w:rsidRPr="009646D3">
        <w:t xml:space="preserve"> debris mitigation and removal, and the law of the commons. She has published articles on Space Law in the All India Reporter Law Journal and The Hindu</w:t>
      </w:r>
      <w:proofErr w:type="gramStart"/>
      <w:r w:rsidRPr="009646D3">
        <w:t>.)(</w:t>
      </w:r>
      <w:proofErr w:type="gramEnd"/>
      <w:r w:rsidRPr="009646D3">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9646D3">
        <w:rPr>
          <w:sz w:val="16"/>
        </w:rPr>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9646D3">
        <w:rPr>
          <w:sz w:val="16"/>
        </w:rPr>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9646D3">
        <w:rPr>
          <w:sz w:val="16"/>
        </w:rPr>
        <w:t>."</w:t>
      </w:r>
      <w:hyperlink r:id="rId5" w:anchor="_edn64" w:history="1">
        <w:r w:rsidRPr="009646D3">
          <w:rPr>
            <w:rStyle w:val="Hyperlink"/>
            <w:sz w:val="16"/>
          </w:rPr>
          <w:t>~~[lxiv~~]</w:t>
        </w:r>
      </w:hyperlink>
      <w:r w:rsidRPr="009646D3">
        <w:rPr>
          <w:sz w:val="16"/>
        </w:rPr>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9646D3">
        <w:rPr>
          <w:sz w:val="16"/>
        </w:rPr>
        <w:t>.</w:t>
      </w:r>
      <w:hyperlink r:id="rId6" w:anchor="_edn65" w:history="1">
        <w:r w:rsidRPr="009646D3">
          <w:rPr>
            <w:rStyle w:val="Hyperlink"/>
            <w:sz w:val="16"/>
          </w:rPr>
          <w:t>~~[lxv~~]</w:t>
        </w:r>
      </w:hyperlink>
      <w:r w:rsidRPr="009646D3">
        <w:rPr>
          <w:sz w:val="16"/>
        </w:rPr>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9646D3">
        <w:rPr>
          <w:sz w:val="16"/>
        </w:rPr>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9646D3">
        <w:rPr>
          <w:sz w:val="16"/>
        </w:rPr>
        <w:t>, and potentially find compromises where there are disagreements.</w:t>
      </w:r>
    </w:p>
    <w:p w14:paraId="095FCC8B" w14:textId="77777777" w:rsidR="00003786" w:rsidRDefault="00003786" w:rsidP="00003786">
      <w:pPr>
        <w:pStyle w:val="Heading4"/>
      </w:pPr>
      <w:r>
        <w:t>B] Unjust means unlawfully receiving something of value to which one is not entitled</w:t>
      </w:r>
    </w:p>
    <w:p w14:paraId="3B36A89E" w14:textId="77777777" w:rsidR="00003786" w:rsidRDefault="00003786" w:rsidP="00003786">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3AEF911C" w14:textId="77777777" w:rsidR="00003786" w:rsidRPr="009646D3" w:rsidRDefault="00003786" w:rsidP="00003786">
      <w:pPr>
        <w:rPr>
          <w:sz w:val="12"/>
        </w:rPr>
      </w:pPr>
      <w:r w:rsidRPr="009646D3">
        <w:rPr>
          <w:sz w:val="12"/>
        </w:rPr>
        <w:t xml:space="preserve">3. Unjust Enrichment 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rsidRPr="009646D3">
        <w:rPr>
          <w:sz w:val="12"/>
        </w:rPr>
        <w:t xml:space="preserve"> Coleman's Serv. Ctr., Inc. v. F.D.I.C., 55 Ark.App.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rsidRPr="009646D3">
        <w:rPr>
          <w:sz w:val="12"/>
        </w:rPr>
        <w:t xml:space="preserve">." Sparks Regional Medical Ctr. v. Blatt, 55 Ark.App. 311, 317, 935 S.W.2d 304, 306 (1996) (citation omitted). </w:t>
      </w:r>
      <w:r w:rsidRPr="000162D8">
        <w:rPr>
          <w:rStyle w:val="StyleUnderline"/>
        </w:rPr>
        <w:t>"One who is free from fault cannot be held to be unjustly enriched merely because he has chosen to exercise a legal or contract right."</w:t>
      </w:r>
      <w:r w:rsidRPr="009646D3">
        <w:rPr>
          <w:sz w:val="12"/>
        </w:rPr>
        <w:t xml:space="preserve"> Id. (citation omitted). 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rsidRPr="009646D3">
        <w:rPr>
          <w:sz w:val="12"/>
        </w:rPr>
        <w:t xml:space="preserve"> Halvorson v. Trout, 258 Ark. 397, 403, 527 S.W.2d 573, 577 (1975) (quoting Whitley v. Irwin, 250 Ark. 543, 550-51, 465 S.W.2d </w:t>
      </w:r>
      <w:r w:rsidRPr="009646D3">
        <w:rPr>
          <w:sz w:val="12"/>
        </w:rPr>
        <w:lastRenderedPageBreak/>
        <w:t>906, 910-11 (1971)). See also, Jackson County Grain Drying Coop. v. Newport Wholesale Electric, Inc., 9 Ark.App. 41, 46, 652 S.W.2d 638, 640 (1983) (</w:t>
      </w:r>
      <w:r w:rsidRPr="000162D8">
        <w:rPr>
          <w:rStyle w:val="StyleUnderline"/>
        </w:rPr>
        <w:t>no one shall be allowed to unjustly enrich himself at the expense of another; the word "unjustly" means "unlawfully"</w:t>
      </w:r>
      <w:r w:rsidRPr="009646D3">
        <w:rPr>
          <w:sz w:val="12"/>
        </w:rPr>
        <w:t>). 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139EC59A" w14:textId="77777777" w:rsidR="00003786" w:rsidRPr="00872631" w:rsidRDefault="00003786" w:rsidP="00003786">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4D0F6409" w14:textId="77777777" w:rsidR="00003786" w:rsidRPr="00872631" w:rsidRDefault="00003786" w:rsidP="00003786">
      <w:r w:rsidRPr="00F47C09">
        <w:rPr>
          <w:rStyle w:val="Style13ptBold"/>
        </w:rPr>
        <w:t>Walla 16</w:t>
      </w:r>
      <w:r w:rsidRPr="00872631">
        <w:t xml:space="preserve"> [(Alice Pinheiro, Department of Philosophy at Trinity College Dublin) “Common Possession of the Earth and Cosmopolitan Right” Kant-Studien Volume 107 Issue 1, 2016] TDI</w:t>
      </w:r>
    </w:p>
    <w:p w14:paraId="627D84DC" w14:textId="77777777" w:rsidR="00003786" w:rsidRDefault="00003786" w:rsidP="00003786">
      <w:pPr>
        <w:rPr>
          <w:rStyle w:val="StyleUnderline"/>
        </w:rPr>
      </w:pPr>
      <w:proofErr w:type="gramStart"/>
      <w:r w:rsidRPr="009646D3">
        <w:rPr>
          <w:sz w:val="10"/>
        </w:rPr>
        <w:t>Similarly</w:t>
      </w:r>
      <w:proofErr w:type="gramEnd"/>
      <w:r w:rsidRPr="009646D3">
        <w:rPr>
          <w:sz w:val="10"/>
        </w:rPr>
        <w:t xml:space="preserve">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w:t>
      </w:r>
      <w:proofErr w:type="gramStart"/>
      <w:r w:rsidRPr="009646D3">
        <w:rPr>
          <w:sz w:val="10"/>
        </w:rPr>
        <w:t>integrity, but</w:t>
      </w:r>
      <w:proofErr w:type="gramEnd"/>
      <w:r w:rsidRPr="009646D3">
        <w:rPr>
          <w:sz w:val="10"/>
        </w:rPr>
        <w:t xml:space="preserve"> does not originally extend to objects outside us. The fundamental assumption which Kant shares with Grotius and Pufendorf is that rights can only be derived from something the person already has, that is, from the suum.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w:t>
      </w:r>
      <w:proofErr w:type="gramStart"/>
      <w:r w:rsidRPr="00872631">
        <w:rPr>
          <w:rStyle w:val="StyleUnderline"/>
        </w:rPr>
        <w:t xml:space="preserve">in order </w:t>
      </w:r>
      <w:r w:rsidRPr="00872631">
        <w:rPr>
          <w:rStyle w:val="StyleUnderline"/>
          <w:highlight w:val="green"/>
        </w:rPr>
        <w:t>to</w:t>
      </w:r>
      <w:proofErr w:type="gramEnd"/>
      <w:r w:rsidRPr="00872631">
        <w:rPr>
          <w:rStyle w:val="StyleUnderline"/>
          <w:highlight w:val="green"/>
        </w:rPr>
        <w:t xml:space="preserve">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9646D3">
        <w:rPr>
          <w:sz w:val="10"/>
        </w:rPr>
        <w:t xml:space="preserve"> (ein Widerspruch der äußeren Freiheit mit sich selbst). We must thus introduce a postulate of practical reason, assuming the possibility of becoming legal owners of objects. </w:t>
      </w:r>
      <w:r w:rsidRPr="00872631">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9646D3">
        <w:rPr>
          <w:sz w:val="10"/>
        </w:rPr>
        <w:t xml:space="preserve"> Acquisition is the empirical deed through which an external object is incorporated into a person’s suum.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9646D3">
        <w:rPr>
          <w:sz w:val="1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9646D3">
        <w:rPr>
          <w:sz w:val="10"/>
        </w:rPr>
        <w:t>i.e.</w:t>
      </w:r>
      <w:proofErr w:type="gramEnd"/>
      <w:r w:rsidRPr="009646D3">
        <w:rPr>
          <w:sz w:val="10"/>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9646D3">
        <w:rPr>
          <w:sz w:val="10"/>
        </w:rPr>
        <w:t>I myself</w:t>
      </w:r>
      <w:proofErr w:type="gramEnd"/>
      <w:r w:rsidRPr="009646D3">
        <w:rPr>
          <w:sz w:val="10"/>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9646D3">
        <w:rPr>
          <w:sz w:val="10"/>
        </w:rPr>
        <w:t>some kind of ownership</w:t>
      </w:r>
      <w:proofErr w:type="gramEnd"/>
      <w:r w:rsidRPr="009646D3">
        <w:rPr>
          <w:sz w:val="10"/>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9646D3">
        <w:rPr>
          <w:sz w:val="10"/>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9646D3">
        <w:rPr>
          <w:sz w:val="1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9646D3">
        <w:rPr>
          <w:sz w:val="10"/>
        </w:rPr>
        <w:t>taking into account</w:t>
      </w:r>
      <w:proofErr w:type="gramEnd"/>
      <w:r w:rsidRPr="009646D3">
        <w:rPr>
          <w:sz w:val="10"/>
        </w:rPr>
        <w:t xml:space="preserve"> the different levels of possible interaction and institutionalization of right: within individuals in a common polity (state right), between polities (international right) and as citizens of the world (cosmopolitan right). </w:t>
      </w:r>
      <w:r w:rsidRPr="009646D3">
        <w:rPr>
          <w:sz w:val="10"/>
          <w:szCs w:val="12"/>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 </w:t>
      </w:r>
      <w:r w:rsidRPr="00872631">
        <w:rPr>
          <w:rStyle w:val="StyleUnderline"/>
        </w:rPr>
        <w:t>Acquiring land for the first time must be regarded as a realization or “particularization” of innate right.</w:t>
      </w:r>
      <w:r>
        <w:rPr>
          <w:rStyle w:val="StyleUnderline"/>
        </w:rPr>
        <w:t xml:space="preserve"> </w:t>
      </w:r>
      <w:r w:rsidRPr="00872631">
        <w:rPr>
          <w:rStyle w:val="StyleUnderline"/>
        </w:rPr>
        <w:t xml:space="preserve">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9646D3">
        <w:rPr>
          <w:sz w:val="10"/>
        </w:rPr>
        <w:t xml:space="preserve">However, Kant’s legal theory does not assign a right conferring function to empirical acts. If acquisition is to have a legal quality, its lawfulness cannot be grounded on an empirical act. </w:t>
      </w:r>
      <w:r w:rsidRPr="00872631">
        <w:rPr>
          <w:rStyle w:val="StyleUnderline"/>
        </w:rPr>
        <w:t xml:space="preserve">Further, if empirical acquisition justified possession, we would have to regard possession as a legal relationship between a thing and a person. This is not an option in Kant’s </w:t>
      </w:r>
      <w:r w:rsidRPr="00872631">
        <w:rPr>
          <w:rStyle w:val="StyleUnderline"/>
        </w:rPr>
        <w:lastRenderedPageBreak/>
        <w:t>theory, according to which legal relations pertain only between persons as beings capable of obligation and consequently as subjects of rights. Therefore, the legal foundation or title</w:t>
      </w:r>
      <w:r w:rsidRPr="009646D3">
        <w:rPr>
          <w:sz w:val="10"/>
        </w:rPr>
        <w:t xml:space="preserve"> (Rechtsgrund, titulus possessionis) </w:t>
      </w:r>
      <w:r w:rsidRPr="00872631">
        <w:rPr>
          <w:rStyle w:val="StyleUnderline"/>
        </w:rPr>
        <w:t xml:space="preserve">enabling the acquisition of land must be understood as follows: it must precede the empirical act of acquisition and is not created by it; is a relation between persons </w:t>
      </w:r>
      <w:proofErr w:type="gramStart"/>
      <w:r w:rsidRPr="00872631">
        <w:rPr>
          <w:rStyle w:val="StyleUnderline"/>
        </w:rPr>
        <w:t>in regard to</w:t>
      </w:r>
      <w:proofErr w:type="gramEnd"/>
      <w:r w:rsidRPr="00872631">
        <w:rPr>
          <w:rStyle w:val="StyleUnderline"/>
        </w:rPr>
        <w:t xml:space="preserve"> external objects, and finally it is able to impose an obligation on all others to respect one’s acquisition. The idea of the original community of the earth is what constitutes this Rechtsgrund</w:t>
      </w:r>
      <w:r w:rsidRPr="009646D3">
        <w:rPr>
          <w:sz w:val="10"/>
        </w:rPr>
        <w:t xml:space="preserve">: </w:t>
      </w:r>
      <w:r w:rsidRPr="009646D3">
        <w:rPr>
          <w:sz w:val="10"/>
          <w:szCs w:val="12"/>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9646D3">
        <w:rPr>
          <w:sz w:val="10"/>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r w:rsidRPr="009646D3">
        <w:rPr>
          <w:sz w:val="10"/>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9646D3">
        <w:rPr>
          <w:sz w:val="10"/>
          <w:szCs w:val="12"/>
        </w:rPr>
        <w:t>is</w:t>
      </w:r>
      <w:proofErr w:type="gramEnd"/>
      <w:r w:rsidRPr="009646D3">
        <w:rPr>
          <w:sz w:val="10"/>
          <w:szCs w:val="12"/>
        </w:rPr>
        <w:t xml:space="preserve"> said to be united a priori, independently of actual consent. 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r w:rsidRPr="00872631">
        <w:rPr>
          <w:rStyle w:val="StyleUnderline"/>
        </w:rPr>
        <w:t>The transition from common ownership of the earth to a concrete individual possession of land requires a principle of distribution, according to which the earth can be divided.</w:t>
      </w:r>
      <w:r w:rsidRPr="009646D3">
        <w:rPr>
          <w:sz w:val="10"/>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72631">
        <w:rPr>
          <w:rStyle w:val="StyleUnderline"/>
        </w:rPr>
        <w:t>in order to</w:t>
      </w:r>
      <w:proofErr w:type="gramEnd"/>
      <w:r w:rsidRPr="00872631">
        <w:rPr>
          <w:rStyle w:val="StyleUnderline"/>
        </w:rPr>
        <w:t xml:space="preserve"> be valid.</w:t>
      </w:r>
      <w:r w:rsidRPr="009646D3">
        <w:rPr>
          <w:sz w:val="10"/>
        </w:rPr>
        <w:t xml:space="preserve"> Further, this principle of distribution must be understood as contained in the united will of all (who have the will, individually, to use the land). </w:t>
      </w:r>
      <w:r w:rsidRPr="009646D3">
        <w:rPr>
          <w:sz w:val="10"/>
          <w:szCs w:val="12"/>
        </w:rPr>
        <w:t xml:space="preserve">III. Community of the Earth as the basis of Cosmopolitan Right 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9646D3">
        <w:rPr>
          <w:sz w:val="10"/>
          <w:szCs w:val="12"/>
        </w:rPr>
        <w:t>we</w:t>
      </w:r>
      <w:proofErr w:type="gramEnd"/>
      <w:r w:rsidRPr="009646D3">
        <w:rPr>
          <w:sz w:val="10"/>
          <w:szCs w:val="12"/>
        </w:rPr>
        <w:t xml:space="preserv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9646D3">
        <w:rPr>
          <w:sz w:val="10"/>
          <w:szCs w:val="12"/>
        </w:rPr>
        <w:t>places</w:t>
      </w:r>
      <w:proofErr w:type="gramEnd"/>
      <w:r w:rsidRPr="009646D3">
        <w:rPr>
          <w:sz w:val="10"/>
          <w:szCs w:val="12"/>
        </w:rPr>
        <w:t xml:space="preserve"> individuals can occupy within the limited surface of the earth. Common possession of the earth plays a central role in Kant’s argument for cosmopolitan right. Although the role of cosmopolitan right, I will argue, has an analogous function to Grotius’ right of necessity and Pufendorf’s imperfect rights and duties, Kant’s “</w:t>
      </w:r>
      <w:proofErr w:type="gramStart"/>
      <w:r w:rsidRPr="009646D3">
        <w:rPr>
          <w:sz w:val="10"/>
          <w:szCs w:val="12"/>
        </w:rPr>
        <w:t>revival”of</w:t>
      </w:r>
      <w:proofErr w:type="gramEnd"/>
      <w:r w:rsidRPr="009646D3">
        <w:rPr>
          <w:sz w:val="10"/>
          <w:szCs w:val="12"/>
        </w:rPr>
        <w:t xml:space="preserve"> the original community in cosmopolitan right is nevertheless a radical redefinition of the Grotius- Pufendorf tradition. [It]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w:t>
      </w:r>
      <w:proofErr w:type="gramStart"/>
      <w:r w:rsidRPr="009646D3">
        <w:rPr>
          <w:sz w:val="10"/>
          <w:szCs w:val="12"/>
        </w:rPr>
        <w:t>is able to</w:t>
      </w:r>
      <w:proofErr w:type="gramEnd"/>
      <w:r w:rsidRPr="009646D3">
        <w:rPr>
          <w:sz w:val="10"/>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 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w:t>
      </w:r>
      <w:proofErr w:type="gramStart"/>
      <w:r w:rsidRPr="009646D3">
        <w:rPr>
          <w:sz w:val="10"/>
          <w:szCs w:val="12"/>
        </w:rPr>
        <w:t>incolatus )</w:t>
      </w:r>
      <w:proofErr w:type="gramEnd"/>
      <w:r w:rsidRPr="009646D3">
        <w:rPr>
          <w:sz w:val="10"/>
          <w:szCs w:val="12"/>
        </w:rPr>
        <w:t xml:space="preserve">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646D3">
        <w:rPr>
          <w:sz w:val="10"/>
          <w:szCs w:val="12"/>
        </w:rPr>
        <w:t>inhabitants, if</w:t>
      </w:r>
      <w:proofErr w:type="gramEnd"/>
      <w:r w:rsidRPr="009646D3">
        <w:rPr>
          <w:sz w:val="10"/>
          <w:szCs w:val="12"/>
        </w:rPr>
        <w:t xml:space="preserve"> they behave peacefully. </w:t>
      </w:r>
      <w:r w:rsidRPr="00872631">
        <w:rPr>
          <w:rStyle w:val="StyleUnderline"/>
        </w:rPr>
        <w:t xml:space="preserve">However, the original community of the earth also imposes constraints on the acquired right of host nations to control their borders. </w:t>
      </w:r>
      <w:r w:rsidRPr="009646D3">
        <w:rPr>
          <w:sz w:val="10"/>
        </w:rPr>
        <w:t xml:space="preserve">Kant makes clear that host nations have the right to reject visitors whenever their reason for interaction is voluntary. </w:t>
      </w:r>
      <w:proofErr w:type="gramStart"/>
      <w:r w:rsidRPr="009646D3">
        <w:rPr>
          <w:sz w:val="10"/>
        </w:rPr>
        <w:t>Similarly</w:t>
      </w:r>
      <w:proofErr w:type="gramEnd"/>
      <w:r w:rsidRPr="009646D3">
        <w:rPr>
          <w:sz w:val="10"/>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9646D3">
        <w:rPr>
          <w:sz w:val="1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w:t>
      </w:r>
      <w:r w:rsidRPr="00872631">
        <w:rPr>
          <w:rStyle w:val="StyleUnderline"/>
        </w:rPr>
        <w:lastRenderedPageBreak/>
        <w:t>involuntary visitor to be admitted are based on the same legal foundation or Rechtsgrund, namely, the original community of the earth.</w:t>
      </w:r>
      <w:r w:rsidRPr="009646D3">
        <w:rPr>
          <w:sz w:val="1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w:t>
      </w:r>
      <w:proofErr w:type="gramStart"/>
      <w:r w:rsidRPr="009646D3">
        <w:rPr>
          <w:sz w:val="10"/>
        </w:rPr>
        <w:t>iustitiae .</w:t>
      </w:r>
      <w:proofErr w:type="gramEnd"/>
      <w:r w:rsidRPr="009646D3">
        <w:rPr>
          <w:sz w:val="10"/>
        </w:rPr>
        <w:t xml:space="preserve">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w:t>
      </w:r>
      <w:proofErr w:type="gramStart"/>
      <w:r w:rsidRPr="009646D3">
        <w:rPr>
          <w:sz w:val="10"/>
        </w:rPr>
        <w:t>Notwendigkeit )</w:t>
      </w:r>
      <w:proofErr w:type="gramEnd"/>
      <w:r w:rsidRPr="009646D3">
        <w:rPr>
          <w:sz w:val="10"/>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872631">
        <w:rPr>
          <w:rStyle w:val="StyleUnderline"/>
        </w:rPr>
        <w:t>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14:paraId="045ED2BA" w14:textId="77777777" w:rsidR="00003786" w:rsidRPr="00872631" w:rsidRDefault="00003786" w:rsidP="00003786">
      <w:pPr>
        <w:rPr>
          <w:rStyle w:val="StyleUnderline"/>
        </w:rPr>
      </w:pPr>
    </w:p>
    <w:p w14:paraId="44C6E523" w14:textId="77777777" w:rsidR="00003786" w:rsidRPr="00872631" w:rsidRDefault="00003786" w:rsidP="00003786">
      <w:pPr>
        <w:pStyle w:val="Heading4"/>
        <w:rPr>
          <w:rFonts w:cs="Calibri"/>
        </w:rPr>
      </w:pPr>
      <w:r w:rsidRPr="00872631">
        <w:rPr>
          <w:rFonts w:cs="Calibri"/>
        </w:rPr>
        <w:t>2] An exclusive and permanent right to property is not entailed by the categorical imperative. Only conditional use is universalizable</w:t>
      </w:r>
    </w:p>
    <w:p w14:paraId="1D515911" w14:textId="77777777" w:rsidR="00003786" w:rsidRPr="00872631" w:rsidRDefault="00003786" w:rsidP="00003786">
      <w:r w:rsidRPr="00F47C09">
        <w:rPr>
          <w:rStyle w:val="Style13ptBold"/>
        </w:rPr>
        <w:t>Westphal 97</w:t>
      </w:r>
      <w:r w:rsidRPr="00872631">
        <w:t xml:space="preserve"> [(Kenneth R., Professor of Philosophy at Boðaziçi Üniversitesi, PhD in Philosophy from Wisco) “Do Kant’s Principles Justify Property or Usufruct?” Jahrbuch für Recht und Ethik/Annual Review of Law and Ethics 5 (1997):141–94.] RE</w:t>
      </w:r>
    </w:p>
    <w:p w14:paraId="54D2A37D" w14:textId="77777777" w:rsidR="00003786" w:rsidRPr="00D7721B" w:rsidRDefault="00003786" w:rsidP="00003786">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r>
        <w:rPr>
          <w:sz w:val="12"/>
        </w:rPr>
        <w:t xml:space="preserve"> </w:t>
      </w: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(äußere)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r>
        <w:rPr>
          <w:sz w:val="12"/>
        </w:rPr>
        <w:t xml:space="preserve"> </w:t>
      </w:r>
      <w:r w:rsidRPr="00066A83">
        <w:rPr>
          <w:sz w:val="12"/>
          <w:szCs w:val="12"/>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r>
        <w:rPr>
          <w:sz w:val="12"/>
          <w:szCs w:val="12"/>
        </w:rPr>
        <w:t xml:space="preserve"> </w:t>
      </w: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(“obgleich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w:t>
      </w:r>
      <w:r w:rsidRPr="00066A83">
        <w:rPr>
          <w:sz w:val="12"/>
        </w:rPr>
        <w:lastRenderedPageBreak/>
        <w:t xml:space="preserve">consistent with the freedom of everyone in accord with universal laws. That would justify rights to possessio.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r>
        <w:rPr>
          <w:rStyle w:val="StyleUnderline"/>
        </w:rPr>
        <w:t xml:space="preserve"> </w:t>
      </w: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r>
        <w:rPr>
          <w:sz w:val="12"/>
          <w:szCs w:val="12"/>
        </w:rPr>
        <w:t xml:space="preserve"> </w:t>
      </w: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2FD6C2BC" w14:textId="77777777" w:rsidR="00003786" w:rsidRPr="00872631" w:rsidRDefault="00003786" w:rsidP="00003786">
      <w:pPr>
        <w:pStyle w:val="Heading4"/>
        <w:rPr>
          <w:rFonts w:cs="Calibri"/>
        </w:rPr>
      </w:pPr>
      <w:r w:rsidRPr="00872631">
        <w:rPr>
          <w:rFonts w:cs="Calibri"/>
        </w:rPr>
        <w:t>That implies that private appropriation is unjust.</w:t>
      </w:r>
    </w:p>
    <w:p w14:paraId="5CF97558" w14:textId="77777777" w:rsidR="00003786" w:rsidRPr="00872631" w:rsidRDefault="00003786" w:rsidP="00003786">
      <w:r w:rsidRPr="00F47C09">
        <w:rPr>
          <w:rStyle w:val="Style13ptBold"/>
        </w:rPr>
        <w:t>Westphal 97</w:t>
      </w:r>
      <w:r w:rsidRPr="00872631">
        <w:t xml:space="preserve"> [(Kenneth R., Professor of Philosophy at Boðaziçi Üniversitesi, PhD in Philosophy from Wisco) “Do Kant’s Principles Justify Property or Usufruct?” Jahrbuch für Recht und Ethik/Annual Review of Law and Ethics 5 (1997):141–94.] RE</w:t>
      </w:r>
    </w:p>
    <w:p w14:paraId="6917A302" w14:textId="77777777" w:rsidR="00003786" w:rsidRPr="00D7721B" w:rsidRDefault="00003786" w:rsidP="00003786">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4AD56F19" w14:textId="77777777" w:rsidR="00003786" w:rsidRPr="00872631" w:rsidRDefault="00003786" w:rsidP="00003786">
      <w:pPr>
        <w:pStyle w:val="Heading4"/>
        <w:rPr>
          <w:rFonts w:cs="Calibri"/>
        </w:rPr>
      </w:pPr>
      <w:r w:rsidRPr="00872631">
        <w:rPr>
          <w:rFonts w:cs="Calibri"/>
        </w:rPr>
        <w:lastRenderedPageBreak/>
        <w:t>3] Privatization of outer space runs counter to international law</w:t>
      </w:r>
    </w:p>
    <w:p w14:paraId="7913F715" w14:textId="77777777" w:rsidR="00003786" w:rsidRPr="00872631" w:rsidRDefault="00003786" w:rsidP="00003786">
      <w:r w:rsidRPr="00F47C09">
        <w:rPr>
          <w:rStyle w:val="Style13ptBold"/>
        </w:rPr>
        <w:t>van Eijk 20</w:t>
      </w:r>
      <w:r w:rsidRPr="00872631">
        <w:t xml:space="preserve"> [(Cristian, finishing an accelerated BA in Law at the University of Cambridge. He holds a BA cum laude in International Justice and an LLM in Public International Law from Leiden </w:t>
      </w:r>
      <w:proofErr w:type="gramStart"/>
      <w:r w:rsidRPr="00872631">
        <w:t>University, and</w:t>
      </w:r>
      <w:proofErr w:type="gramEnd"/>
      <w:r w:rsidRPr="00872631">
        <w:t xml:space="preserve"> has previously worked at the T.M.C. Asser Institute and the International Commission on Missing Persons.) “Sorry, Elon: Mars is not a legal vacuum – and it’s not yours, either,” 5/11/20, Völkerrechtsblog, </w:t>
      </w:r>
      <w:hyperlink r:id="rId7" w:history="1">
        <w:r w:rsidRPr="00872631">
          <w:rPr>
            <w:rStyle w:val="Hyperlink"/>
          </w:rPr>
          <w:t>https://voelkerrechtsblog.org/sorry-elon-mars-is-not-a-legal-vacuum-and-its-not-yours-either</w:t>
        </w:r>
      </w:hyperlink>
      <w:r w:rsidRPr="00872631">
        <w:t>] TDI</w:t>
      </w:r>
    </w:p>
    <w:p w14:paraId="0DFADB24" w14:textId="77777777" w:rsidR="00003786" w:rsidRPr="00066A83" w:rsidRDefault="00003786" w:rsidP="00003786">
      <w:pPr>
        <w:rPr>
          <w:sz w:val="12"/>
          <w:szCs w:val="12"/>
        </w:rPr>
      </w:pPr>
      <w:r w:rsidRPr="00066A83">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r>
        <w:rPr>
          <w:sz w:val="12"/>
          <w:szCs w:val="12"/>
        </w:rPr>
        <w:t xml:space="preserve"> </w:t>
      </w: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r>
        <w:rPr>
          <w:sz w:val="12"/>
          <w:szCs w:val="12"/>
        </w:rPr>
        <w:t xml:space="preserve"> </w:t>
      </w: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and even Elon Musk cannot colombus a new one.</w:t>
      </w:r>
      <w:r>
        <w:rPr>
          <w:rStyle w:val="StyleUnderline"/>
        </w:rPr>
        <w:t xml:space="preserve"> </w:t>
      </w:r>
      <w:r w:rsidRPr="00066A83">
        <w:rPr>
          <w:sz w:val="12"/>
          <w:szCs w:val="12"/>
        </w:rPr>
        <w:t>Who’s responsible for Elon Musk?</w:t>
      </w:r>
      <w:r>
        <w:rPr>
          <w:sz w:val="12"/>
          <w:szCs w:val="12"/>
        </w:rPr>
        <w:t xml:space="preserve"> </w:t>
      </w: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r>
        <w:rPr>
          <w:rStyle w:val="StyleUnderline"/>
        </w:rPr>
        <w:t xml:space="preserve"> </w:t>
      </w: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r>
        <w:rPr>
          <w:rStyle w:val="StyleUnderline"/>
        </w:rPr>
        <w:t xml:space="preserve"> </w:t>
      </w:r>
      <w:r w:rsidRPr="00872631">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6F4985">
        <w:rPr>
          <w:rStyle w:val="StyleUnderline"/>
        </w:rPr>
        <w:t>SpaceX</w:t>
      </w:r>
      <w:r w:rsidRPr="00872631">
        <w:rPr>
          <w:rStyle w:val="StyleUnderline"/>
        </w:rPr>
        <w:t xml:space="preserve"> is a private </w:t>
      </w:r>
      <w:proofErr w:type="gramStart"/>
      <w:r w:rsidRPr="00872631">
        <w:rPr>
          <w:rStyle w:val="StyleUnderline"/>
        </w:rPr>
        <w:t>entity, and</w:t>
      </w:r>
      <w:proofErr w:type="gramEnd"/>
      <w:r w:rsidRPr="00872631">
        <w:rPr>
          <w:rStyle w:val="StyleUnderline"/>
        </w:rPr>
        <w:t xml:space="preserve">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r>
        <w:rPr>
          <w:sz w:val="12"/>
        </w:rPr>
        <w:t xml:space="preserve"> </w:t>
      </w: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r>
        <w:rPr>
          <w:sz w:val="12"/>
        </w:rPr>
        <w:t xml:space="preserve"> </w:t>
      </w:r>
      <w:r w:rsidRPr="00066A83">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r>
        <w:rPr>
          <w:rStyle w:val="StyleUnderline"/>
        </w:rPr>
        <w:t xml:space="preserve"> </w:t>
      </w:r>
      <w:r w:rsidRPr="00872631">
        <w:t>The principle of non-appropriation</w:t>
      </w:r>
      <w:r>
        <w:t xml:space="preserve"> </w:t>
      </w:r>
      <w:r w:rsidRPr="00872631">
        <w:rPr>
          <w:rStyle w:val="StyleUnderline"/>
        </w:rPr>
        <w:t>SpaceX risks breaching OST article II, the “cardinal rule” of space law (Tronchetti,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r>
        <w:rPr>
          <w:sz w:val="12"/>
        </w:rPr>
        <w:t xml:space="preserve"> </w:t>
      </w:r>
      <w:r w:rsidRPr="00066A83">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Tronchetti,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r>
        <w:rPr>
          <w:sz w:val="12"/>
        </w:rPr>
        <w:t xml:space="preserve"> </w:t>
      </w:r>
      <w:r w:rsidRPr="00066A83">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proofErr w:type="gramStart"/>
      <w:r w:rsidRPr="006F4985">
        <w:rPr>
          <w:rStyle w:val="StyleUnderline"/>
          <w:highlight w:val="green"/>
        </w:rPr>
        <w:t>article II</w:t>
      </w:r>
      <w:r w:rsidRPr="00872631">
        <w:rPr>
          <w:rStyle w:val="StyleUnderline"/>
        </w:rPr>
        <w:t>, and</w:t>
      </w:r>
      <w:proofErr w:type="gramEnd"/>
      <w:r w:rsidRPr="00872631">
        <w:rPr>
          <w:rStyle w:val="StyleUnderline"/>
        </w:rPr>
        <w:t xml:space="preserve"> entail US responsibility for an internationally wrongful act.</w:t>
      </w:r>
      <w:r>
        <w:rPr>
          <w:rStyle w:val="StyleUnderline"/>
        </w:rPr>
        <w:t xml:space="preserve"> </w:t>
      </w: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t>
      </w:r>
      <w:r w:rsidRPr="00066A83">
        <w:rPr>
          <w:sz w:val="12"/>
          <w:szCs w:val="12"/>
        </w:rPr>
        <w:lastRenderedPageBreak/>
        <w:t xml:space="preserve">would prioritise corporate objectives over principle, and under an administration increasingly dismissive of the international rule of law, might fail to regulate SpaceX in case of breach. Both SpaceX’s actions or FCC inaction risk breaching OST </w:t>
      </w:r>
      <w:proofErr w:type="gramStart"/>
      <w:r w:rsidRPr="00066A83">
        <w:rPr>
          <w:sz w:val="12"/>
          <w:szCs w:val="12"/>
        </w:rPr>
        <w:t>article II, and</w:t>
      </w:r>
      <w:proofErr w:type="gramEnd"/>
      <w:r w:rsidRPr="00066A83">
        <w:rPr>
          <w:sz w:val="12"/>
          <w:szCs w:val="12"/>
        </w:rPr>
        <w:t xml:space="preserve"> could leave the US facing reparations claims from injured state(s).</w:t>
      </w:r>
      <w:r>
        <w:rPr>
          <w:sz w:val="12"/>
          <w:szCs w:val="12"/>
        </w:rPr>
        <w:t xml:space="preserve"> </w:t>
      </w:r>
      <w:r w:rsidRPr="00066A83">
        <w:rPr>
          <w:sz w:val="12"/>
          <w:szCs w:val="12"/>
        </w:rPr>
        <w:t>Mars nullius: A thought experiment</w:t>
      </w:r>
      <w:r>
        <w:rPr>
          <w:sz w:val="12"/>
          <w:szCs w:val="12"/>
        </w:rPr>
        <w:t xml:space="preserve"> </w:t>
      </w:r>
      <w:proofErr w:type="gramStart"/>
      <w:r w:rsidRPr="00066A83">
        <w:rPr>
          <w:sz w:val="12"/>
          <w:szCs w:val="12"/>
        </w:rPr>
        <w:t>But</w:t>
      </w:r>
      <w:proofErr w:type="gramEnd"/>
      <w:r w:rsidRPr="00066A83">
        <w:rPr>
          <w:sz w:val="12"/>
          <w:szCs w:val="12"/>
        </w:rPr>
        <w:t xml:space="preserve"> this problem extends beyond the legal. As previously mentioned, the OST, especially article II, designates Mars as res communis. This precludes territorial acquisition by occupation, which can only legitimately occur on terra nullius.</w:t>
      </w:r>
      <w:r>
        <w:rPr>
          <w:sz w:val="12"/>
          <w:szCs w:val="12"/>
        </w:rPr>
        <w:t xml:space="preserve"> </w:t>
      </w:r>
      <w:r w:rsidRPr="00066A83">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066A83">
        <w:rPr>
          <w:sz w:val="12"/>
          <w:szCs w:val="12"/>
        </w:rPr>
        <w:t>originally-proposed</w:t>
      </w:r>
      <w:proofErr w:type="gramEnd"/>
      <w:r w:rsidRPr="00066A83">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r>
        <w:rPr>
          <w:sz w:val="12"/>
          <w:szCs w:val="12"/>
        </w:rPr>
        <w:t xml:space="preserve"> </w:t>
      </w: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gramStart"/>
      <w:r w:rsidRPr="00066A83">
        <w:rPr>
          <w:sz w:val="12"/>
          <w:szCs w:val="12"/>
        </w:rPr>
        <w:t>effectivité‘</w:t>
      </w:r>
      <w:proofErr w:type="gramEnd"/>
      <w:r w:rsidRPr="00066A83">
        <w:rPr>
          <w:sz w:val="12"/>
          <w:szCs w:val="12"/>
        </w:rPr>
        <w:t>),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r>
        <w:rPr>
          <w:sz w:val="12"/>
          <w:szCs w:val="12"/>
        </w:rPr>
        <w:t xml:space="preserve"> </w:t>
      </w:r>
      <w:r w:rsidRPr="00066A83">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r>
        <w:rPr>
          <w:sz w:val="12"/>
          <w:szCs w:val="12"/>
        </w:rPr>
        <w:t xml:space="preserve"> </w:t>
      </w:r>
      <w:r w:rsidRPr="00066A83">
        <w:rPr>
          <w:sz w:val="12"/>
          <w:szCs w:val="12"/>
        </w:rPr>
        <w:t>Concerns and conclusions</w:t>
      </w:r>
      <w:r>
        <w:rPr>
          <w:sz w:val="12"/>
          <w:szCs w:val="12"/>
        </w:rPr>
        <w:t xml:space="preserve"> </w:t>
      </w: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signalling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r>
        <w:rPr>
          <w:sz w:val="12"/>
        </w:rPr>
        <w:t xml:space="preserve"> </w:t>
      </w:r>
      <w:r w:rsidRPr="00066A83">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r>
        <w:rPr>
          <w:sz w:val="12"/>
          <w:szCs w:val="12"/>
        </w:rPr>
        <w:t xml:space="preserve"> </w:t>
      </w:r>
      <w:r w:rsidRPr="00066A83">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r>
        <w:rPr>
          <w:sz w:val="12"/>
          <w:szCs w:val="12"/>
        </w:rPr>
        <w:t xml:space="preserve"> </w:t>
      </w: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6BB5A6F4" w14:textId="77777777" w:rsidR="00003786" w:rsidRPr="00D33AB9" w:rsidRDefault="00003786" w:rsidP="00003786">
      <w:pPr>
        <w:pStyle w:val="Heading4"/>
      </w:pPr>
      <w:r w:rsidRPr="00D33AB9">
        <w:t xml:space="preserve">Violating </w:t>
      </w:r>
      <w:r>
        <w:t>i-Law is a form of promise breaking that is non universalizable since it leads to an inconceivable world where everyone lies and there is no conception of truth.</w:t>
      </w:r>
    </w:p>
    <w:p w14:paraId="32D2C54B" w14:textId="77777777" w:rsidR="00003786" w:rsidRPr="00872631" w:rsidRDefault="00003786" w:rsidP="00003786">
      <w:pPr>
        <w:pStyle w:val="Heading4"/>
        <w:rPr>
          <w:rFonts w:cs="Calibri"/>
        </w:rPr>
      </w:pPr>
      <w:r>
        <w:rPr>
          <w:rFonts w:cs="Calibri"/>
        </w:rPr>
        <w:t xml:space="preserve">4] </w:t>
      </w:r>
      <w:r w:rsidRPr="00872631">
        <w:rPr>
          <w:rFonts w:cs="Calibri"/>
        </w:rPr>
        <w:t xml:space="preserve">Privatization of space relies on </w:t>
      </w:r>
      <w:r>
        <w:rPr>
          <w:rFonts w:cs="Calibri"/>
        </w:rPr>
        <w:t>taxation – that affirms</w:t>
      </w:r>
    </w:p>
    <w:p w14:paraId="5AE7A264" w14:textId="77777777" w:rsidR="00003786" w:rsidRPr="00872631" w:rsidRDefault="00003786" w:rsidP="00003786">
      <w:r w:rsidRPr="009646D3">
        <w:rPr>
          <w:rStyle w:val="Style13ptBold"/>
        </w:rPr>
        <w:t>Shammas and Holen 19</w:t>
      </w:r>
      <w:r w:rsidRPr="00872631">
        <w:t xml:space="preserve"> [(Victor L. Oslo Metropolitan University, Tomas B. Independent scholar) “One giant leap for capitalistkind: private enterprise in outer space,” Palgrave Communications, 1-29-19, https://www.nature.com/articles/s41599-019-0218-9] TDI</w:t>
      </w:r>
    </w:p>
    <w:p w14:paraId="034DAF7F" w14:textId="77777777" w:rsidR="00003786" w:rsidRPr="00066A83" w:rsidRDefault="00003786" w:rsidP="00003786">
      <w:pPr>
        <w:rPr>
          <w:sz w:val="12"/>
        </w:rPr>
      </w:pPr>
      <w:r w:rsidRPr="00872631">
        <w:rPr>
          <w:rStyle w:val="StyleUnderline"/>
        </w:rPr>
        <w:t xml:space="preserve">But the entrepreneurial </w:t>
      </w:r>
      <w:r w:rsidRPr="006F4985">
        <w:rPr>
          <w:rStyle w:val="StyleUnderline"/>
          <w:highlight w:val="green"/>
        </w:rPr>
        <w:t>libertarianism</w:t>
      </w:r>
      <w:r w:rsidRPr="00872631">
        <w:rPr>
          <w:rStyle w:val="StyleUnderline"/>
        </w:rPr>
        <w:t xml:space="preserve"> of capitalistkind </w:t>
      </w:r>
      <w:r w:rsidRPr="006F4985">
        <w:rPr>
          <w:rStyle w:val="StyleUnderline"/>
          <w:highlight w:val="green"/>
        </w:rPr>
        <w:t>is undermined by the</w:t>
      </w:r>
      <w:r w:rsidRPr="00872631">
        <w:rPr>
          <w:rStyle w:val="StyleUnderline"/>
        </w:rPr>
        <w:t xml:space="preserve"> reliance of the entire </w:t>
      </w:r>
      <w:r w:rsidRPr="006F4985">
        <w:rPr>
          <w:rStyle w:val="StyleUnderline"/>
          <w:highlight w:val="green"/>
        </w:rPr>
        <w:t>NewSpace complex</w:t>
      </w:r>
      <w:r w:rsidRPr="00872631">
        <w:rPr>
          <w:rStyle w:val="StyleUnderline"/>
        </w:rPr>
        <w:t xml:space="preserve"> on extensive support from the state, ‘a public-private financing model underpinning long-shot start-ups' that in the case of Musk’s three main companies (SpaceX, SolarCity Corp., and Tesla) has been underpinned by $4.9 billion dollars in government subsidies</w:t>
      </w:r>
      <w:r w:rsidRPr="00066A83">
        <w:rPr>
          <w:sz w:val="12"/>
        </w:rPr>
        <w:t xml:space="preserve"> (Hirsch, 2015). In the nascent field of space tourism, Cohen (2017) argues that </w:t>
      </w:r>
      <w:r w:rsidRPr="00872631">
        <w:rPr>
          <w:rStyle w:val="StyleUnderline"/>
        </w:rPr>
        <w:t xml:space="preserve">what began as an almost entirely private venture quickly ground to a halt in the face of insurmountable technical and financial obstacles, only solved by </w:t>
      </w:r>
      <w:r w:rsidRPr="006F4985">
        <w:rPr>
          <w:rStyle w:val="StyleUnderline"/>
          <w:highlight w:val="green"/>
        </w:rPr>
        <w:t>piggybacking on large state-run projects</w:t>
      </w:r>
      <w:r w:rsidRPr="00066A83">
        <w:rPr>
          <w:sz w:val="12"/>
        </w:rPr>
        <w:t xml:space="preserve">, such as selling trips to the International Space Station, against the objections of NASA scientists. </w:t>
      </w:r>
      <w:r w:rsidRPr="00872631">
        <w:rPr>
          <w:rStyle w:val="StyleUnderline"/>
        </w:rPr>
        <w:t xml:space="preserve">The business model of </w:t>
      </w:r>
      <w:r w:rsidRPr="006F4985">
        <w:rPr>
          <w:rStyle w:val="StyleUnderline"/>
          <w:highlight w:val="green"/>
        </w:rPr>
        <w:t>NewSpace depends on the taxpayer’s dollar</w:t>
      </w:r>
      <w:r w:rsidRPr="00872631">
        <w:rPr>
          <w:rStyle w:val="StyleUnderline"/>
        </w:rPr>
        <w:t xml:space="preserve"> while making pretensions to individual self-reliance.</w:t>
      </w:r>
      <w:r w:rsidRPr="00066A83">
        <w:rPr>
          <w:sz w:val="12"/>
        </w:rPr>
        <w:t xml:space="preserve"> </w:t>
      </w:r>
      <w:proofErr w:type="gramStart"/>
      <w:r w:rsidRPr="00066A83">
        <w:rPr>
          <w:sz w:val="12"/>
        </w:rPr>
        <w:t>The vast majority of</w:t>
      </w:r>
      <w:proofErr w:type="gramEnd"/>
      <w:r w:rsidRPr="00066A83">
        <w:rPr>
          <w:sz w:val="12"/>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56525475" w14:textId="77777777" w:rsidR="00003786" w:rsidRPr="00C5360D" w:rsidRDefault="00003786" w:rsidP="00003786">
      <w:pPr>
        <w:rPr>
          <w:rStyle w:val="StyleUnderline"/>
          <w:sz w:val="12"/>
        </w:rPr>
      </w:pPr>
      <w:r w:rsidRPr="00872631">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066A83">
        <w:rPr>
          <w:sz w:val="12"/>
        </w:rPr>
        <w:t xml:space="preserve"> (Wacquant, 2012). As Lazzarato writes, ‘To be able to be “laissez-faire”, it is necessary to intervene a great deal' (2017, p. 7). </w:t>
      </w:r>
      <w:r w:rsidRPr="00872631">
        <w:rPr>
          <w:rStyle w:val="StyleUnderline"/>
        </w:rPr>
        <w:t xml:space="preserve">Space libertarianism is libertarian in name only: </w:t>
      </w:r>
      <w:r w:rsidRPr="006E14C5">
        <w:rPr>
          <w:rStyle w:val="StyleUnderline"/>
          <w:highlight w:val="green"/>
        </w:rPr>
        <w:t>behind</w:t>
      </w:r>
      <w:r w:rsidRPr="00872631">
        <w:rPr>
          <w:rStyle w:val="StyleUnderline"/>
        </w:rPr>
        <w:t xml:space="preserve"> every </w:t>
      </w:r>
      <w:r w:rsidRPr="006E14C5">
        <w:rPr>
          <w:rStyle w:val="StyleUnderline"/>
          <w:highlight w:val="green"/>
        </w:rPr>
        <w:t>NewSpace</w:t>
      </w:r>
      <w:r w:rsidRPr="00872631">
        <w:rPr>
          <w:rStyle w:val="StyleUnderline"/>
        </w:rPr>
        <w:t xml:space="preserve"> venture </w:t>
      </w:r>
      <w:r w:rsidRPr="006E14C5">
        <w:rPr>
          <w:rStyle w:val="StyleUnderline"/>
          <w:highlight w:val="green"/>
        </w:rPr>
        <w:t>looms</w:t>
      </w:r>
      <w:r w:rsidRPr="00872631">
        <w:rPr>
          <w:rStyle w:val="StyleUnderline"/>
        </w:rPr>
        <w:t xml:space="preserve"> a thick web of </w:t>
      </w:r>
      <w:r w:rsidRPr="006E14C5">
        <w:rPr>
          <w:rStyle w:val="StyleUnderline"/>
          <w:highlight w:val="green"/>
        </w:rPr>
        <w:t>government spending</w:t>
      </w:r>
      <w:r w:rsidRPr="00872631">
        <w:rPr>
          <w:rStyle w:val="StyleUnderline"/>
        </w:rPr>
        <w:t xml:space="preserve"> programs, </w:t>
      </w:r>
      <w:r w:rsidRPr="006E14C5">
        <w:rPr>
          <w:rStyle w:val="StyleUnderline"/>
          <w:highlight w:val="green"/>
        </w:rPr>
        <w:t>regulatory agencies, public infrastructure, and universities</w:t>
      </w:r>
      <w:r w:rsidRPr="00872631">
        <w:rPr>
          <w:rStyle w:val="StyleUnderline"/>
        </w:rPr>
        <w:t xml:space="preserve"> bolstered by </w:t>
      </w:r>
      <w:r w:rsidRPr="006E14C5">
        <w:rPr>
          <w:rStyle w:val="StyleUnderline"/>
          <w:highlight w:val="green"/>
        </w:rPr>
        <w:t>research grants</w:t>
      </w:r>
      <w:r w:rsidRPr="00872631">
        <w:rPr>
          <w:rStyle w:val="StyleUnderline"/>
        </w:rPr>
        <w:t xml:space="preserve"> from the state.</w:t>
      </w:r>
      <w:r w:rsidRPr="00066A83">
        <w:rPr>
          <w:sz w:val="12"/>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2F7EE4A0" w14:textId="77777777" w:rsidR="00003786" w:rsidRPr="00F56E04" w:rsidRDefault="00003786" w:rsidP="00003786">
      <w:pPr>
        <w:pStyle w:val="Heading3"/>
      </w:pPr>
      <w:r>
        <w:lastRenderedPageBreak/>
        <w:t xml:space="preserve">1AC – </w:t>
      </w:r>
      <w:r w:rsidRPr="00F56E04">
        <w:t>U/V</w:t>
      </w:r>
    </w:p>
    <w:p w14:paraId="3215899F" w14:textId="77777777" w:rsidR="00003786" w:rsidRDefault="00003786" w:rsidP="00003786">
      <w:pPr>
        <w:pStyle w:val="Heading4"/>
      </w:pPr>
      <w:r w:rsidRPr="00F56E04">
        <w:t xml:space="preserve">[1] </w:t>
      </w:r>
      <w:r w:rsidRPr="00A35362">
        <w:rPr>
          <w:u w:val="single"/>
        </w:rPr>
        <w:t>1AR theory</w:t>
      </w:r>
      <w:r w:rsidRPr="00F56E04">
        <w:t xml:space="preserve"> – </w:t>
      </w:r>
    </w:p>
    <w:p w14:paraId="7F4D54C7" w14:textId="77777777" w:rsidR="00003786" w:rsidRDefault="00003786" w:rsidP="00003786">
      <w:pPr>
        <w:pStyle w:val="Heading4"/>
      </w:pPr>
      <w:r w:rsidRPr="00F56E04">
        <w:t>a) AFF gets it because otherwise the neg can engage in infinite abuse, which</w:t>
      </w:r>
      <w:r>
        <w:t xml:space="preserve"> outweighs </w:t>
      </w:r>
      <w:r w:rsidRPr="00F56E04">
        <w:t xml:space="preserve">on severity because we literally can’t engage, </w:t>
      </w:r>
    </w:p>
    <w:p w14:paraId="54BA4317" w14:textId="77777777" w:rsidR="00003786" w:rsidRDefault="00003786" w:rsidP="00003786">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08AC994F" w14:textId="77777777" w:rsidR="00003786" w:rsidRPr="00454B61" w:rsidRDefault="00003786" w:rsidP="00003786">
      <w:pPr>
        <w:pStyle w:val="Heading4"/>
      </w:pPr>
      <w:r w:rsidRPr="00F56E04">
        <w:t xml:space="preserve">c) </w:t>
      </w:r>
      <w:r w:rsidRPr="00A35362">
        <w:rPr>
          <w:u w:val="single"/>
        </w:rPr>
        <w:t>no RVIs</w:t>
      </w:r>
      <w:r w:rsidRPr="00F56E04">
        <w:t xml:space="preserve"> – they can stick me with 6min of answers to a short arg and make the 2AR impossible, </w:t>
      </w:r>
      <w:r w:rsidRPr="00454B61">
        <w:t xml:space="preserve">eval the theory after 1ar the 6-minute 2nr can just sandbag on theory win their abusive norm. </w:t>
      </w:r>
    </w:p>
    <w:p w14:paraId="608217E8" w14:textId="77777777" w:rsidR="00003786" w:rsidRDefault="00003786" w:rsidP="00003786">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79DBFF90" w14:textId="77777777" w:rsidR="00003786" w:rsidRDefault="00003786" w:rsidP="00003786">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764942A4" w14:textId="77777777" w:rsidR="00003786" w:rsidRDefault="00003786" w:rsidP="00003786"/>
    <w:p w14:paraId="75CA994D" w14:textId="77777777" w:rsidR="00642138" w:rsidRDefault="00642138" w:rsidP="00642138">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78680399" w14:textId="77777777" w:rsidR="00642138" w:rsidRPr="00381417" w:rsidRDefault="00642138" w:rsidP="00642138"/>
    <w:p w14:paraId="495F02B0" w14:textId="77777777" w:rsidR="00642138" w:rsidRPr="00381417" w:rsidRDefault="00642138" w:rsidP="00642138">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6396BF28" w14:textId="77777777" w:rsidR="00003786" w:rsidRPr="002A4213" w:rsidRDefault="00003786" w:rsidP="00003786"/>
    <w:p w14:paraId="6E648A87" w14:textId="77777777" w:rsidR="006F54EA" w:rsidRPr="006F54EA" w:rsidRDefault="006F54EA" w:rsidP="006F54EA"/>
    <w:sectPr w:rsidR="006F54EA" w:rsidRPr="006F5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1A"/>
    <w:rsid w:val="00003786"/>
    <w:rsid w:val="001F371A"/>
    <w:rsid w:val="002C3E46"/>
    <w:rsid w:val="005B43C1"/>
    <w:rsid w:val="00642138"/>
    <w:rsid w:val="006D1C4E"/>
    <w:rsid w:val="006F54EA"/>
    <w:rsid w:val="00EC0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B1F0"/>
  <w15:chartTrackingRefBased/>
  <w15:docId w15:val="{56985C46-9702-4C31-97F1-F584ED88B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02B9"/>
    <w:rPr>
      <w:rFonts w:ascii="Calibri" w:eastAsiaTheme="minorHAnsi" w:hAnsi="Calibri"/>
      <w:lang w:eastAsia="en-US"/>
    </w:rPr>
  </w:style>
  <w:style w:type="paragraph" w:styleId="Heading1">
    <w:name w:val="heading 1"/>
    <w:aliases w:val="Pocket"/>
    <w:basedOn w:val="Normal"/>
    <w:next w:val="Normal"/>
    <w:link w:val="Heading1Char"/>
    <w:qFormat/>
    <w:rsid w:val="00EC02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EC02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C02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EC02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02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2B9"/>
  </w:style>
  <w:style w:type="character" w:customStyle="1" w:styleId="Heading1Char">
    <w:name w:val="Heading 1 Char"/>
    <w:aliases w:val="Pocket Char"/>
    <w:basedOn w:val="DefaultParagraphFont"/>
    <w:link w:val="Heading1"/>
    <w:rsid w:val="00EC02B9"/>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C02B9"/>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C02B9"/>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 Char"/>
    <w:basedOn w:val="DefaultParagraphFont"/>
    <w:link w:val="Heading4"/>
    <w:uiPriority w:val="3"/>
    <w:rsid w:val="00EC02B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EC02B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C02B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C02B9"/>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1,Card Format Char,ClearFormatting Cha"/>
    <w:basedOn w:val="DefaultParagraphFont"/>
    <w:link w:val="NoSpacing"/>
    <w:uiPriority w:val="99"/>
    <w:unhideWhenUsed/>
    <w:rsid w:val="00EC02B9"/>
    <w:rPr>
      <w:color w:val="auto"/>
      <w:u w:val="none"/>
    </w:rPr>
  </w:style>
  <w:style w:type="character" w:styleId="FollowedHyperlink">
    <w:name w:val="FollowedHyperlink"/>
    <w:basedOn w:val="DefaultParagraphFont"/>
    <w:uiPriority w:val="99"/>
    <w:semiHidden/>
    <w:unhideWhenUsed/>
    <w:rsid w:val="00EC02B9"/>
    <w:rPr>
      <w:color w:val="auto"/>
      <w:u w:val="none"/>
    </w:rPr>
  </w:style>
  <w:style w:type="paragraph" w:customStyle="1" w:styleId="textbold">
    <w:name w:val="text bold"/>
    <w:basedOn w:val="Normal"/>
    <w:link w:val="Emphasis"/>
    <w:uiPriority w:val="7"/>
    <w:qFormat/>
    <w:rsid w:val="00003786"/>
    <w:pPr>
      <w:ind w:left="720"/>
      <w:jc w:val="both"/>
    </w:pPr>
    <w:rPr>
      <w:rFonts w:eastAsiaTheme="minorEastAsia"/>
      <w:b/>
      <w:iCs/>
      <w:u w:val="single"/>
      <w:lang w:eastAsia="zh-CN"/>
    </w:rPr>
  </w:style>
  <w:style w:type="paragraph" w:customStyle="1" w:styleId="paragraph">
    <w:name w:val="paragraph"/>
    <w:basedOn w:val="Normal"/>
    <w:rsid w:val="00003786"/>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00378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13</Pages>
  <Words>10089</Words>
  <Characters>57513</Characters>
  <Application>Microsoft Office Word</Application>
  <DocSecurity>0</DocSecurity>
  <Lines>479</Lines>
  <Paragraphs>134</Paragraphs>
  <ScaleCrop>false</ScaleCrop>
  <Company/>
  <LinksUpToDate>false</LinksUpToDate>
  <CharactersWithSpaces>67468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7</cp:revision>
  <dcterms:created xsi:type="dcterms:W3CDTF">2022-03-18T17:26:00Z</dcterms:created>
  <dcterms:modified xsi:type="dcterms:W3CDTF">2022-03-18T18:33:00Z</dcterms:modified>
</cp:coreProperties>
</file>