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F7B98" w14:textId="65955467" w:rsidR="006C221B" w:rsidRDefault="006C221B" w:rsidP="006C221B">
      <w:pPr>
        <w:pStyle w:val="Heading2"/>
      </w:pPr>
      <w:r>
        <w:t>1</w:t>
      </w:r>
    </w:p>
    <w:p w14:paraId="5B57D2E8" w14:textId="5B35969A" w:rsidR="00120375" w:rsidRDefault="00120375">
      <w:r>
        <w:t xml:space="preserve">Interpretation: Debaters must follow their own disclosure </w:t>
      </w:r>
      <w:proofErr w:type="spellStart"/>
      <w:r>
        <w:t>interps</w:t>
      </w:r>
      <w:proofErr w:type="spellEnd"/>
    </w:p>
    <w:p w14:paraId="4F4B354F" w14:textId="58218196" w:rsidR="008C7621" w:rsidRDefault="00120375">
      <w:r>
        <w:t xml:space="preserve">Violation: See the screenshot </w:t>
      </w:r>
    </w:p>
    <w:p w14:paraId="18753D19" w14:textId="5FD0778D" w:rsidR="00120375" w:rsidRDefault="00120375">
      <w:r>
        <w:rPr>
          <w:noProof/>
        </w:rPr>
        <w:drawing>
          <wp:inline distT="0" distB="0" distL="0" distR="0" wp14:anchorId="3A7DCBAA" wp14:editId="7B53FAFB">
            <wp:extent cx="5202537" cy="34684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11540" cy="3474415"/>
                    </a:xfrm>
                    <a:prstGeom prst="rect">
                      <a:avLst/>
                    </a:prstGeom>
                  </pic:spPr>
                </pic:pic>
              </a:graphicData>
            </a:graphic>
          </wp:inline>
        </w:drawing>
      </w:r>
    </w:p>
    <w:p w14:paraId="7A3993A3" w14:textId="67E56B2D" w:rsidR="00120375" w:rsidRDefault="00120375">
      <w:r>
        <w:t>Standards:</w:t>
      </w:r>
    </w:p>
    <w:p w14:paraId="674D7F21" w14:textId="05A1CED9" w:rsidR="00120375" w:rsidRDefault="00120375">
      <w:r>
        <w:t xml:space="preserve">Academic Integrity – This is an academic context, by forcing us to adhere to a rule they willingly break they are committing and academically dishonest act. By allowing them to break these rules is the same as basically saying its ok they </w:t>
      </w:r>
      <w:proofErr w:type="spellStart"/>
      <w:r>
        <w:t>plagarize</w:t>
      </w:r>
      <w:proofErr w:type="spellEnd"/>
      <w:r>
        <w:t xml:space="preserve">, etc. There is also no way for us to debate them if </w:t>
      </w:r>
      <w:proofErr w:type="spellStart"/>
      <w:r>
        <w:t>interps</w:t>
      </w:r>
      <w:proofErr w:type="spellEnd"/>
      <w:r>
        <w:t xml:space="preserve"> are not bidirectional, b/c they can read something like “</w:t>
      </w:r>
      <w:proofErr w:type="spellStart"/>
      <w:proofErr w:type="gramStart"/>
      <w:r>
        <w:t>cant</w:t>
      </w:r>
      <w:proofErr w:type="spellEnd"/>
      <w:proofErr w:type="gramEnd"/>
      <w:r>
        <w:t xml:space="preserve"> speak”.</w:t>
      </w:r>
    </w:p>
    <w:p w14:paraId="3A7C562E" w14:textId="088CD94E" w:rsidR="00120375" w:rsidRDefault="00120375">
      <w:r>
        <w:t xml:space="preserve">Norming – If they are allowed to violate their own </w:t>
      </w:r>
      <w:proofErr w:type="spellStart"/>
      <w:r>
        <w:t>interp</w:t>
      </w:r>
      <w:proofErr w:type="spellEnd"/>
      <w:r>
        <w:t xml:space="preserve">, especially when it comes to disclosure, it means that theory has no norming power, so there is zero point to actually reading theory in debate. This is terrible because it means that people will do is just read as abusive as possible </w:t>
      </w:r>
      <w:proofErr w:type="spellStart"/>
      <w:r>
        <w:t>strats</w:t>
      </w:r>
      <w:proofErr w:type="spellEnd"/>
      <w:r>
        <w:t xml:space="preserve"> possible and win on face. </w:t>
      </w:r>
      <w:proofErr w:type="gramStart"/>
      <w:r>
        <w:t>Also</w:t>
      </w:r>
      <w:proofErr w:type="gramEnd"/>
      <w:r>
        <w:t xml:space="preserve"> an inclusion voter b/c it means that we cannot actually call out poor accessibility/inclusion practices in round.</w:t>
      </w:r>
    </w:p>
    <w:p w14:paraId="0D8BA470" w14:textId="2B8906E4" w:rsidR="00120375" w:rsidRDefault="00120375">
      <w:r>
        <w:t xml:space="preserve">Text over spirit – Theory is a matter of norming, the context of the round is irrelevant, meaning the only thing that matters is the text of the round b/c spirit breaks down without the context of the round. </w:t>
      </w:r>
    </w:p>
    <w:p w14:paraId="42DA2B2D" w14:textId="26C12859" w:rsidR="00120375" w:rsidRDefault="006C221B" w:rsidP="006C221B">
      <w:pPr>
        <w:pStyle w:val="Heading2"/>
      </w:pPr>
      <w:r>
        <w:t>2</w:t>
      </w:r>
    </w:p>
    <w:p w14:paraId="761EE909" w14:textId="0B612952" w:rsidR="006C221B" w:rsidRDefault="006C221B">
      <w:r>
        <w:t xml:space="preserve">Interpretation: The </w:t>
      </w:r>
      <w:proofErr w:type="spellStart"/>
      <w:r>
        <w:t>aff</w:t>
      </w:r>
      <w:proofErr w:type="spellEnd"/>
      <w:r>
        <w:t xml:space="preserve"> must defend banning of IPR for medicines</w:t>
      </w:r>
    </w:p>
    <w:p w14:paraId="297AE14B" w14:textId="1CA07EEC" w:rsidR="006C221B" w:rsidRDefault="006C221B">
      <w:r>
        <w:t xml:space="preserve">Violation: They defended </w:t>
      </w:r>
      <w:r w:rsidR="00491441">
        <w:t xml:space="preserve">IPR on </w:t>
      </w:r>
      <w:r>
        <w:t>GMO plants</w:t>
      </w:r>
    </w:p>
    <w:p w14:paraId="1C939201" w14:textId="74CFDE85" w:rsidR="006C221B" w:rsidRDefault="006C221B">
      <w:pPr>
        <w:rPr>
          <w:rFonts w:ascii="Roboto" w:hAnsi="Roboto"/>
          <w:color w:val="202124"/>
          <w:sz w:val="21"/>
          <w:szCs w:val="21"/>
          <w:shd w:val="clear" w:color="auto" w:fill="FFFFFF"/>
        </w:rPr>
      </w:pPr>
      <w:r>
        <w:rPr>
          <w:rFonts w:ascii="Roboto" w:hAnsi="Roboto"/>
          <w:color w:val="202124"/>
          <w:sz w:val="21"/>
          <w:szCs w:val="21"/>
          <w:shd w:val="clear" w:color="auto" w:fill="FFFFFF"/>
        </w:rPr>
        <w:t>OED defines medicine as “</w:t>
      </w:r>
      <w:r>
        <w:rPr>
          <w:rFonts w:ascii="Roboto" w:hAnsi="Roboto"/>
          <w:color w:val="202124"/>
          <w:sz w:val="21"/>
          <w:szCs w:val="21"/>
          <w:shd w:val="clear" w:color="auto" w:fill="FFFFFF"/>
        </w:rPr>
        <w:t>a compound or preparation used for the treatment or prevention of disease, especially a drug or drugs taken by mouth.</w:t>
      </w:r>
      <w:r>
        <w:rPr>
          <w:rFonts w:ascii="Roboto" w:hAnsi="Roboto"/>
          <w:color w:val="202124"/>
          <w:sz w:val="21"/>
          <w:szCs w:val="21"/>
          <w:shd w:val="clear" w:color="auto" w:fill="FFFFFF"/>
        </w:rPr>
        <w:t>”</w:t>
      </w:r>
    </w:p>
    <w:p w14:paraId="65988921" w14:textId="25B7A088" w:rsidR="006C221B" w:rsidRDefault="006C221B">
      <w:pPr>
        <w:rPr>
          <w:rFonts w:ascii="Roboto" w:hAnsi="Roboto"/>
          <w:color w:val="202124"/>
          <w:sz w:val="21"/>
          <w:szCs w:val="21"/>
          <w:shd w:val="clear" w:color="auto" w:fill="FFFFFF"/>
        </w:rPr>
      </w:pPr>
      <w:r>
        <w:rPr>
          <w:rFonts w:ascii="Roboto" w:hAnsi="Roboto"/>
          <w:color w:val="202124"/>
          <w:sz w:val="21"/>
          <w:szCs w:val="21"/>
          <w:shd w:val="clear" w:color="auto" w:fill="FFFFFF"/>
        </w:rPr>
        <w:t>Standards:</w:t>
      </w:r>
    </w:p>
    <w:p w14:paraId="109641B3" w14:textId="1488D27D" w:rsidR="006C221B" w:rsidRDefault="006C221B">
      <w:pPr>
        <w:rPr>
          <w:rFonts w:ascii="Roboto" w:hAnsi="Roboto"/>
          <w:color w:val="202124"/>
          <w:sz w:val="21"/>
          <w:szCs w:val="21"/>
          <w:shd w:val="clear" w:color="auto" w:fill="FFFFFF"/>
        </w:rPr>
      </w:pPr>
      <w:r>
        <w:rPr>
          <w:rFonts w:ascii="Roboto" w:hAnsi="Roboto"/>
          <w:color w:val="202124"/>
          <w:sz w:val="21"/>
          <w:szCs w:val="21"/>
          <w:shd w:val="clear" w:color="auto" w:fill="FFFFFF"/>
        </w:rPr>
        <w:t xml:space="preserve">Limits: It is literally impossible for me to prep on this topic if every single thing that goes inside our mouths can be defined as a medicine. Infinite number of </w:t>
      </w:r>
      <w:proofErr w:type="spellStart"/>
      <w:r>
        <w:rPr>
          <w:rFonts w:ascii="Roboto" w:hAnsi="Roboto"/>
          <w:color w:val="202124"/>
          <w:sz w:val="21"/>
          <w:szCs w:val="21"/>
          <w:shd w:val="clear" w:color="auto" w:fill="FFFFFF"/>
        </w:rPr>
        <w:t>affs</w:t>
      </w:r>
      <w:proofErr w:type="spellEnd"/>
      <w:r>
        <w:rPr>
          <w:rFonts w:ascii="Roboto" w:hAnsi="Roboto"/>
          <w:color w:val="202124"/>
          <w:sz w:val="21"/>
          <w:szCs w:val="21"/>
          <w:shd w:val="clear" w:color="auto" w:fill="FFFFFF"/>
        </w:rPr>
        <w:t xml:space="preserve"> means I just loose on face every time. </w:t>
      </w:r>
    </w:p>
    <w:p w14:paraId="1E7339D8" w14:textId="77777777" w:rsidR="006C221B" w:rsidRDefault="006C221B" w:rsidP="006C221B">
      <w:pPr>
        <w:pStyle w:val="Heading4"/>
      </w:pPr>
      <w:r>
        <w:t xml:space="preserve">Fairness is a voter because debate is a competition, and fairness controls the internal link to education because if everyone just runs hyper abusive </w:t>
      </w:r>
      <w:proofErr w:type="spellStart"/>
      <w:r>
        <w:t>strats</w:t>
      </w:r>
      <w:proofErr w:type="spellEnd"/>
      <w:r>
        <w:t xml:space="preserve"> and wins every time there will be no substantive engagement. </w:t>
      </w:r>
    </w:p>
    <w:p w14:paraId="457EE31E" w14:textId="77777777" w:rsidR="006C221B" w:rsidRDefault="006C221B" w:rsidP="006C221B">
      <w:pPr>
        <w:pStyle w:val="Heading4"/>
      </w:pPr>
      <w:r>
        <w:t>Accessibility is a voter because being able to access the round is a perquisite to getting any sort of education or benefit out of it or it even being fair in the first place</w:t>
      </w:r>
    </w:p>
    <w:p w14:paraId="2FDBD2F6" w14:textId="77777777" w:rsidR="006C221B" w:rsidRDefault="006C221B" w:rsidP="006C221B">
      <w:pPr>
        <w:pStyle w:val="Heading4"/>
      </w:pPr>
      <w:r>
        <w:t xml:space="preserve">Academic Integrity is a voter because in order to have a debate mutual trust is required, and having good evidence ethics is a perquisite to that. Academic Integrity controls the internal link to education, as we cannot learn from the activity if there are fake pieces of evidence inundating it. </w:t>
      </w:r>
    </w:p>
    <w:p w14:paraId="1F38F1C6" w14:textId="77777777" w:rsidR="006C221B" w:rsidRDefault="006C221B" w:rsidP="006C221B">
      <w:pPr>
        <w:pStyle w:val="Heading4"/>
      </w:pPr>
      <w:r>
        <w:t>Education is a voter as that is the whole point of debate, and schools would stop financing debate if there was no education.</w:t>
      </w:r>
    </w:p>
    <w:p w14:paraId="669FFA91" w14:textId="77777777" w:rsidR="006C221B" w:rsidRPr="00C20F51" w:rsidRDefault="006C221B" w:rsidP="006C221B"/>
    <w:p w14:paraId="225C6B03" w14:textId="77777777" w:rsidR="006C221B" w:rsidRPr="00A360B6" w:rsidRDefault="006C221B" w:rsidP="006C221B">
      <w:pPr>
        <w:rPr>
          <w:rStyle w:val="Style13ptBold"/>
          <w:rFonts w:asciiTheme="minorHAnsi" w:hAnsiTheme="minorHAnsi" w:cstheme="minorHAnsi"/>
        </w:rPr>
      </w:pPr>
      <w:r w:rsidRPr="00A360B6">
        <w:rPr>
          <w:rStyle w:val="Style13ptBold"/>
          <w:rFonts w:asciiTheme="minorHAnsi" w:hAnsiTheme="minorHAnsi" w:cstheme="minorHAnsi"/>
        </w:rPr>
        <w:t xml:space="preserve">Prefer competing </w:t>
      </w:r>
      <w:proofErr w:type="spellStart"/>
      <w:r w:rsidRPr="00A360B6">
        <w:rPr>
          <w:rStyle w:val="Style13ptBold"/>
          <w:rFonts w:asciiTheme="minorHAnsi" w:hAnsiTheme="minorHAnsi" w:cstheme="minorHAnsi"/>
        </w:rPr>
        <w:t>interps</w:t>
      </w:r>
      <w:proofErr w:type="spellEnd"/>
      <w:r w:rsidRPr="00A360B6">
        <w:rPr>
          <w:rStyle w:val="Style13ptBold"/>
          <w:rFonts w:asciiTheme="minorHAnsi" w:hAnsiTheme="minorHAnsi" w:cstheme="minorHAnsi"/>
        </w:rPr>
        <w:t xml:space="preserve"> – a) reasonability collapses since we just have an offense-defense debate on the </w:t>
      </w:r>
      <w:proofErr w:type="spellStart"/>
      <w:r w:rsidRPr="00A360B6">
        <w:rPr>
          <w:rStyle w:val="Style13ptBold"/>
          <w:rFonts w:asciiTheme="minorHAnsi" w:hAnsiTheme="minorHAnsi" w:cstheme="minorHAnsi"/>
        </w:rPr>
        <w:t>brightline</w:t>
      </w:r>
      <w:proofErr w:type="spellEnd"/>
      <w:r w:rsidRPr="00A360B6">
        <w:rPr>
          <w:rStyle w:val="Style13ptBold"/>
          <w:rFonts w:asciiTheme="minorHAnsi" w:hAnsiTheme="minorHAnsi" w:cstheme="minorHAnsi"/>
        </w:rPr>
        <w:t xml:space="preserve"> b) it’s arbitrary and leads to a race to the bottom since </w:t>
      </w:r>
      <w:proofErr w:type="spellStart"/>
      <w:r w:rsidRPr="00A360B6">
        <w:rPr>
          <w:rStyle w:val="Style13ptBold"/>
          <w:rFonts w:asciiTheme="minorHAnsi" w:hAnsiTheme="minorHAnsi" w:cstheme="minorHAnsi"/>
        </w:rPr>
        <w:t>affs</w:t>
      </w:r>
      <w:proofErr w:type="spellEnd"/>
      <w:r w:rsidRPr="00A360B6">
        <w:rPr>
          <w:rStyle w:val="Style13ptBold"/>
          <w:rFonts w:asciiTheme="minorHAnsi" w:hAnsiTheme="minorHAnsi" w:cstheme="minorHAnsi"/>
        </w:rPr>
        <w:t xml:space="preserve"> will just be more abusive under the </w:t>
      </w:r>
      <w:proofErr w:type="spellStart"/>
      <w:r w:rsidRPr="00A360B6">
        <w:rPr>
          <w:rStyle w:val="Style13ptBold"/>
          <w:rFonts w:asciiTheme="minorHAnsi" w:hAnsiTheme="minorHAnsi" w:cstheme="minorHAnsi"/>
        </w:rPr>
        <w:t>brightline</w:t>
      </w:r>
      <w:proofErr w:type="spellEnd"/>
    </w:p>
    <w:p w14:paraId="4E821FDD" w14:textId="77777777" w:rsidR="006C221B" w:rsidRPr="00A360B6" w:rsidRDefault="006C221B" w:rsidP="006C221B">
      <w:pPr>
        <w:rPr>
          <w:rStyle w:val="Style13ptBold"/>
          <w:rFonts w:asciiTheme="minorHAnsi" w:hAnsiTheme="minorHAnsi" w:cstheme="minorHAnsi"/>
        </w:rPr>
      </w:pPr>
      <w:r w:rsidRPr="00A360B6">
        <w:rPr>
          <w:rStyle w:val="Style13ptBold"/>
          <w:rFonts w:asciiTheme="minorHAnsi" w:hAnsiTheme="minorHAnsi" w:cstheme="minorHAnsi"/>
        </w:rPr>
        <w:t xml:space="preserve">Drop the debater – a) gateway issue – I had to alter my </w:t>
      </w:r>
      <w:proofErr w:type="spellStart"/>
      <w:r w:rsidRPr="00A360B6">
        <w:rPr>
          <w:rStyle w:val="Style13ptBold"/>
          <w:rFonts w:asciiTheme="minorHAnsi" w:hAnsiTheme="minorHAnsi" w:cstheme="minorHAnsi"/>
        </w:rPr>
        <w:t>strat</w:t>
      </w:r>
      <w:proofErr w:type="spellEnd"/>
      <w:r w:rsidRPr="00A360B6">
        <w:rPr>
          <w:rStyle w:val="Style13ptBold"/>
          <w:rFonts w:asciiTheme="minorHAnsi" w:hAnsiTheme="minorHAnsi" w:cstheme="minorHAnsi"/>
        </w:rPr>
        <w:t xml:space="preserve"> to check abuse so we can’t go back to substance b) deterrence – prevents people from reading abusive </w:t>
      </w:r>
      <w:proofErr w:type="spellStart"/>
      <w:r w:rsidRPr="00A360B6">
        <w:rPr>
          <w:rStyle w:val="Style13ptBold"/>
          <w:rFonts w:asciiTheme="minorHAnsi" w:hAnsiTheme="minorHAnsi" w:cstheme="minorHAnsi"/>
        </w:rPr>
        <w:t>args</w:t>
      </w:r>
      <w:proofErr w:type="spellEnd"/>
      <w:r w:rsidRPr="00A360B6">
        <w:rPr>
          <w:rStyle w:val="Style13ptBold"/>
          <w:rFonts w:asciiTheme="minorHAnsi" w:hAnsiTheme="minorHAnsi" w:cstheme="minorHAnsi"/>
        </w:rPr>
        <w:t xml:space="preserve"> in the future </w:t>
      </w:r>
      <w:r>
        <w:rPr>
          <w:rStyle w:val="Style13ptBold"/>
          <w:rFonts w:asciiTheme="minorHAnsi" w:hAnsiTheme="minorHAnsi" w:cstheme="minorHAnsi"/>
        </w:rPr>
        <w:t xml:space="preserve">c) DTA makes no sense since this indicts their </w:t>
      </w:r>
      <w:proofErr w:type="spellStart"/>
      <w:r>
        <w:rPr>
          <w:rStyle w:val="Style13ptBold"/>
          <w:rFonts w:asciiTheme="minorHAnsi" w:hAnsiTheme="minorHAnsi" w:cstheme="minorHAnsi"/>
        </w:rPr>
        <w:t>aff</w:t>
      </w:r>
      <w:proofErr w:type="spellEnd"/>
      <w:r>
        <w:rPr>
          <w:rStyle w:val="Style13ptBold"/>
          <w:rFonts w:asciiTheme="minorHAnsi" w:hAnsiTheme="minorHAnsi" w:cstheme="minorHAnsi"/>
        </w:rPr>
        <w:t xml:space="preserve"> and behavior</w:t>
      </w:r>
    </w:p>
    <w:p w14:paraId="710D4FF4" w14:textId="77777777" w:rsidR="006C221B" w:rsidRDefault="006C221B" w:rsidP="006C221B">
      <w:pPr>
        <w:rPr>
          <w:rStyle w:val="Style13ptBold"/>
          <w:rFonts w:asciiTheme="minorHAnsi" w:hAnsiTheme="minorHAnsi" w:cstheme="minorHAnsi"/>
        </w:rPr>
      </w:pPr>
      <w:r w:rsidRPr="00A360B6">
        <w:rPr>
          <w:rStyle w:val="Style13ptBold"/>
          <w:rFonts w:asciiTheme="minorHAnsi" w:hAnsiTheme="minorHAnsi" w:cstheme="minorHAnsi"/>
        </w:rPr>
        <w:t>No RVIs – a) logic – you shouldn’t win for proving you’re fair, that’s an expectation</w:t>
      </w:r>
      <w:r>
        <w:rPr>
          <w:rStyle w:val="Style13ptBold"/>
          <w:rFonts w:asciiTheme="minorHAnsi" w:hAnsiTheme="minorHAnsi" w:cstheme="minorHAnsi"/>
        </w:rPr>
        <w:t xml:space="preserve"> – if the judge voted for who was topical it would be irresolvable because that’s expected by both sides</w:t>
      </w:r>
      <w:r w:rsidRPr="00A360B6">
        <w:rPr>
          <w:rStyle w:val="Style13ptBold"/>
          <w:rFonts w:asciiTheme="minorHAnsi" w:hAnsiTheme="minorHAnsi" w:cstheme="minorHAnsi"/>
        </w:rPr>
        <w:t xml:space="preserve"> b) you knew your </w:t>
      </w:r>
      <w:proofErr w:type="spellStart"/>
      <w:r w:rsidRPr="00A360B6">
        <w:rPr>
          <w:rStyle w:val="Style13ptBold"/>
          <w:rFonts w:asciiTheme="minorHAnsi" w:hAnsiTheme="minorHAnsi" w:cstheme="minorHAnsi"/>
        </w:rPr>
        <w:t>aff</w:t>
      </w:r>
      <w:proofErr w:type="spellEnd"/>
      <w:r w:rsidRPr="00A360B6">
        <w:rPr>
          <w:rStyle w:val="Style13ptBold"/>
          <w:rFonts w:asciiTheme="minorHAnsi" w:hAnsiTheme="minorHAnsi" w:cstheme="minorHAnsi"/>
        </w:rPr>
        <w:t xml:space="preserve"> and its abuse prior to the round so you have an arbitrary advantag</w:t>
      </w:r>
      <w:r>
        <w:rPr>
          <w:rStyle w:val="Style13ptBold"/>
          <w:rFonts w:asciiTheme="minorHAnsi" w:hAnsiTheme="minorHAnsi" w:cstheme="minorHAnsi"/>
        </w:rPr>
        <w:t xml:space="preserve">e on the counter </w:t>
      </w:r>
      <w:proofErr w:type="spellStart"/>
      <w:r>
        <w:rPr>
          <w:rStyle w:val="Style13ptBold"/>
          <w:rFonts w:asciiTheme="minorHAnsi" w:hAnsiTheme="minorHAnsi" w:cstheme="minorHAnsi"/>
        </w:rPr>
        <w:t>interp</w:t>
      </w:r>
      <w:proofErr w:type="spellEnd"/>
      <w:r>
        <w:rPr>
          <w:rStyle w:val="Style13ptBold"/>
          <w:rFonts w:asciiTheme="minorHAnsi" w:hAnsiTheme="minorHAnsi" w:cstheme="minorHAnsi"/>
        </w:rPr>
        <w:t xml:space="preserve"> debate c) Chilling effect – incentivizes T/theory baiting to win on an RVI – o/w because it controls the greatest terminal impact</w:t>
      </w:r>
    </w:p>
    <w:p w14:paraId="5FFFD103" w14:textId="5431ED3D" w:rsidR="006C221B" w:rsidRDefault="00491441" w:rsidP="00491441">
      <w:pPr>
        <w:pStyle w:val="Heading2"/>
      </w:pPr>
      <w:r>
        <w:t>3</w:t>
      </w:r>
    </w:p>
    <w:p w14:paraId="0F8F14D8" w14:textId="77777777" w:rsidR="00491441" w:rsidRPr="00640C59" w:rsidRDefault="00491441" w:rsidP="00491441">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7F1F5784" w14:textId="77777777" w:rsidR="00491441" w:rsidRPr="00552A44" w:rsidRDefault="00491441" w:rsidP="00491441">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Barrons, 11 June 2021, </w:t>
      </w:r>
      <w:hyperlink r:id="rId6"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706D53DE" w14:textId="77777777" w:rsidR="00491441" w:rsidRPr="006E27BE" w:rsidRDefault="00491441" w:rsidP="00491441">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7"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8"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9"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0"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2D3761A9" w14:textId="77777777" w:rsidR="00491441" w:rsidRPr="00640C59" w:rsidRDefault="00491441" w:rsidP="00491441">
      <w:pPr>
        <w:pStyle w:val="Heading4"/>
      </w:pPr>
      <w:r w:rsidRPr="00640C59">
        <w:t>The plan chills American biomed innovation</w:t>
      </w:r>
      <w:r>
        <w:t xml:space="preserve">, </w:t>
      </w:r>
      <w:r w:rsidRPr="00640C59">
        <w:t>ced</w:t>
      </w:r>
      <w:r>
        <w:t>ing</w:t>
      </w:r>
      <w:r w:rsidRPr="00640C59">
        <w:t xml:space="preserve"> control to China</w:t>
      </w:r>
      <w:r>
        <w:t xml:space="preserve"> – also can’t solve future diseases</w:t>
      </w:r>
    </w:p>
    <w:p w14:paraId="40AA6D88" w14:textId="77777777" w:rsidR="00491441" w:rsidRPr="00640C59" w:rsidRDefault="00491441" w:rsidP="00491441">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1" w:history="1">
        <w:r w:rsidRPr="00552A44">
          <w:rPr>
            <w:rStyle w:val="Hyperlink"/>
          </w:rPr>
          <w:t>https://www.bakersfield.com/opinion/erik-paulsen-we-can-save-the-world-with-our-vaccines-without-surrendering-our-ip-to/article_b0b87692-df61-11eb-9a13-d7fa02eefaee.html]//Lex</w:t>
        </w:r>
      </w:hyperlink>
      <w:r w:rsidRPr="00552A44">
        <w:t xml:space="preserve"> </w:t>
      </w:r>
      <w:proofErr w:type="spellStart"/>
      <w:r w:rsidRPr="00552A44">
        <w:t>AKu</w:t>
      </w:r>
      <w:proofErr w:type="spellEnd"/>
    </w:p>
    <w:p w14:paraId="6538CBC7" w14:textId="77777777" w:rsidR="00491441" w:rsidRPr="006E27BE" w:rsidRDefault="00491441" w:rsidP="00491441">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Moderna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4EEE752C" w14:textId="77777777" w:rsidR="00491441" w:rsidRPr="00640C59" w:rsidRDefault="00491441" w:rsidP="00491441">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2D11F7B2" w14:textId="77777777" w:rsidR="00491441" w:rsidRPr="00552A44" w:rsidRDefault="00491441" w:rsidP="00491441">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255831EC" w14:textId="77777777" w:rsidR="00491441" w:rsidRPr="006E27BE" w:rsidRDefault="00491441" w:rsidP="00491441">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2"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3"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4"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5"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6"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17"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18"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Four years later, his successor, John Ratcliffe, issued a far more </w:t>
      </w:r>
      <w:hyperlink r:id="rId19"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Beijing has long envied the United States’s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0"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1"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2"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3"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4"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5"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6"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27"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hyperlink r:id="rId28"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29"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437FDE6F" w14:textId="77777777" w:rsidR="00491441" w:rsidRPr="00640C59" w:rsidRDefault="00491441" w:rsidP="00491441">
      <w:pPr>
        <w:rPr>
          <w:rFonts w:asciiTheme="majorHAnsi" w:hAnsiTheme="majorHAnsi" w:cstheme="majorHAnsi"/>
        </w:rPr>
      </w:pPr>
    </w:p>
    <w:p w14:paraId="1B852EE7" w14:textId="77777777" w:rsidR="00491441" w:rsidRPr="00640C59" w:rsidRDefault="00491441" w:rsidP="00491441">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F6520F1" w14:textId="77777777" w:rsidR="00491441" w:rsidRPr="00640C59" w:rsidRDefault="00491441" w:rsidP="00491441">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5ADB343" w14:textId="77777777" w:rsidR="00491441" w:rsidRPr="00640C59" w:rsidRDefault="00491441" w:rsidP="00491441">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33C2F8E4" w14:textId="7A7E57AA" w:rsidR="00491441" w:rsidRDefault="00DE2E7C" w:rsidP="00491441">
      <w:pPr>
        <w:pStyle w:val="Heading2"/>
      </w:pPr>
      <w:r>
        <w:t>4</w:t>
      </w:r>
    </w:p>
    <w:p w14:paraId="59D31DB7" w14:textId="77777777" w:rsidR="00491441" w:rsidRDefault="00491441" w:rsidP="00491441">
      <w:pPr>
        <w:pStyle w:val="Heading4"/>
      </w:pPr>
      <w:r>
        <w:t xml:space="preserve">CP Text: The member nations of the World Trade Organization </w:t>
      </w:r>
      <w:r w:rsidRPr="00B53B0E">
        <w:t xml:space="preserve">should </w:t>
      </w:r>
      <w:r>
        <w:t>form</w:t>
      </w:r>
      <w:r w:rsidRPr="00B53B0E">
        <w:t xml:space="preserve"> an intellectual property system </w:t>
      </w:r>
      <w:r>
        <w:t>that uses tax credits and grants for medicines.</w:t>
      </w:r>
    </w:p>
    <w:p w14:paraId="1327DBFC" w14:textId="77777777" w:rsidR="00491441" w:rsidRDefault="00491441" w:rsidP="00491441"/>
    <w:p w14:paraId="7B2F189A" w14:textId="77777777" w:rsidR="00491441" w:rsidRPr="00D62593" w:rsidRDefault="00491441" w:rsidP="00491441">
      <w:pPr>
        <w:pStyle w:val="Heading4"/>
      </w:pPr>
      <w:r>
        <w:t>Solves high prices and innovation.</w:t>
      </w:r>
    </w:p>
    <w:p w14:paraId="58CFC5C7" w14:textId="77777777" w:rsidR="00491441" w:rsidRPr="00B72A31" w:rsidRDefault="00491441" w:rsidP="00491441">
      <w:r w:rsidRPr="00B72A31">
        <w:rPr>
          <w:rStyle w:val="Style13ptBold"/>
        </w:rPr>
        <w:t>Abramowicz 19</w:t>
      </w:r>
      <w:r>
        <w:t xml:space="preserve"> </w:t>
      </w:r>
      <w:r w:rsidRPr="005B04BF">
        <w:rPr>
          <w:sz w:val="16"/>
          <w:szCs w:val="16"/>
        </w:rPr>
        <w:t xml:space="preserve">[Abramowicz, Michael B., Prize and Reward Alternatives to Intellectual Property (2019). Prize and Reward Alternatives to Intellectual Property, in Research Handbook on the Economics of Intellectual Property Law (P.S. </w:t>
      </w:r>
      <w:proofErr w:type="spellStart"/>
      <w:r w:rsidRPr="005B04BF">
        <w:rPr>
          <w:sz w:val="16"/>
          <w:szCs w:val="16"/>
        </w:rPr>
        <w:t>Menell</w:t>
      </w:r>
      <w:proofErr w:type="spellEnd"/>
      <w:r w:rsidRPr="005B04BF">
        <w:rPr>
          <w:sz w:val="16"/>
          <w:szCs w:val="16"/>
        </w:rPr>
        <w:t xml:space="preserve"> &amp; B. Depoorter eds., forthcoming 2019)</w:t>
      </w:r>
      <w:proofErr w:type="gramStart"/>
      <w:r w:rsidRPr="005B04BF">
        <w:rPr>
          <w:sz w:val="16"/>
          <w:szCs w:val="16"/>
        </w:rPr>
        <w:t>. ;</w:t>
      </w:r>
      <w:proofErr w:type="gramEnd"/>
      <w:r w:rsidRPr="005B04BF">
        <w:rPr>
          <w:sz w:val="16"/>
          <w:szCs w:val="16"/>
        </w:rPr>
        <w:t xml:space="preserve"> GWU Law School Public Law Research Paper No. 2019-13; GWU Legal Studies Research Paper No. 2019-13. Available at SSRN: https://ssrn.com/ abstract=3366608] //Lex VM and Lex AKo</w:t>
      </w:r>
    </w:p>
    <w:p w14:paraId="35E34A9F" w14:textId="77777777" w:rsidR="00491441" w:rsidRDefault="00491441" w:rsidP="00491441">
      <w:pPr>
        <w:rPr>
          <w:sz w:val="14"/>
        </w:rPr>
      </w:pPr>
      <w:r w:rsidRPr="00CB4F5D">
        <w:rPr>
          <w:sz w:val="14"/>
        </w:rPr>
        <w:t xml:space="preserve">1. Grants Most of this chapter has compared traditional intellectual property systems to a range of possible prize or reward systems. But these are, of course, not the only means by which the government can encourage innovation. An approach closely related to that of rewards is grants. </w:t>
      </w:r>
      <w:r w:rsidRPr="00C9302B">
        <w:rPr>
          <w:rStyle w:val="StyleUnderline"/>
          <w:highlight w:val="green"/>
        </w:rPr>
        <w:t>Grant decisions</w:t>
      </w:r>
      <w:r w:rsidRPr="0046199F">
        <w:rPr>
          <w:rStyle w:val="StyleUnderline"/>
        </w:rPr>
        <w:t xml:space="preserve"> are </w:t>
      </w:r>
      <w:r w:rsidRPr="00C9302B">
        <w:rPr>
          <w:rStyle w:val="StyleUnderline"/>
          <w:highlight w:val="green"/>
        </w:rPr>
        <w:t>made by centralized agencies</w:t>
      </w:r>
      <w:r w:rsidRPr="0046199F">
        <w:rPr>
          <w:rStyle w:val="StyleUnderline"/>
        </w:rPr>
        <w:t xml:space="preserve"> ex ante based on research proposals.</w:t>
      </w:r>
      <w:r w:rsidRPr="00CB4F5D">
        <w:rPr>
          <w:sz w:val="14"/>
        </w:rPr>
        <w:t xml:space="preserve"> Adler (2011) argues that prize or reward systems may be preferable, because the centralized grant decisions limit “the range of promising ventures that may receive funding.” Hanson (1998) argues that grants have become more important than prizes because </w:t>
      </w:r>
      <w:r w:rsidRPr="0046199F">
        <w:rPr>
          <w:rStyle w:val="StyleUnderline"/>
        </w:rPr>
        <w:t xml:space="preserve">they tend to </w:t>
      </w:r>
      <w:r w:rsidRPr="00C9302B">
        <w:rPr>
          <w:rStyle w:val="StyleUnderline"/>
          <w:highlight w:val="green"/>
        </w:rPr>
        <w:t>concentrate power in</w:t>
      </w:r>
      <w:r w:rsidRPr="0046199F">
        <w:rPr>
          <w:rStyle w:val="StyleUnderline"/>
        </w:rPr>
        <w:t xml:space="preserve"> the hands of </w:t>
      </w:r>
      <w:r w:rsidRPr="00C9302B">
        <w:rPr>
          <w:rStyle w:val="StyleUnderline"/>
          <w:highlight w:val="green"/>
        </w:rPr>
        <w:t xml:space="preserve">scientific rather than </w:t>
      </w:r>
      <w:r w:rsidRPr="00CF2456">
        <w:rPr>
          <w:rStyle w:val="StyleUnderline"/>
          <w:highlight w:val="green"/>
        </w:rPr>
        <w:t>political leaders</w:t>
      </w:r>
      <w:r w:rsidRPr="0046199F">
        <w:rPr>
          <w:rStyle w:val="StyleUnderline"/>
        </w:rPr>
        <w:t>.</w:t>
      </w:r>
      <w:r w:rsidRPr="00CB4F5D">
        <w:rPr>
          <w:sz w:val="14"/>
        </w:rPr>
        <w:t xml:space="preserve"> While legislatures would like to maintain such power in their own hands, the power to administer </w:t>
      </w:r>
      <w:r w:rsidRPr="00C9302B">
        <w:rPr>
          <w:rStyle w:val="StyleUnderline"/>
        </w:rPr>
        <w:t>prizes is</w:t>
      </w:r>
      <w:r w:rsidRPr="0046199F">
        <w:rPr>
          <w:rStyle w:val="StyleUnderline"/>
        </w:rPr>
        <w:t xml:space="preserve"> more likely executive than legislative, and legislatures prefer to grant power to scientific leaders than to the executive. The general normative case for grants, particularly for basic research, is that “</w:t>
      </w:r>
      <w:r w:rsidRPr="0056692A">
        <w:rPr>
          <w:rStyle w:val="StyleUnderline"/>
        </w:rPr>
        <w:t xml:space="preserve">a large share of the most valuable uses of </w:t>
      </w:r>
      <w:r w:rsidRPr="000C0E3D">
        <w:rPr>
          <w:rStyle w:val="StyleUnderline"/>
          <w:highlight w:val="green"/>
        </w:rPr>
        <w:t>basic research will take</w:t>
      </w:r>
      <w:r w:rsidRPr="0056692A">
        <w:rPr>
          <w:rStyle w:val="StyleUnderline"/>
        </w:rPr>
        <w:t xml:space="preserve"> highly abstract, </w:t>
      </w:r>
      <w:r w:rsidRPr="000C0E3D">
        <w:rPr>
          <w:rStyle w:val="StyleUnderline"/>
          <w:highlight w:val="green"/>
        </w:rPr>
        <w:t xml:space="preserve">intangible forms, </w:t>
      </w:r>
      <w:r w:rsidRPr="0056692A">
        <w:rPr>
          <w:rStyle w:val="StyleUnderline"/>
          <w:highlight w:val="green"/>
        </w:rPr>
        <w:t>rendering the</w:t>
      </w:r>
      <w:r w:rsidRPr="0046199F">
        <w:rPr>
          <w:rStyle w:val="StyleUnderline"/>
        </w:rPr>
        <w:t xml:space="preserve"> output of such </w:t>
      </w:r>
      <w:r w:rsidRPr="0056692A">
        <w:rPr>
          <w:rStyle w:val="StyleUnderline"/>
          <w:highlight w:val="green"/>
        </w:rPr>
        <w:t>research</w:t>
      </w:r>
      <w:r w:rsidRPr="0046199F">
        <w:rPr>
          <w:rStyle w:val="StyleUnderline"/>
        </w:rPr>
        <w:t xml:space="preserve"> highly </w:t>
      </w:r>
      <w:r w:rsidRPr="0056692A">
        <w:rPr>
          <w:rStyle w:val="StyleUnderline"/>
          <w:highlight w:val="green"/>
        </w:rPr>
        <w:t>nonexcludable</w:t>
      </w:r>
      <w:r w:rsidRPr="0046199F">
        <w:rPr>
          <w:rStyle w:val="StyleUnderline"/>
        </w:rPr>
        <w:t>.”</w:t>
      </w:r>
      <w:r w:rsidRPr="00CB4F5D">
        <w:rPr>
          <w:sz w:val="14"/>
        </w:rPr>
        <w:t xml:space="preserve"> Kapczynski &amp; Syed (2013, p. 1951). 2. Governmental Purchases and Tax Credits</w:t>
      </w:r>
      <w:r>
        <w:rPr>
          <w:sz w:val="14"/>
        </w:rPr>
        <w:t xml:space="preserve"> </w:t>
      </w:r>
      <w:r w:rsidRPr="00E8799B">
        <w:rPr>
          <w:sz w:val="14"/>
        </w:rPr>
        <w:t xml:space="preserve">Above, we noted that the </w:t>
      </w:r>
      <w:r w:rsidRPr="00642D9F">
        <w:rPr>
          <w:rStyle w:val="StyleUnderline"/>
          <w:highlight w:val="green"/>
        </w:rPr>
        <w:t>government</w:t>
      </w:r>
      <w:r w:rsidRPr="00ED5036">
        <w:rPr>
          <w:rStyle w:val="StyleUnderline"/>
        </w:rPr>
        <w:t xml:space="preserve"> might create something akin to a prize system by </w:t>
      </w:r>
      <w:r w:rsidRPr="00A51582">
        <w:rPr>
          <w:rStyle w:val="Emphasis"/>
          <w:highlight w:val="green"/>
        </w:rPr>
        <w:t>giv</w:t>
      </w:r>
      <w:r w:rsidRPr="00A51582">
        <w:rPr>
          <w:rStyle w:val="Emphasis"/>
        </w:rPr>
        <w:t xml:space="preserve">ing </w:t>
      </w:r>
      <w:r w:rsidRPr="00A51582">
        <w:rPr>
          <w:rStyle w:val="Emphasis"/>
          <w:highlight w:val="green"/>
        </w:rPr>
        <w:t>coupons to low-income consumers</w:t>
      </w:r>
      <w:r w:rsidRPr="00E8799B">
        <w:rPr>
          <w:rStyle w:val="StyleUnderline"/>
          <w:highlight w:val="green"/>
        </w:rPr>
        <w:t>.</w:t>
      </w:r>
      <w:r w:rsidRPr="00E8799B">
        <w:rPr>
          <w:sz w:val="14"/>
        </w:rPr>
        <w:t xml:space="preserve"> There may also be other ways by which the government can help consumers obtain patented products in a way that reduces deadweight loss, yet possibly without the need to evaluate the contributions of individual inventions. </w:t>
      </w:r>
      <w:r w:rsidRPr="00ED5036">
        <w:rPr>
          <w:rStyle w:val="StyleUnderline"/>
        </w:rPr>
        <w:t xml:space="preserve">For example, </w:t>
      </w:r>
      <w:r w:rsidRPr="00AA5CCA">
        <w:rPr>
          <w:rStyle w:val="StyleUnderline"/>
          <w:highlight w:val="green"/>
        </w:rPr>
        <w:t>the U</w:t>
      </w:r>
      <w:r w:rsidRPr="00E8799B">
        <w:rPr>
          <w:rStyle w:val="StyleUnderline"/>
          <w:highlight w:val="green"/>
        </w:rPr>
        <w:t>.S.</w:t>
      </w:r>
      <w:r w:rsidRPr="00ED5036">
        <w:rPr>
          <w:rStyle w:val="StyleUnderline"/>
        </w:rPr>
        <w:t xml:space="preserve"> government </w:t>
      </w:r>
      <w:r w:rsidRPr="00E8799B">
        <w:rPr>
          <w:rStyle w:val="StyleUnderline"/>
          <w:highlight w:val="green"/>
        </w:rPr>
        <w:t>subsidizes health insurance through</w:t>
      </w:r>
      <w:r w:rsidRPr="00ED5036">
        <w:rPr>
          <w:rStyle w:val="StyleUnderline"/>
        </w:rPr>
        <w:t xml:space="preserve"> its </w:t>
      </w:r>
      <w:r w:rsidRPr="00E8799B">
        <w:rPr>
          <w:rStyle w:val="StyleUnderline"/>
          <w:highlight w:val="green"/>
        </w:rPr>
        <w:t>tax</w:t>
      </w:r>
      <w:r w:rsidRPr="00ED5036">
        <w:rPr>
          <w:rStyle w:val="StyleUnderline"/>
        </w:rPr>
        <w:t xml:space="preserve"> code.</w:t>
      </w:r>
      <w:r w:rsidRPr="00E8799B">
        <w:rPr>
          <w:sz w:val="14"/>
        </w:rPr>
        <w:t xml:space="preserve"> Roin (2014, p. 1051) argues that this may be administratively much simpler than giving coupons to individual consumers. </w:t>
      </w:r>
      <w:r w:rsidRPr="00ED5036">
        <w:rPr>
          <w:rStyle w:val="StyleUnderline"/>
        </w:rPr>
        <w:t xml:space="preserve">Health insurance creates a two-part pricing scheme for pharmaceuticals. </w:t>
      </w:r>
      <w:r w:rsidRPr="00793921">
        <w:rPr>
          <w:rStyle w:val="StyleUnderline"/>
          <w:highlight w:val="green"/>
        </w:rPr>
        <w:t>Consumers pay</w:t>
      </w:r>
      <w:r w:rsidRPr="00793921">
        <w:rPr>
          <w:rStyle w:val="StyleUnderline"/>
        </w:rPr>
        <w:t xml:space="preserve"> a</w:t>
      </w:r>
      <w:r w:rsidRPr="00ED5036">
        <w:rPr>
          <w:rStyle w:val="StyleUnderline"/>
        </w:rPr>
        <w:t xml:space="preserve"> fixed amount for health insurance and then </w:t>
      </w:r>
      <w:r w:rsidRPr="00CF2456">
        <w:rPr>
          <w:rStyle w:val="StyleUnderline"/>
          <w:highlight w:val="green"/>
        </w:rPr>
        <w:t>a copayment for</w:t>
      </w:r>
      <w:r w:rsidRPr="00ED5036">
        <w:rPr>
          <w:rStyle w:val="StyleUnderline"/>
        </w:rPr>
        <w:t xml:space="preserve"> individual </w:t>
      </w:r>
      <w:r w:rsidRPr="00CF2456">
        <w:rPr>
          <w:rStyle w:val="StyleUnderline"/>
          <w:highlight w:val="green"/>
        </w:rPr>
        <w:t>prescriptions</w:t>
      </w:r>
      <w:r w:rsidRPr="00D62593">
        <w:rPr>
          <w:rStyle w:val="StyleUnderline"/>
        </w:rPr>
        <w:t>. This copayment may be relatively</w:t>
      </w:r>
      <w:r w:rsidRPr="00ED5036">
        <w:rPr>
          <w:rStyle w:val="StyleUnderline"/>
        </w:rPr>
        <w:t xml:space="preserve"> </w:t>
      </w:r>
      <w:r w:rsidRPr="00CF2456">
        <w:rPr>
          <w:rStyle w:val="StyleUnderline"/>
          <w:highlight w:val="green"/>
        </w:rPr>
        <w:t>close to marginal cost</w:t>
      </w:r>
      <w:r w:rsidRPr="00ED5036">
        <w:rPr>
          <w:rStyle w:val="StyleUnderline"/>
        </w:rPr>
        <w:t>.</w:t>
      </w:r>
      <w:r w:rsidRPr="00E8799B">
        <w:rPr>
          <w:sz w:val="14"/>
        </w:rPr>
        <w:t xml:space="preserve"> Roin also argues that </w:t>
      </w:r>
      <w:r w:rsidRPr="00793921">
        <w:rPr>
          <w:rStyle w:val="StyleUnderline"/>
        </w:rPr>
        <w:t xml:space="preserve">the </w:t>
      </w:r>
      <w:r w:rsidRPr="000C0E3D">
        <w:rPr>
          <w:rStyle w:val="StyleUnderline"/>
          <w:highlight w:val="green"/>
        </w:rPr>
        <w:t>government might combine subsidies</w:t>
      </w:r>
      <w:r w:rsidRPr="000C0E3D">
        <w:rPr>
          <w:rStyle w:val="StyleUnderline"/>
        </w:rPr>
        <w:t xml:space="preserve"> for</w:t>
      </w:r>
      <w:r w:rsidRPr="00793921">
        <w:rPr>
          <w:rStyle w:val="StyleUnderline"/>
        </w:rPr>
        <w:t xml:space="preserve"> health </w:t>
      </w:r>
      <w:r w:rsidRPr="000C0E3D">
        <w:rPr>
          <w:rStyle w:val="StyleUnderline"/>
          <w:highlight w:val="green"/>
        </w:rPr>
        <w:t>insurance with price controls to ensure</w:t>
      </w:r>
      <w:r w:rsidRPr="00793921">
        <w:rPr>
          <w:rStyle w:val="StyleUnderline"/>
        </w:rPr>
        <w:t xml:space="preserve"> that the consumer </w:t>
      </w:r>
      <w:r w:rsidRPr="000C0E3D">
        <w:rPr>
          <w:rStyle w:val="StyleUnderline"/>
          <w:highlight w:val="green"/>
        </w:rPr>
        <w:t>price</w:t>
      </w:r>
      <w:r w:rsidRPr="00793921">
        <w:rPr>
          <w:rStyle w:val="StyleUnderline"/>
        </w:rPr>
        <w:t xml:space="preserve"> ends up relatively </w:t>
      </w:r>
      <w:r w:rsidRPr="000C0E3D">
        <w:rPr>
          <w:rStyle w:val="StyleUnderline"/>
          <w:highlight w:val="green"/>
        </w:rPr>
        <w:t>close to marginal cost.</w:t>
      </w:r>
      <w:r w:rsidRPr="00793921">
        <w:rPr>
          <w:rStyle w:val="StyleUnderline"/>
        </w:rPr>
        <w:t xml:space="preserve"> Many national health systems help to drive prices for consumers to levels near marginal cost without creating a formal prize system.</w:t>
      </w:r>
      <w:r w:rsidRPr="00E8799B">
        <w:rPr>
          <w:sz w:val="14"/>
        </w:rPr>
        <w:t xml:space="preserve"> </w:t>
      </w:r>
      <w:r w:rsidRPr="000C0E3D">
        <w:rPr>
          <w:rStyle w:val="StyleUnderline"/>
          <w:highlight w:val="green"/>
        </w:rPr>
        <w:t>The effect</w:t>
      </w:r>
      <w:r w:rsidRPr="00E8799B">
        <w:rPr>
          <w:sz w:val="14"/>
        </w:rPr>
        <w:t xml:space="preserve">, he argues, is to </w:t>
      </w:r>
      <w:r w:rsidRPr="00E8799B">
        <w:rPr>
          <w:rStyle w:val="StyleUnderline"/>
          <w:highlight w:val="green"/>
        </w:rPr>
        <w:t>create</w:t>
      </w:r>
      <w:r w:rsidRPr="00E8799B">
        <w:rPr>
          <w:rStyle w:val="StyleUnderline"/>
        </w:rPr>
        <w:t xml:space="preserve"> the </w:t>
      </w:r>
      <w:r w:rsidRPr="00E8799B">
        <w:rPr>
          <w:rStyle w:val="StyleUnderline"/>
          <w:highlight w:val="green"/>
        </w:rPr>
        <w:t>benefits of a patent buyout scheme while retaining</w:t>
      </w:r>
      <w:r w:rsidRPr="00E8799B">
        <w:rPr>
          <w:rStyle w:val="StyleUnderline"/>
        </w:rPr>
        <w:t xml:space="preserve"> the system of </w:t>
      </w:r>
      <w:r w:rsidRPr="00E8799B">
        <w:rPr>
          <w:rStyle w:val="StyleUnderline"/>
          <w:highlight w:val="green"/>
        </w:rPr>
        <w:t>i</w:t>
      </w:r>
      <w:r w:rsidRPr="00E8799B">
        <w:rPr>
          <w:rStyle w:val="StyleUnderline"/>
        </w:rPr>
        <w:t xml:space="preserve">ntellectual </w:t>
      </w:r>
      <w:r w:rsidRPr="00E8799B">
        <w:rPr>
          <w:rStyle w:val="StyleUnderline"/>
          <w:highlight w:val="green"/>
        </w:rPr>
        <w:t>p</w:t>
      </w:r>
      <w:r w:rsidRPr="00E8799B">
        <w:rPr>
          <w:rStyle w:val="StyleUnderline"/>
        </w:rPr>
        <w:t>roperty and arguably reducing the informational demands on the government.</w:t>
      </w:r>
      <w:r w:rsidRPr="00E8799B">
        <w:rPr>
          <w:sz w:val="14"/>
        </w:rPr>
        <w:t xml:space="preserve"> It may not be easy to apply the same logic outside the health insurance context, though in principle a combination of private ordering and governmental subsidies could reduce consumer costs for other goods. Consumers often buy goods (such as cable television subscriptions) with a high fixed and low marginal price component, and government policy could further encourage this. We have, of course, only scratched the surface of the ways in which the government can create innovation through its own purchases. Carroll (2009, p. 1369-70) offers an expanded taxonomy of means by which the government can encourage innovation, noting the possibility of “direct provision of creators or innovators employed by the government.” Kalil (2006, p. 7) argues that a benefit of prize-and-reward systems it that they avoid the complexities associated with procurement regulations and can thus attract teams who otherwise would not be positioned to do business with the government. Brennan et al. (2012, p. 27) offer some guidance on when procurement may be appropriate. While grants will be useful when the government wishes to reduce the risks of inventors but does not know the best approach to take, procurement will work better for a known objective and solution. Prizes may reduce risk somewhat and may be especially appropriate where a specific objective is known but the means to obtain that objective is unknown. </w:t>
      </w:r>
      <w:proofErr w:type="spellStart"/>
      <w:r w:rsidRPr="00E8799B">
        <w:rPr>
          <w:sz w:val="14"/>
        </w:rPr>
        <w:t>Hemel</w:t>
      </w:r>
      <w:proofErr w:type="spellEnd"/>
      <w:r w:rsidRPr="00E8799B">
        <w:rPr>
          <w:sz w:val="14"/>
        </w:rPr>
        <w:t xml:space="preserve"> and Ouellette (2013) argue that </w:t>
      </w:r>
      <w:r w:rsidRPr="00A51582">
        <w:rPr>
          <w:rStyle w:val="Emphasis"/>
          <w:highlight w:val="green"/>
        </w:rPr>
        <w:t>tax credits</w:t>
      </w:r>
      <w:r w:rsidRPr="00A51582">
        <w:rPr>
          <w:rStyle w:val="Emphasis"/>
        </w:rPr>
        <w:t xml:space="preserve"> also have potential advantages as means of funding innovation.</w:t>
      </w:r>
      <w:r w:rsidRPr="00E8799B">
        <w:rPr>
          <w:rStyle w:val="StyleUnderline"/>
        </w:rPr>
        <w:t xml:space="preserve"> Tax credits </w:t>
      </w:r>
      <w:r w:rsidRPr="00E8799B">
        <w:rPr>
          <w:rStyle w:val="StyleUnderline"/>
          <w:highlight w:val="green"/>
        </w:rPr>
        <w:t>require less</w:t>
      </w:r>
      <w:r w:rsidRPr="00E8799B">
        <w:rPr>
          <w:rStyle w:val="StyleUnderline"/>
        </w:rPr>
        <w:t xml:space="preserve"> direct </w:t>
      </w:r>
      <w:r w:rsidRPr="00E8799B">
        <w:rPr>
          <w:rStyle w:val="StyleUnderline"/>
          <w:highlight w:val="green"/>
        </w:rPr>
        <w:t>governmental involvement</w:t>
      </w:r>
      <w:r w:rsidRPr="00E8799B">
        <w:rPr>
          <w:rStyle w:val="StyleUnderline"/>
        </w:rPr>
        <w:t xml:space="preserve"> and supervision than any of the other methods of </w:t>
      </w:r>
      <w:r w:rsidRPr="00E8799B">
        <w:rPr>
          <w:rStyle w:val="StyleUnderline"/>
          <w:highlight w:val="green"/>
        </w:rPr>
        <w:t>encouraging innovation</w:t>
      </w:r>
      <w:r w:rsidRPr="00E8799B">
        <w:rPr>
          <w:rStyle w:val="StyleUnderline"/>
        </w:rPr>
        <w:t xml:space="preserve">. Tax credits, they argue “may be optimal where potential </w:t>
      </w:r>
      <w:r w:rsidRPr="00E8799B">
        <w:rPr>
          <w:rStyle w:val="StyleUnderline"/>
          <w:highlight w:val="green"/>
        </w:rPr>
        <w:t>innovators have private information</w:t>
      </w:r>
      <w:r w:rsidRPr="00E8799B">
        <w:rPr>
          <w:rStyle w:val="StyleUnderline"/>
        </w:rPr>
        <w:t xml:space="preserve"> about project prospects </w:t>
      </w:r>
      <w:r w:rsidRPr="00E8799B">
        <w:rPr>
          <w:rStyle w:val="StyleUnderline"/>
          <w:highlight w:val="green"/>
        </w:rPr>
        <w:t>and limited access to</w:t>
      </w:r>
      <w:r w:rsidRPr="00E8799B">
        <w:rPr>
          <w:rStyle w:val="StyleUnderline"/>
        </w:rPr>
        <w:t xml:space="preserve"> outside </w:t>
      </w:r>
      <w:r w:rsidRPr="00E8799B">
        <w:rPr>
          <w:rStyle w:val="StyleUnderline"/>
          <w:highlight w:val="green"/>
        </w:rPr>
        <w:t>capital</w:t>
      </w:r>
      <w:r w:rsidRPr="00E8799B">
        <w:rPr>
          <w:rStyle w:val="StyleUnderline"/>
        </w:rPr>
        <w:t>.”</w:t>
      </w:r>
      <w:r w:rsidRPr="00E8799B">
        <w:rPr>
          <w:sz w:val="14"/>
        </w:rPr>
        <w:t xml:space="preserve"> (p. 303) </w:t>
      </w:r>
      <w:r w:rsidRPr="00A51582">
        <w:rPr>
          <w:rStyle w:val="Emphasis"/>
        </w:rPr>
        <w:t>Tax credits</w:t>
      </w:r>
      <w:r w:rsidRPr="00E8799B">
        <w:rPr>
          <w:rStyle w:val="StyleUnderline"/>
        </w:rPr>
        <w:t xml:space="preserve"> </w:t>
      </w:r>
      <w:r w:rsidRPr="00B72A31">
        <w:rPr>
          <w:rStyle w:val="StyleUnderline"/>
          <w:highlight w:val="green"/>
        </w:rPr>
        <w:t>can be</w:t>
      </w:r>
      <w:r w:rsidRPr="00E8799B">
        <w:rPr>
          <w:rStyle w:val="StyleUnderline"/>
        </w:rPr>
        <w:t xml:space="preserve"> structured as deductions or as </w:t>
      </w:r>
      <w:r w:rsidRPr="00A51582">
        <w:rPr>
          <w:rStyle w:val="Emphasis"/>
          <w:highlight w:val="green"/>
        </w:rPr>
        <w:t>refundable</w:t>
      </w:r>
      <w:r w:rsidRPr="00E8799B">
        <w:rPr>
          <w:rStyle w:val="StyleUnderline"/>
        </w:rPr>
        <w:t xml:space="preserve">, which </w:t>
      </w:r>
      <w:r w:rsidRPr="00B72A31">
        <w:rPr>
          <w:rStyle w:val="StyleUnderline"/>
          <w:highlight w:val="green"/>
        </w:rPr>
        <w:t>provides</w:t>
      </w:r>
      <w:r w:rsidRPr="00E8799B">
        <w:rPr>
          <w:rStyle w:val="StyleUnderline"/>
        </w:rPr>
        <w:t xml:space="preserve"> </w:t>
      </w:r>
      <w:r w:rsidRPr="00A51582">
        <w:rPr>
          <w:rStyle w:val="Emphasis"/>
        </w:rPr>
        <w:t xml:space="preserve">stronger </w:t>
      </w:r>
      <w:r w:rsidRPr="00A51582">
        <w:rPr>
          <w:rStyle w:val="Emphasis"/>
          <w:highlight w:val="green"/>
        </w:rPr>
        <w:t>incentives for startup</w:t>
      </w:r>
      <w:r w:rsidRPr="00A51582">
        <w:rPr>
          <w:rStyle w:val="Emphasis"/>
        </w:rPr>
        <w:t xml:space="preserve"> companies.</w:t>
      </w:r>
      <w:r w:rsidRPr="00E8799B">
        <w:rPr>
          <w:sz w:val="14"/>
        </w:rPr>
        <w:t xml:space="preserve"> Tax credits can either be administered at a national level or at a state level. Hrdy (2013) argues that in part </w:t>
      </w:r>
      <w:r w:rsidRPr="00B72A31">
        <w:rPr>
          <w:rStyle w:val="StyleUnderline"/>
          <w:highlight w:val="green"/>
        </w:rPr>
        <w:t>because</w:t>
      </w:r>
      <w:r w:rsidRPr="00E8799B">
        <w:rPr>
          <w:rStyle w:val="StyleUnderline"/>
        </w:rPr>
        <w:t xml:space="preserve"> a variety of </w:t>
      </w:r>
      <w:r w:rsidRPr="00B72A31">
        <w:rPr>
          <w:rStyle w:val="StyleUnderline"/>
          <w:highlight w:val="green"/>
        </w:rPr>
        <w:t>doctrines limit</w:t>
      </w:r>
      <w:r w:rsidRPr="00E8799B">
        <w:rPr>
          <w:rStyle w:val="StyleUnderline"/>
        </w:rPr>
        <w:t xml:space="preserve"> the ability of </w:t>
      </w:r>
      <w:r w:rsidRPr="00B72A31">
        <w:rPr>
          <w:rStyle w:val="StyleUnderline"/>
          <w:highlight w:val="green"/>
        </w:rPr>
        <w:t>states to create</w:t>
      </w:r>
      <w:r w:rsidRPr="00E8799B">
        <w:rPr>
          <w:rStyle w:val="StyleUnderline"/>
        </w:rPr>
        <w:t xml:space="preserve"> patent </w:t>
      </w:r>
      <w:r w:rsidRPr="00B72A31">
        <w:rPr>
          <w:rStyle w:val="StyleUnderline"/>
          <w:highlight w:val="green"/>
        </w:rPr>
        <w:t>policies, states</w:t>
      </w:r>
      <w:r w:rsidRPr="00E8799B">
        <w:rPr>
          <w:rStyle w:val="StyleUnderline"/>
        </w:rPr>
        <w:t xml:space="preserve"> have </w:t>
      </w:r>
      <w:r w:rsidRPr="00B72A31">
        <w:rPr>
          <w:rStyle w:val="StyleUnderline"/>
          <w:highlight w:val="green"/>
        </w:rPr>
        <w:t>focused</w:t>
      </w:r>
      <w:r w:rsidRPr="00E8799B">
        <w:rPr>
          <w:rStyle w:val="StyleUnderline"/>
        </w:rPr>
        <w:t xml:space="preserve"> largely </w:t>
      </w:r>
      <w:r w:rsidRPr="00B72A31">
        <w:rPr>
          <w:rStyle w:val="StyleUnderline"/>
          <w:highlight w:val="green"/>
        </w:rPr>
        <w:t>on providing tax credits</w:t>
      </w:r>
      <w:r w:rsidRPr="00E8799B">
        <w:rPr>
          <w:rStyle w:val="StyleUnderline"/>
        </w:rPr>
        <w:t xml:space="preserve"> as a mechanism </w:t>
      </w:r>
      <w:r w:rsidRPr="00B72A31">
        <w:rPr>
          <w:rStyle w:val="StyleUnderline"/>
          <w:highlight w:val="green"/>
        </w:rPr>
        <w:t>for</w:t>
      </w:r>
      <w:r w:rsidRPr="00E8799B">
        <w:rPr>
          <w:rStyle w:val="StyleUnderline"/>
        </w:rPr>
        <w:t xml:space="preserve"> encouraging </w:t>
      </w:r>
      <w:r w:rsidRPr="00B72A31">
        <w:rPr>
          <w:rStyle w:val="StyleUnderline"/>
          <w:highlight w:val="green"/>
        </w:rPr>
        <w:t>innovation</w:t>
      </w:r>
      <w:r w:rsidRPr="00E8799B">
        <w:rPr>
          <w:rStyle w:val="StyleUnderline"/>
        </w:rPr>
        <w:t xml:space="preserve">. </w:t>
      </w:r>
      <w:r w:rsidRPr="00E8799B">
        <w:rPr>
          <w:sz w:val="14"/>
        </w:rPr>
        <w:t>As Hrdy’s argument suggests, a significant drawback of tax credits relative to rewards is that they provide the government relatively little ability to adjust for ways in which the patent system may not align private and social incentives.</w:t>
      </w:r>
    </w:p>
    <w:p w14:paraId="6BB27BBE" w14:textId="77777777" w:rsidR="00491441" w:rsidRDefault="00491441" w:rsidP="00491441">
      <w:pPr>
        <w:pStyle w:val="Heading2"/>
      </w:pPr>
      <w:r>
        <w:t>Case</w:t>
      </w:r>
    </w:p>
    <w:p w14:paraId="39421AE4" w14:textId="77777777" w:rsidR="00491441" w:rsidRPr="00550EB1" w:rsidRDefault="00491441" w:rsidP="00491441">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380E61D7" w14:textId="77777777" w:rsidR="00491441" w:rsidRPr="00550EB1" w:rsidRDefault="00491441" w:rsidP="00491441">
      <w:r w:rsidRPr="00550EB1">
        <w:rPr>
          <w:rStyle w:val="Style13ptBold"/>
        </w:rPr>
        <w:t>Lamp 19</w:t>
      </w:r>
      <w:r w:rsidRPr="00550EB1">
        <w:t xml:space="preserve"> [Nicholas; Assistant Professor of Law at Queen’s University; “What Just Happened at the WTO? Everything You Need to Know, Brink News,” 12/16/19; </w:t>
      </w:r>
      <w:hyperlink r:id="rId30" w:history="1">
        <w:r w:rsidRPr="00550EB1">
          <w:rPr>
            <w:rStyle w:val="Hyperlink"/>
          </w:rPr>
          <w:t>https://www.brinknews.com/what-just-happened-at-the-wto-everything-you-need-to-know/</w:t>
        </w:r>
      </w:hyperlink>
      <w:r w:rsidRPr="00550EB1">
        <w:t>] Justin</w:t>
      </w:r>
    </w:p>
    <w:p w14:paraId="1ACC33C0" w14:textId="77777777" w:rsidR="00491441" w:rsidRPr="00550EB1" w:rsidRDefault="00491441" w:rsidP="00491441">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26E9FA88" w14:textId="77777777" w:rsidR="00491441" w:rsidRPr="00550EB1" w:rsidRDefault="00491441" w:rsidP="00491441">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93D0C91" w14:textId="77777777" w:rsidR="00491441" w:rsidRPr="00550EB1" w:rsidRDefault="00491441" w:rsidP="00491441">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6181CB9" w14:textId="77777777" w:rsidR="00491441" w:rsidRPr="0072773E" w:rsidRDefault="00491441" w:rsidP="00491441"/>
    <w:p w14:paraId="5612BD66" w14:textId="77777777" w:rsidR="00491441" w:rsidRPr="0016044B" w:rsidRDefault="00491441" w:rsidP="00491441">
      <w:pPr>
        <w:pStyle w:val="Heading4"/>
      </w:pPr>
      <w:r>
        <w:t xml:space="preserve">States wouldn’t implement TRIPS – endless filibustering in the </w:t>
      </w:r>
      <w:proofErr w:type="spellStart"/>
      <w:r>
        <w:t>squo</w:t>
      </w:r>
      <w:proofErr w:type="spellEnd"/>
      <w:r>
        <w:t xml:space="preserve"> by Europe, the UK, Russia, etc. should be enough proof, but they also have no incentive to listen since countries are split on the issue, and </w:t>
      </w:r>
      <w:proofErr w:type="spellStart"/>
      <w:r>
        <w:t>its</w:t>
      </w:r>
      <w:proofErr w:type="spellEnd"/>
      <w:r>
        <w:t xml:space="preserve"> not unanimous</w:t>
      </w:r>
    </w:p>
    <w:p w14:paraId="27F8C3E1" w14:textId="77777777" w:rsidR="00491441" w:rsidRPr="00DE471A" w:rsidRDefault="00491441" w:rsidP="00491441">
      <w:pPr>
        <w:pStyle w:val="Heading4"/>
      </w:pPr>
      <w:r>
        <w:t xml:space="preserve">All </w:t>
      </w:r>
      <w:proofErr w:type="spellStart"/>
      <w:r>
        <w:t>aff</w:t>
      </w:r>
      <w:proofErr w:type="spellEnd"/>
      <w:r>
        <w:t xml:space="preserve"> </w:t>
      </w:r>
      <w:proofErr w:type="spellStart"/>
      <w:r>
        <w:t>ev</w:t>
      </w:r>
      <w:proofErr w:type="spellEnd"/>
      <w:r>
        <w:t xml:space="preserve"> is in the context of nations agreeing to the TRIPS waiver, which is distinct [explain contextual to the </w:t>
      </w:r>
      <w:proofErr w:type="spellStart"/>
      <w:r>
        <w:t>aff</w:t>
      </w:r>
      <w:proofErr w:type="spellEnd"/>
      <w:r>
        <w:t>]</w:t>
      </w:r>
    </w:p>
    <w:p w14:paraId="0D7F4FB4" w14:textId="77777777" w:rsidR="00491441" w:rsidRDefault="00491441" w:rsidP="00491441">
      <w:pPr>
        <w:pStyle w:val="Heading4"/>
      </w:pPr>
      <w:r w:rsidRPr="000B7C00">
        <w:t xml:space="preserve">Circumvention </w:t>
      </w:r>
      <w:r w:rsidRPr="000B7C00">
        <w:rPr>
          <w:u w:val="single"/>
        </w:rPr>
        <w:t>is</w:t>
      </w:r>
      <w:r w:rsidRPr="000B7C00">
        <w:t xml:space="preserve"> a neg argument – </w:t>
      </w:r>
      <w:r w:rsidRPr="000B7C00">
        <w:rPr>
          <w:u w:val="single"/>
        </w:rPr>
        <w:t>core of the topic</w:t>
      </w:r>
      <w:r w:rsidRPr="000B7C00">
        <w:t xml:space="preserve"> literature is whether countries would do it which is why there are huge debates on the EU, UK, China, </w:t>
      </w:r>
      <w:proofErr w:type="spellStart"/>
      <w:r w:rsidRPr="000B7C00">
        <w:t>etc</w:t>
      </w:r>
      <w:proofErr w:type="spellEnd"/>
      <w:r w:rsidRPr="000B7C00">
        <w:t xml:space="preserve"> agreeing to a waiver </w:t>
      </w:r>
    </w:p>
    <w:p w14:paraId="6821725F" w14:textId="77777777" w:rsidR="00491441" w:rsidRPr="000B7C00" w:rsidRDefault="00491441" w:rsidP="00491441"/>
    <w:p w14:paraId="662D9960" w14:textId="77777777" w:rsidR="00491441" w:rsidRPr="000B7C00" w:rsidRDefault="00491441" w:rsidP="00491441">
      <w:pPr>
        <w:pStyle w:val="Heading4"/>
        <w:rPr>
          <w:color w:val="FF0000"/>
        </w:rPr>
      </w:pPr>
      <w:r>
        <w:t xml:space="preserve">Circumvention and they don’t solve – even if they say “durable fiat”, </w:t>
      </w:r>
      <w:r w:rsidRPr="000B7C00">
        <w:rPr>
          <w:color w:val="FF0000"/>
        </w:rPr>
        <w:t>they have not defined the scope of the plan in the 1AC so you don’t know what the plan would materially look like</w:t>
      </w:r>
    </w:p>
    <w:p w14:paraId="7E61E32B" w14:textId="77777777" w:rsidR="00491441" w:rsidRPr="00EC7DE5" w:rsidRDefault="00491441" w:rsidP="00491441">
      <w:pPr>
        <w:spacing w:after="0"/>
        <w:rPr>
          <w:rStyle w:val="Style13ptBold"/>
          <w:rFonts w:ascii="Times New Roman" w:hAnsi="Times New Roman" w:cs="Times New Roman"/>
          <w:b w:val="0"/>
          <w:bCs w:val="0"/>
        </w:rPr>
      </w:pPr>
      <w:r w:rsidRPr="000D4345">
        <w:rPr>
          <w:rStyle w:val="Style13ptBold"/>
        </w:rPr>
        <w:t>Mercurio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31" w:history="1">
        <w:r w:rsidRPr="00251760">
          <w:rPr>
            <w:rStyle w:val="Hyperlink"/>
          </w:rPr>
          <w:t>https://www.ncbi.nlm.nih.gov/pmc/articles/PMC8223179/</w:t>
        </w:r>
      </w:hyperlink>
      <w:r>
        <w:t xml:space="preserve"> Accessed 8/25 //gord0]</w:t>
      </w:r>
    </w:p>
    <w:p w14:paraId="0C54ED06" w14:textId="77777777" w:rsidR="00491441" w:rsidRDefault="00491441" w:rsidP="00491441">
      <w:pPr>
        <w:pStyle w:val="Heading4"/>
      </w:pPr>
      <w:r w:rsidRPr="002868F3">
        <w:rPr>
          <w:rFonts w:asciiTheme="minorHAnsi" w:hAnsiTheme="minorHAnsi" w:cstheme="minorHAnsi"/>
          <w:sz w:val="12"/>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2" w:anchor="Fn1" w:history="1">
        <w:r w:rsidRPr="002868F3">
          <w:rPr>
            <w:rStyle w:val="Hyperlink"/>
            <w:rFonts w:asciiTheme="minorHAnsi" w:hAnsiTheme="minorHAnsi" w:cstheme="minorHAnsi"/>
            <w:sz w:val="12"/>
            <w:szCs w:val="16"/>
            <w:vertAlign w:val="superscript"/>
          </w:rPr>
          <w:t>1</w:t>
        </w:r>
      </w:hyperlink>
      <w:r w:rsidRPr="002868F3">
        <w:rPr>
          <w:rFonts w:asciiTheme="minorHAnsi" w:hAnsiTheme="minorHAnsi" w:cstheme="minorHAnsi"/>
          <w:sz w:val="12"/>
          <w:szCs w:val="16"/>
        </w:rPr>
        <w:t xml:space="preserve"> The proposal, tabled at a meeting of the TRIPS Council in October 2020, calls on Members to waive IPRs relating to and having an impact on the “prevention, containment or treatment of COVID-19”.</w:t>
      </w:r>
      <w:hyperlink r:id="rId33" w:anchor="Fn2" w:history="1">
        <w:r w:rsidRPr="002868F3">
          <w:rPr>
            <w:rStyle w:val="Hyperlink"/>
            <w:rFonts w:asciiTheme="minorHAnsi" w:hAnsiTheme="minorHAnsi" w:cstheme="minorHAnsi"/>
            <w:sz w:val="12"/>
            <w:szCs w:val="16"/>
            <w:vertAlign w:val="superscript"/>
          </w:rPr>
          <w:t>2</w:t>
        </w:r>
      </w:hyperlink>
      <w:r w:rsidRPr="002868F3">
        <w:rPr>
          <w:rFonts w:asciiTheme="minorHAnsi" w:hAnsiTheme="minorHAnsi" w:cstheme="minorHAnsi"/>
          <w:sz w:val="12"/>
          <w:szCs w:val="16"/>
        </w:rPr>
        <w:t xml:space="preserve"> The proposal attracted support from the majority of developing country Members,</w:t>
      </w:r>
      <w:hyperlink r:id="rId34" w:anchor="Fn3" w:history="1">
        <w:r w:rsidRPr="002868F3">
          <w:rPr>
            <w:rStyle w:val="Hyperlink"/>
            <w:rFonts w:asciiTheme="minorHAnsi" w:hAnsiTheme="minorHAnsi" w:cstheme="minorHAnsi"/>
            <w:sz w:val="12"/>
            <w:szCs w:val="16"/>
            <w:vertAlign w:val="superscript"/>
          </w:rPr>
          <w:t>3</w:t>
        </w:r>
      </w:hyperlink>
      <w:r w:rsidRPr="002868F3">
        <w:rPr>
          <w:rFonts w:asciiTheme="minorHAnsi" w:hAnsiTheme="minorHAnsi" w:cstheme="minorHAnsi"/>
          <w:sz w:val="12"/>
          <w:szCs w:val="16"/>
        </w:rPr>
        <w:t xml:space="preserve"> but was opposed by a handful of Members including the United States (US).</w:t>
      </w:r>
      <w:hyperlink r:id="rId35" w:anchor="Fn4" w:history="1">
        <w:r w:rsidRPr="002868F3">
          <w:rPr>
            <w:rStyle w:val="Hyperlink"/>
            <w:rFonts w:asciiTheme="minorHAnsi" w:hAnsiTheme="minorHAnsi" w:cstheme="minorHAnsi"/>
            <w:sz w:val="12"/>
            <w:szCs w:val="16"/>
            <w:vertAlign w:val="superscript"/>
          </w:rPr>
          <w:t>4</w:t>
        </w:r>
      </w:hyperlink>
      <w:r w:rsidRPr="002868F3">
        <w:rPr>
          <w:rFonts w:asciiTheme="minorHAnsi" w:hAnsiTheme="minorHAnsi" w:cstheme="minorHAnsi"/>
          <w:sz w:val="12"/>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6" w:anchor="Fn5" w:history="1">
        <w:r w:rsidRPr="002868F3">
          <w:rPr>
            <w:rStyle w:val="Hyperlink"/>
            <w:rFonts w:asciiTheme="minorHAnsi" w:hAnsiTheme="minorHAnsi" w:cstheme="minorHAnsi"/>
            <w:sz w:val="12"/>
            <w:szCs w:val="16"/>
            <w:vertAlign w:val="superscript"/>
          </w:rPr>
          <w:t>5</w:t>
        </w:r>
      </w:hyperlink>
      <w:r w:rsidRPr="002868F3">
        <w:rPr>
          <w:rFonts w:asciiTheme="minorHAnsi" w:hAnsiTheme="minorHAnsi" w:cstheme="minorHAnsi"/>
          <w:sz w:val="12"/>
          <w:szCs w:val="16"/>
        </w:rPr>
        <w:t xml:space="preserve"> On 5 May 2021, the US reversed its position and announced that it would support a waiver for COVID-19 vaccines.</w:t>
      </w:r>
      <w:hyperlink r:id="rId37" w:anchor="Fn6" w:history="1">
        <w:r w:rsidRPr="002868F3">
          <w:rPr>
            <w:rStyle w:val="Hyperlink"/>
            <w:rFonts w:asciiTheme="minorHAnsi" w:hAnsiTheme="minorHAnsi" w:cstheme="minorHAnsi"/>
            <w:sz w:val="12"/>
            <w:szCs w:val="16"/>
            <w:vertAlign w:val="superscript"/>
          </w:rPr>
          <w:t>6</w:t>
        </w:r>
      </w:hyperlink>
      <w:r w:rsidRPr="002868F3">
        <w:rPr>
          <w:rFonts w:asciiTheme="minorHAnsi" w:hAnsiTheme="minorHAnsi" w:cstheme="minorHAnsi"/>
          <w:sz w:val="12"/>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8" w:anchor="Fn7" w:history="1">
        <w:r w:rsidRPr="002868F3">
          <w:rPr>
            <w:rStyle w:val="Hyperlink"/>
            <w:rFonts w:asciiTheme="minorHAnsi" w:hAnsiTheme="minorHAnsi" w:cstheme="minorHAnsi"/>
            <w:sz w:val="12"/>
            <w:szCs w:val="16"/>
            <w:vertAlign w:val="superscript"/>
          </w:rPr>
          <w:t>7</w:t>
        </w:r>
      </w:hyperlink>
      <w:r w:rsidRPr="002868F3">
        <w:rPr>
          <w:rFonts w:asciiTheme="minorHAnsi" w:hAnsiTheme="minorHAnsi" w:cstheme="minorHAnsi"/>
          <w:sz w:val="12"/>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9" w:anchor="Fn8" w:history="1">
        <w:r w:rsidRPr="002868F3">
          <w:rPr>
            <w:rStyle w:val="Hyperlink"/>
            <w:rFonts w:asciiTheme="minorHAnsi" w:hAnsiTheme="minorHAnsi" w:cstheme="minorHAnsi"/>
            <w:sz w:val="12"/>
            <w:szCs w:val="16"/>
            <w:vertAlign w:val="superscript"/>
          </w:rPr>
          <w:t>8</w:t>
        </w:r>
      </w:hyperlink>
      <w:r w:rsidRPr="002868F3">
        <w:rPr>
          <w:rFonts w:asciiTheme="minorHAnsi" w:hAnsiTheme="minorHAnsi" w:cstheme="minorHAnsi"/>
          <w:sz w:val="12"/>
          <w:szCs w:val="16"/>
        </w:rPr>
        <w:t xml:space="preserve"> For its part, the EU continues to </w:t>
      </w:r>
      <w:proofErr w:type="spellStart"/>
      <w:r w:rsidRPr="002868F3">
        <w:rPr>
          <w:rFonts w:asciiTheme="minorHAnsi" w:hAnsiTheme="minorHAnsi" w:cstheme="minorHAnsi"/>
          <w:sz w:val="12"/>
          <w:szCs w:val="16"/>
        </w:rPr>
        <w:t>favour</w:t>
      </w:r>
      <w:proofErr w:type="spellEnd"/>
      <w:r w:rsidRPr="002868F3">
        <w:rPr>
          <w:rFonts w:asciiTheme="minorHAnsi" w:hAnsiTheme="minorHAnsi" w:cstheme="minorHAnsi"/>
          <w:sz w:val="12"/>
          <w:szCs w:val="16"/>
        </w:rPr>
        <w:t xml:space="preserve"> an approach which makes better use of existing flexibilities available in the TRIPS Agreement.</w:t>
      </w:r>
      <w:hyperlink r:id="rId40" w:anchor="Fn9" w:history="1">
        <w:r w:rsidRPr="002868F3">
          <w:rPr>
            <w:rStyle w:val="Hyperlink"/>
            <w:rFonts w:asciiTheme="minorHAnsi" w:hAnsiTheme="minorHAnsi" w:cstheme="minorHAnsi"/>
            <w:sz w:val="12"/>
            <w:szCs w:val="16"/>
            <w:vertAlign w:val="superscript"/>
          </w:rPr>
          <w:t>9</w:t>
        </w:r>
      </w:hyperlink>
      <w:r w:rsidRPr="002868F3">
        <w:rPr>
          <w:rFonts w:asciiTheme="minorHAnsi" w:hAnsiTheme="minorHAnsi" w:cstheme="minorHAnsi"/>
          <w:sz w:val="12"/>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41" w:anchor="Fn10" w:history="1">
        <w:r w:rsidRPr="002868F3">
          <w:rPr>
            <w:rStyle w:val="Hyperlink"/>
            <w:rFonts w:asciiTheme="minorHAnsi" w:hAnsiTheme="minorHAnsi" w:cstheme="minorHAnsi"/>
            <w:sz w:val="12"/>
            <w:szCs w:val="16"/>
            <w:vertAlign w:val="superscript"/>
          </w:rPr>
          <w:t>10</w:t>
        </w:r>
      </w:hyperlink>
      <w:r w:rsidRPr="002868F3">
        <w:rPr>
          <w:rFonts w:asciiTheme="minorHAnsi" w:hAnsiTheme="minorHAnsi" w:cstheme="minorHAnsi"/>
          <w:sz w:val="12"/>
          <w:szCs w:val="16"/>
        </w:rPr>
        <w:t xml:space="preserve"> Issues of negotiation will include the scope of the waiver. Whereas the original proposal and its amended form extend the waiver beyond patents and vaccines to include nearly all forms of IP (i.e. copyright,</w:t>
      </w:r>
      <w:hyperlink r:id="rId42" w:anchor="Fn11" w:history="1">
        <w:r w:rsidRPr="002868F3">
          <w:rPr>
            <w:rStyle w:val="Hyperlink"/>
            <w:rFonts w:asciiTheme="minorHAnsi" w:hAnsiTheme="minorHAnsi" w:cstheme="minorHAnsi"/>
            <w:sz w:val="12"/>
            <w:szCs w:val="16"/>
            <w:vertAlign w:val="superscript"/>
          </w:rPr>
          <w:t>11</w:t>
        </w:r>
      </w:hyperlink>
      <w:r w:rsidRPr="002868F3">
        <w:rPr>
          <w:rFonts w:asciiTheme="minorHAnsi" w:hAnsiTheme="minorHAnsi" w:cstheme="minorHAnsi"/>
          <w:sz w:val="12"/>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3" w:anchor="Fn12" w:history="1">
        <w:r w:rsidRPr="002868F3">
          <w:rPr>
            <w:rStyle w:val="Hyperlink"/>
            <w:rFonts w:asciiTheme="minorHAnsi" w:hAnsiTheme="minorHAnsi" w:cstheme="minorHAnsi"/>
            <w:sz w:val="12"/>
            <w:szCs w:val="16"/>
            <w:vertAlign w:val="superscript"/>
          </w:rPr>
          <w:t>12</w:t>
        </w:r>
      </w:hyperlink>
      <w:r w:rsidRPr="002868F3">
        <w:rPr>
          <w:rFonts w:asciiTheme="minorHAnsi" w:hAnsiTheme="minorHAnsi" w:cstheme="minorHAnsi"/>
          <w:sz w:val="12"/>
          <w:szCs w:val="16"/>
        </w:rPr>
        <w:t xml:space="preserve"> (with no requirement on how or the extent to which they are related to or useful in combatting COVID-19), the US and others seem to support a waiver limited to patents and vaccines.</w:t>
      </w:r>
      <w:hyperlink r:id="rId44" w:anchor="Fn13" w:history="1">
        <w:r w:rsidRPr="002868F3">
          <w:rPr>
            <w:rStyle w:val="Hyperlink"/>
            <w:rFonts w:asciiTheme="minorHAnsi" w:hAnsiTheme="minorHAnsi" w:cstheme="minorHAnsi"/>
            <w:sz w:val="12"/>
            <w:szCs w:val="16"/>
            <w:vertAlign w:val="superscript"/>
          </w:rPr>
          <w:t>13</w:t>
        </w:r>
      </w:hyperlink>
      <w:r w:rsidRPr="002868F3">
        <w:rPr>
          <w:rFonts w:asciiTheme="minorHAnsi" w:hAnsiTheme="minorHAnsi" w:cstheme="minorHAnsi"/>
          <w:sz w:val="12"/>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5" w:anchor="Fn14" w:history="1">
        <w:r w:rsidRPr="002868F3">
          <w:rPr>
            <w:rStyle w:val="Hyperlink"/>
            <w:rFonts w:asciiTheme="minorHAnsi" w:hAnsiTheme="minorHAnsi" w:cstheme="minorHAnsi"/>
            <w:sz w:val="12"/>
            <w:szCs w:val="16"/>
            <w:vertAlign w:val="superscript"/>
          </w:rPr>
          <w:t>14</w:t>
        </w:r>
      </w:hyperlink>
      <w:r w:rsidRPr="002868F3">
        <w:rPr>
          <w:rFonts w:asciiTheme="minorHAnsi" w:hAnsiTheme="minorHAnsi" w:cstheme="minorHAnsi"/>
          <w:sz w:val="12"/>
          <w:szCs w:val="16"/>
        </w:rPr>
        <w:t xml:space="preserve"> – as will the request that any action claimed to be taken under the waiver is outside the scope of the WTO’s dispute settlement mechanism.</w:t>
      </w:r>
      <w:hyperlink r:id="rId46" w:anchor="Fn15" w:history="1">
        <w:r w:rsidRPr="002868F3">
          <w:rPr>
            <w:rStyle w:val="Hyperlink"/>
            <w:rFonts w:asciiTheme="minorHAnsi" w:hAnsiTheme="minorHAnsi" w:cstheme="minorHAnsi"/>
            <w:sz w:val="12"/>
            <w:szCs w:val="16"/>
            <w:vertAlign w:val="superscript"/>
          </w:rPr>
          <w:t>15</w:t>
        </w:r>
      </w:hyperlink>
      <w:r w:rsidRPr="002868F3">
        <w:rPr>
          <w:rFonts w:asciiTheme="minorHAnsi" w:hAnsiTheme="minorHAnsi" w:cstheme="minorHAnsi"/>
          <w:sz w:val="12"/>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450842">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450842">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450842">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450842">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2868F3">
        <w:rPr>
          <w:rFonts w:asciiTheme="minorHAnsi" w:hAnsiTheme="minorHAnsi" w:cstheme="minorHAnsi"/>
          <w:sz w:val="12"/>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7" w:anchor="Fn16" w:history="1">
        <w:r w:rsidRPr="002868F3">
          <w:rPr>
            <w:rStyle w:val="Hyperlink"/>
            <w:rFonts w:asciiTheme="minorHAnsi" w:hAnsiTheme="minorHAnsi" w:cstheme="minorHAnsi"/>
            <w:sz w:val="12"/>
            <w:szCs w:val="16"/>
            <w:vertAlign w:val="superscript"/>
          </w:rPr>
          <w:t>16</w:t>
        </w:r>
      </w:hyperlink>
      <w:r w:rsidRPr="002868F3">
        <w:rPr>
          <w:rFonts w:asciiTheme="minorHAnsi" w:hAnsiTheme="minorHAnsi" w:cstheme="minorHAnsi"/>
          <w:sz w:val="12"/>
          <w:szCs w:val="16"/>
        </w:rPr>
        <w:t xml:space="preserve"> There is also a chance that the negotiations will continue past the calendar year 2021. 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450842">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450842">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450842">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450842">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450842">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450842">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450842">
        <w:rPr>
          <w:rFonts w:asciiTheme="minorHAnsi" w:hAnsiTheme="minorHAnsi" w:cstheme="minorHAnsi"/>
          <w:highlight w:val="green"/>
          <w:u w:val="single"/>
        </w:rPr>
        <w:t>solution</w:t>
      </w:r>
      <w:r w:rsidRPr="00290E95">
        <w:rPr>
          <w:rFonts w:asciiTheme="minorHAnsi" w:hAnsiTheme="minorHAnsi" w:cstheme="minorHAnsi"/>
          <w:u w:val="single"/>
        </w:rPr>
        <w:t>.</w:t>
      </w:r>
      <w:r w:rsidRPr="002868F3">
        <w:rPr>
          <w:rFonts w:asciiTheme="minorHAnsi" w:hAnsiTheme="minorHAnsi" w:cstheme="minorHAnsi"/>
          <w:sz w:val="12"/>
          <w:szCs w:val="16"/>
        </w:rPr>
        <w:t xml:space="preserve"> </w:t>
      </w:r>
      <w:r w:rsidRPr="00CC3E18">
        <w:rPr>
          <w:rFonts w:asciiTheme="minorHAnsi" w:hAnsiTheme="minorHAnsi" w:cstheme="minorHAnsi"/>
          <w:u w:val="single"/>
        </w:rPr>
        <w:t xml:space="preserve">Instead, </w:t>
      </w:r>
      <w:r w:rsidRPr="00450842">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450842">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450842">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450842">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450842">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2868F3">
        <w:rPr>
          <w:rFonts w:asciiTheme="minorHAnsi" w:hAnsiTheme="minorHAnsi" w:cstheme="minorHAnsi"/>
          <w:sz w:val="12"/>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8" w:anchor="Fn17" w:history="1">
        <w:r w:rsidRPr="002868F3">
          <w:rPr>
            <w:rStyle w:val="Hyperlink"/>
            <w:rFonts w:asciiTheme="minorHAnsi" w:hAnsiTheme="minorHAnsi" w:cstheme="minorHAnsi"/>
            <w:sz w:val="12"/>
            <w:szCs w:val="16"/>
            <w:vertAlign w:val="superscript"/>
          </w:rPr>
          <w:t>17</w:t>
        </w:r>
      </w:hyperlink>
      <w:r w:rsidRPr="002868F3">
        <w:rPr>
          <w:rFonts w:asciiTheme="minorHAnsi" w:hAnsiTheme="minorHAnsi" w:cstheme="minorHAnsi"/>
          <w:sz w:val="12"/>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9" w:anchor="Fn18" w:history="1">
        <w:r w:rsidRPr="002868F3">
          <w:rPr>
            <w:rStyle w:val="Hyperlink"/>
            <w:rFonts w:asciiTheme="minorHAnsi" w:hAnsiTheme="minorHAnsi" w:cstheme="minorHAnsi"/>
            <w:sz w:val="12"/>
            <w:szCs w:val="16"/>
            <w:vertAlign w:val="superscript"/>
          </w:rPr>
          <w:t>18</w:t>
        </w:r>
      </w:hyperlink>
      <w:r w:rsidRPr="002868F3">
        <w:rPr>
          <w:rFonts w:asciiTheme="minorHAnsi" w:hAnsiTheme="minorHAnsi" w:cstheme="minorHAnsi"/>
          <w:sz w:val="12"/>
          <w:szCs w:val="16"/>
        </w:rPr>
        <w:t xml:space="preserve"> Second, it sends a strong signal that the US does not oppose </w:t>
      </w:r>
      <w:r w:rsidRPr="00F56BCC">
        <w:rPr>
          <w:rStyle w:val="Emphasis"/>
          <w:rFonts w:asciiTheme="minorHAnsi" w:hAnsiTheme="minorHAnsi" w:cstheme="minorHAnsi"/>
          <w:sz w:val="16"/>
          <w:szCs w:val="16"/>
        </w:rPr>
        <w:t>others</w:t>
      </w:r>
      <w:r w:rsidRPr="002868F3">
        <w:rPr>
          <w:rFonts w:asciiTheme="minorHAnsi" w:hAnsiTheme="minorHAnsi" w:cstheme="minorHAnsi"/>
          <w:sz w:val="12"/>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F56BCC">
        <w:rPr>
          <w:rStyle w:val="Emphasis"/>
          <w:rFonts w:asciiTheme="minorHAnsi" w:hAnsiTheme="minorHAnsi" w:cstheme="minorHAnsi"/>
          <w:sz w:val="16"/>
          <w:szCs w:val="16"/>
        </w:rPr>
        <w:t>Financial Times</w:t>
      </w:r>
      <w:r w:rsidRPr="002868F3">
        <w:rPr>
          <w:rFonts w:asciiTheme="minorHAnsi" w:hAnsiTheme="minorHAnsi" w:cstheme="minorHAnsi"/>
          <w:sz w:val="12"/>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0" w:anchor="Fn19" w:history="1">
        <w:r w:rsidRPr="002868F3">
          <w:rPr>
            <w:rStyle w:val="Hyperlink"/>
            <w:rFonts w:asciiTheme="minorHAnsi" w:hAnsiTheme="minorHAnsi" w:cstheme="minorHAnsi"/>
            <w:sz w:val="12"/>
            <w:szCs w:val="16"/>
            <w:vertAlign w:val="superscript"/>
          </w:rPr>
          <w:t>19</w:t>
        </w:r>
      </w:hyperlink>
      <w:r w:rsidRPr="002868F3">
        <w:rPr>
          <w:rFonts w:asciiTheme="minorHAnsi" w:hAnsiTheme="minorHAnsi" w:cstheme="minorHAnsi"/>
          <w:sz w:val="12"/>
          <w:szCs w:val="16"/>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51" w:anchor="Fn20" w:history="1">
        <w:r w:rsidRPr="002868F3">
          <w:rPr>
            <w:rStyle w:val="Hyperlink"/>
            <w:rFonts w:asciiTheme="minorHAnsi" w:hAnsiTheme="minorHAnsi" w:cstheme="minorHAnsi"/>
            <w:sz w:val="12"/>
            <w:szCs w:val="16"/>
            <w:vertAlign w:val="superscript"/>
          </w:rPr>
          <w:t>20</w:t>
        </w:r>
      </w:hyperlink>
      <w:r w:rsidRPr="002868F3">
        <w:rPr>
          <w:rFonts w:asciiTheme="minorHAnsi" w:hAnsiTheme="minorHAnsi" w:cstheme="minorHAnsi"/>
          <w:sz w:val="12"/>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Watal responded: “No. It won’t. That’s clear.”</w:t>
      </w:r>
      <w:hyperlink r:id="rId52" w:anchor="Fn21" w:history="1">
        <w:r w:rsidRPr="002868F3">
          <w:rPr>
            <w:rStyle w:val="Hyperlink"/>
            <w:rFonts w:asciiTheme="minorHAnsi" w:hAnsiTheme="minorHAnsi" w:cstheme="minorHAnsi"/>
            <w:sz w:val="12"/>
            <w:szCs w:val="16"/>
            <w:vertAlign w:val="superscript"/>
          </w:rPr>
          <w:t>21</w:t>
        </w:r>
      </w:hyperlink>
      <w:r w:rsidRPr="002868F3">
        <w:rPr>
          <w:rFonts w:asciiTheme="minorHAnsi" w:hAnsiTheme="minorHAnsi" w:cstheme="minorHAnsi"/>
          <w:sz w:val="12"/>
          <w:szCs w:val="16"/>
        </w:rPr>
        <w:t xml:space="preserve"> I share Watal’s view and do not support a TRIPS waiver for IPRs or even a limited waiver for patents</w:t>
      </w:r>
      <w:r w:rsidRPr="002868F3">
        <w:rPr>
          <w:rFonts w:asciiTheme="minorHAnsi" w:hAnsiTheme="minorHAnsi" w:cstheme="minorHAnsi"/>
          <w:sz w:val="12"/>
        </w:rPr>
        <w:t xml:space="preserve">. </w:t>
      </w:r>
      <w:r w:rsidRPr="00F56BCC">
        <w:rPr>
          <w:rFonts w:asciiTheme="minorHAnsi" w:hAnsiTheme="minorHAnsi" w:cstheme="minorHAnsi"/>
          <w:u w:val="single"/>
        </w:rPr>
        <w:t xml:space="preserve">With evidence mounting that “what </w:t>
      </w:r>
      <w:r w:rsidRPr="00450842">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450842">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450842">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450842">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450842">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450842">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450842">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53" w:anchor="Fn22" w:history="1">
        <w:r w:rsidRPr="00F56BCC">
          <w:rPr>
            <w:rStyle w:val="Hyperlink"/>
            <w:rFonts w:asciiTheme="minorHAnsi"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54" w:anchor="Fn23" w:history="1">
        <w:r w:rsidRPr="00F56BCC">
          <w:rPr>
            <w:rStyle w:val="Hyperlink"/>
            <w:rFonts w:asciiTheme="minorHAnsi" w:hAnsiTheme="minorHAnsi" w:cstheme="minorHAnsi"/>
            <w:u w:val="single"/>
            <w:vertAlign w:val="superscript"/>
          </w:rPr>
          <w:t>23</w:t>
        </w:r>
      </w:hyperlink>
      <w:r w:rsidRPr="00F56BCC">
        <w:rPr>
          <w:rFonts w:asciiTheme="minorHAnsi" w:hAnsiTheme="minorHAnsi" w:cstheme="minorHAnsi"/>
          <w:u w:val="single"/>
        </w:rPr>
        <w:t xml:space="preserve"> </w:t>
      </w:r>
      <w:r w:rsidRPr="00450842">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450842">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450842">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55" w:anchor="Fn24" w:history="1">
        <w:r w:rsidRPr="00F56BCC">
          <w:rPr>
            <w:rStyle w:val="Hyperlink"/>
            <w:rFonts w:asciiTheme="minorHAnsi" w:hAnsiTheme="minorHAnsi" w:cstheme="minorHAnsi"/>
            <w:u w:val="single"/>
            <w:vertAlign w:val="superscript"/>
          </w:rPr>
          <w:t>24</w:t>
        </w:r>
      </w:hyperlink>
      <w:r w:rsidRPr="002868F3">
        <w:rPr>
          <w:rFonts w:asciiTheme="minorHAnsi" w:hAnsiTheme="minorHAnsi" w:cstheme="minorHAnsi"/>
          <w:sz w:val="12"/>
        </w:rPr>
        <w:t xml:space="preserve"> </w:t>
      </w:r>
      <w:r w:rsidRPr="002868F3">
        <w:rPr>
          <w:rFonts w:asciiTheme="minorHAnsi" w:hAnsiTheme="minorHAnsi" w:cstheme="minorHAnsi"/>
          <w:sz w:val="12"/>
          <w:szCs w:val="16"/>
        </w:rPr>
        <w:t xml:space="preserve">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w:t>
      </w:r>
      <w:proofErr w:type="spellStart"/>
      <w:r w:rsidRPr="002868F3">
        <w:rPr>
          <w:rFonts w:asciiTheme="minorHAnsi" w:hAnsiTheme="minorHAnsi" w:cstheme="minorHAnsi"/>
          <w:sz w:val="12"/>
          <w:szCs w:val="16"/>
        </w:rPr>
        <w:t>th</w:t>
      </w:r>
      <w:proofErr w:type="spellEnd"/>
      <w:r w:rsidRPr="009E0C6B">
        <w:t xml:space="preserve"> </w:t>
      </w:r>
      <w:r>
        <w:t>TRIPS IP rights are key for innovation</w:t>
      </w:r>
    </w:p>
    <w:p w14:paraId="3115B128" w14:textId="77777777" w:rsidR="00491441" w:rsidRDefault="00491441" w:rsidP="00491441">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56" w:anchor="does-novel-virus-present-novel-issues" w:history="1">
        <w:r w:rsidRPr="00A07B71">
          <w:rPr>
            <w:rStyle w:val="Hyperlink"/>
          </w:rPr>
          <w:t>https://www.cato.org/free-trade-bulletin/unnecessary-proposal-wto-waiver-intellectual-property-rights-covid-19-vaccines#does-novel-virus-present-novel-issues</w:t>
        </w:r>
      </w:hyperlink>
    </w:p>
    <w:p w14:paraId="283A2B4B" w14:textId="77777777" w:rsidR="00491441" w:rsidRDefault="00491441" w:rsidP="00491441">
      <w:r>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this </w:t>
      </w:r>
      <w:r w:rsidRPr="00F22002">
        <w:rPr>
          <w:rStyle w:val="StyleUnderline"/>
          <w:highlight w:val="green"/>
        </w:rPr>
        <w:t>lengthy WTO dispute</w:t>
      </w:r>
      <w:r w:rsidRPr="00440FD6">
        <w:rPr>
          <w:rStyle w:val="StyleUnderline"/>
        </w:rPr>
        <w:t xml:space="preserve"> has largely been </w:t>
      </w:r>
      <w:r w:rsidRPr="00F22002">
        <w:rPr>
          <w:rStyle w:val="StyleUnderline"/>
          <w:highlight w:val="green"/>
        </w:rPr>
        <w:t>between developed countries trying to uphold IP rights</w:t>
      </w:r>
      <w:r w:rsidRPr="00440FD6">
        <w:rPr>
          <w:rStyle w:val="StyleUnderline"/>
        </w:rPr>
        <w:t xml:space="preserve"> and developing countries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5A9B94F7" w14:textId="77777777" w:rsidR="00491441" w:rsidRDefault="00491441" w:rsidP="00491441">
      <w:pPr>
        <w:pStyle w:val="Heading4"/>
      </w:pPr>
      <w:r>
        <w:t xml:space="preserve">Weakening patents is worse – eliminates funds for R&amp;D and halts pharma innovations that prevents an effective development of a right to health. </w:t>
      </w:r>
    </w:p>
    <w:p w14:paraId="1DAEB4D4" w14:textId="77777777" w:rsidR="00491441" w:rsidRPr="00D55268" w:rsidRDefault="00491441" w:rsidP="00491441">
      <w:r w:rsidRPr="00D377CD">
        <w:t>Sarah</w:t>
      </w:r>
      <w:r>
        <w:rPr>
          <w:rStyle w:val="Style13ptBold"/>
        </w:rPr>
        <w:t xml:space="preserve"> </w:t>
      </w:r>
      <w:r w:rsidRPr="00B909E5">
        <w:rPr>
          <w:rStyle w:val="Style13ptBold"/>
        </w:rPr>
        <w:t>Joseph</w:t>
      </w:r>
      <w:r>
        <w:rPr>
          <w:rStyle w:val="Style13ptBold"/>
        </w:rPr>
        <w:t xml:space="preserve"> 11</w:t>
      </w:r>
      <w:r>
        <w:t xml:space="preserve">, </w:t>
      </w:r>
      <w:r w:rsidRPr="00B909E5">
        <w:t>Professor of Human Rights Law, and the Director of the Castan Centre for Human Rights Law at Monash University</w:t>
      </w:r>
      <w:r>
        <w:t xml:space="preserve">, Sarah, “Blame it on the WTO?” </w:t>
      </w:r>
      <w:r w:rsidRPr="00B909E5">
        <w:t>http://www.oxfordscholarship.com/view/10.1093/acprof:oso/9780199565894.001.0001/acprof-9780199565894-chapter-8#acprof-9780199565894-note-1350</w:t>
      </w:r>
    </w:p>
    <w:p w14:paraId="525BEE79" w14:textId="77777777" w:rsidR="00491441" w:rsidRPr="003A7014" w:rsidRDefault="00491441" w:rsidP="00491441">
      <w:pPr>
        <w:rPr>
          <w:sz w:val="10"/>
        </w:rPr>
      </w:pPr>
      <w:r w:rsidRPr="00D5526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D55268">
        <w:rPr>
          <w:sz w:val="12"/>
        </w:rPr>
        <w:t>favour</w:t>
      </w:r>
      <w:proofErr w:type="spellEnd"/>
      <w:r w:rsidRPr="00D55268">
        <w:rPr>
          <w:sz w:val="12"/>
        </w:rPr>
        <w:t xml:space="preserve"> of patents.45 </w:t>
      </w:r>
      <w:r w:rsidRPr="00F22002">
        <w:rPr>
          <w:rStyle w:val="StyleUnderline"/>
          <w:highlight w:val="green"/>
        </w:rPr>
        <w:t>Patents</w:t>
      </w:r>
      <w:r w:rsidRPr="00D55268">
        <w:rPr>
          <w:rStyle w:val="StyleUnderline"/>
        </w:rPr>
        <w:t xml:space="preserve"> reward people for their inventions</w:t>
      </w:r>
      <w:r w:rsidRPr="00D55268">
        <w:rPr>
          <w:sz w:val="12"/>
        </w:rPr>
        <w:t xml:space="preserve">, thus </w:t>
      </w:r>
      <w:r w:rsidRPr="00F22002">
        <w:rPr>
          <w:rStyle w:val="Emphasis"/>
          <w:highlight w:val="green"/>
        </w:rPr>
        <w:t>encouraging creativity and innovation</w:t>
      </w:r>
      <w:r w:rsidRPr="00D55268">
        <w:rPr>
          <w:rStyle w:val="Emphasis"/>
        </w:rPr>
        <w:t>.</w:t>
      </w:r>
      <w:r w:rsidRPr="00D55268">
        <w:rPr>
          <w:sz w:val="12"/>
        </w:rPr>
        <w:t xml:space="preserve"> </w:t>
      </w:r>
      <w:r w:rsidRPr="00D55268">
        <w:rPr>
          <w:rStyle w:val="StyleUnderline"/>
        </w:rPr>
        <w:t>Patents operate on the assumption that</w:t>
      </w:r>
      <w:r w:rsidRPr="00D55268">
        <w:rPr>
          <w:sz w:val="12"/>
        </w:rPr>
        <w:t xml:space="preserve"> </w:t>
      </w:r>
      <w:r w:rsidRPr="00D55268">
        <w:rPr>
          <w:rStyle w:val="StyleUnderline"/>
        </w:rPr>
        <w:t>people are not</w:t>
      </w:r>
      <w:r w:rsidRPr="00D55268">
        <w:rPr>
          <w:sz w:val="12"/>
        </w:rPr>
        <w:t xml:space="preserve"> </w:t>
      </w:r>
      <w:r w:rsidRPr="00D55268">
        <w:rPr>
          <w:rStyle w:val="StyleUnderline"/>
        </w:rPr>
        <w:t xml:space="preserve">inherently altruistic, and expect rewards for their </w:t>
      </w:r>
      <w:proofErr w:type="spellStart"/>
      <w:r w:rsidRPr="00D55268">
        <w:rPr>
          <w:rStyle w:val="StyleUnderline"/>
        </w:rPr>
        <w:t>endeavours</w:t>
      </w:r>
      <w:proofErr w:type="spellEnd"/>
      <w:r w:rsidRPr="00D55268">
        <w:rPr>
          <w:sz w:val="12"/>
        </w:rPr>
        <w:t xml:space="preserve">, </w:t>
      </w:r>
      <w:r w:rsidRPr="00D55268">
        <w:rPr>
          <w:rStyle w:val="StyleUnderline"/>
        </w:rPr>
        <w:t>especially when those</w:t>
      </w:r>
      <w:r w:rsidRPr="00D55268">
        <w:rPr>
          <w:sz w:val="12"/>
        </w:rPr>
        <w:t xml:space="preserve"> </w:t>
      </w:r>
      <w:proofErr w:type="spellStart"/>
      <w:r w:rsidRPr="00D55268">
        <w:rPr>
          <w:sz w:val="12"/>
        </w:rPr>
        <w:t>endeavours</w:t>
      </w:r>
      <w:proofErr w:type="spellEnd"/>
      <w:r w:rsidRPr="00D55268">
        <w:rPr>
          <w:sz w:val="12"/>
        </w:rPr>
        <w:t xml:space="preserve"> </w:t>
      </w:r>
      <w:r w:rsidRPr="00D55268">
        <w:rPr>
          <w:rStyle w:val="Emphasis"/>
        </w:rPr>
        <w:t>are risky as they may, and often do, result in costly failure</w:t>
      </w:r>
      <w:r w:rsidRPr="00D55268">
        <w:rPr>
          <w:sz w:val="12"/>
        </w:rPr>
        <w:t xml:space="preserve">.46 Furthermore, </w:t>
      </w:r>
      <w:r w:rsidRPr="00D55268">
        <w:rPr>
          <w:rStyle w:val="StyleUnderline"/>
        </w:rPr>
        <w:t xml:space="preserve">the money raised from </w:t>
      </w:r>
      <w:r w:rsidRPr="00F22002">
        <w:rPr>
          <w:rStyle w:val="StyleUnderline"/>
          <w:highlight w:val="green"/>
        </w:rPr>
        <w:t>patent protection is</w:t>
      </w:r>
      <w:r w:rsidRPr="00D55268">
        <w:rPr>
          <w:rStyle w:val="StyleUnderline"/>
        </w:rPr>
        <w:t xml:space="preserve"> </w:t>
      </w:r>
      <w:r w:rsidRPr="00D55268">
        <w:rPr>
          <w:sz w:val="12"/>
        </w:rPr>
        <w:t xml:space="preserve">said to be </w:t>
      </w:r>
      <w:r w:rsidRPr="00F22002">
        <w:rPr>
          <w:rStyle w:val="Emphasis"/>
          <w:highlight w:val="green"/>
        </w:rPr>
        <w:t>necessary to fund</w:t>
      </w:r>
      <w:r w:rsidRPr="00D55268">
        <w:rPr>
          <w:rStyle w:val="Emphasis"/>
        </w:rPr>
        <w:t xml:space="preserve"> the considerable costs of research and development (</w:t>
      </w:r>
      <w:r w:rsidRPr="00F22002">
        <w:rPr>
          <w:rStyle w:val="Emphasis"/>
          <w:highlight w:val="green"/>
        </w:rPr>
        <w:t>R&amp;D</w:t>
      </w:r>
      <w:r w:rsidRPr="00D55268">
        <w:rPr>
          <w:rStyle w:val="Emphasis"/>
        </w:rPr>
        <w:t>).</w:t>
      </w:r>
      <w:r w:rsidRPr="00D55268">
        <w:rPr>
          <w:sz w:val="12"/>
        </w:rPr>
        <w:t xml:space="preserve">47 </w:t>
      </w:r>
      <w:r w:rsidRPr="00D55268">
        <w:rPr>
          <w:rStyle w:val="StyleUnderline"/>
        </w:rPr>
        <w:t xml:space="preserve">Therefore, </w:t>
      </w:r>
      <w:r w:rsidRPr="00F22002">
        <w:rPr>
          <w:rStyle w:val="StyleUnderline"/>
          <w:highlight w:val="green"/>
        </w:rPr>
        <w:t xml:space="preserve">without patents, </w:t>
      </w:r>
      <w:r w:rsidRPr="00F22002">
        <w:rPr>
          <w:rStyle w:val="Emphasis"/>
          <w:highlight w:val="green"/>
        </w:rPr>
        <w:t>innovation in the pharmaceutical field</w:t>
      </w:r>
      <w:r w:rsidRPr="00D55268">
        <w:rPr>
          <w:rStyle w:val="Emphasis"/>
        </w:rPr>
        <w:t xml:space="preserve"> </w:t>
      </w:r>
      <w:r w:rsidRPr="00D55268">
        <w:rPr>
          <w:sz w:val="12"/>
        </w:rPr>
        <w:t xml:space="preserve">(or any industrial field) </w:t>
      </w:r>
      <w:r w:rsidRPr="00D55268">
        <w:rPr>
          <w:rStyle w:val="Emphasis"/>
        </w:rPr>
        <w:t xml:space="preserve">might </w:t>
      </w:r>
      <w:r w:rsidRPr="00F22002">
        <w:rPr>
          <w:rStyle w:val="Emphasis"/>
          <w:highlight w:val="green"/>
        </w:rPr>
        <w:t>grind to a standstill</w:t>
      </w:r>
      <w:r w:rsidRPr="00D55268">
        <w:rPr>
          <w:rStyle w:val="Emphasis"/>
        </w:rPr>
        <w:t>.</w:t>
      </w:r>
      <w:r w:rsidRPr="00D55268">
        <w:rPr>
          <w:sz w:val="12"/>
        </w:rPr>
        <w:t xml:space="preserve"> W</w:t>
      </w:r>
      <w:r w:rsidRPr="00D55268">
        <w:rPr>
          <w:rStyle w:val="StyleUnderline"/>
        </w:rPr>
        <w:t>hile it is true that the high prices generated by patent protection may render access to drugs selective</w:t>
      </w:r>
      <w:r w:rsidRPr="00D55268">
        <w:rPr>
          <w:sz w:val="12"/>
        </w:rPr>
        <w:t xml:space="preserve">, (p.221) </w:t>
      </w:r>
      <w:r w:rsidRPr="00D55268">
        <w:rPr>
          <w:rStyle w:val="StyleUnderline"/>
        </w:rPr>
        <w:t xml:space="preserve">it is nevertheless </w:t>
      </w:r>
      <w:r w:rsidRPr="00F22002">
        <w:rPr>
          <w:rStyle w:val="Emphasis"/>
          <w:highlight w:val="green"/>
        </w:rPr>
        <w:t>better that a drug is available to some rather than non-existent</w:t>
      </w:r>
      <w:r w:rsidRPr="00D55268">
        <w:rPr>
          <w:rStyle w:val="Emphasis"/>
        </w:rPr>
        <w:t xml:space="preserve"> and available to no one</w:t>
      </w:r>
      <w:r w:rsidRPr="00D55268">
        <w:rPr>
          <w:sz w:val="12"/>
        </w:rPr>
        <w:t>.</w:t>
      </w:r>
      <w:r>
        <w:rPr>
          <w:sz w:val="12"/>
        </w:rPr>
        <w:t xml:space="preserve"> </w:t>
      </w:r>
      <w:r w:rsidRPr="00D55268">
        <w:rPr>
          <w:rStyle w:val="StyleUnderline"/>
        </w:rPr>
        <w:t xml:space="preserve">The global extension of patent law mandated by TRIPS helps to ensure that patents are not undermined by the sale of competing pirated copies. Furthermore, </w:t>
      </w:r>
      <w:r w:rsidRPr="00F22002">
        <w:rPr>
          <w:rStyle w:val="StyleUnderline"/>
          <w:highlight w:val="green"/>
        </w:rPr>
        <w:t>global IP regimes</w:t>
      </w:r>
      <w:r w:rsidRPr="00D55268">
        <w:rPr>
          <w:rStyle w:val="StyleUnderline"/>
        </w:rPr>
        <w:t xml:space="preserve"> should theoretically </w:t>
      </w:r>
      <w:r w:rsidRPr="00F22002">
        <w:rPr>
          <w:rStyle w:val="Emphasis"/>
          <w:highlight w:val="green"/>
        </w:rPr>
        <w:t>encourage greater technology</w:t>
      </w:r>
      <w:r w:rsidRPr="00F22002">
        <w:rPr>
          <w:sz w:val="10"/>
          <w:highlight w:val="green"/>
        </w:rPr>
        <w:t xml:space="preserve"> </w:t>
      </w:r>
      <w:r w:rsidRPr="00F22002">
        <w:rPr>
          <w:rStyle w:val="Emphasis"/>
          <w:highlight w:val="green"/>
        </w:rPr>
        <w:t>transfer</w:t>
      </w:r>
      <w:r w:rsidRPr="00D55268">
        <w:rPr>
          <w:sz w:val="10"/>
        </w:rPr>
        <w:t xml:space="preserve"> between countries, greater foreign direct investment, and </w:t>
      </w:r>
      <w:r w:rsidRPr="00F22002">
        <w:rPr>
          <w:rStyle w:val="Emphasis"/>
          <w:highlight w:val="green"/>
        </w:rPr>
        <w:t>greater local innovation</w:t>
      </w:r>
      <w:r w:rsidRPr="00D55268">
        <w:rPr>
          <w:sz w:val="10"/>
        </w:rPr>
        <w:t xml:space="preserve"> within compliant states.48 </w:t>
      </w:r>
      <w:r w:rsidRPr="00D55268">
        <w:rPr>
          <w:rStyle w:val="StyleUnderline"/>
        </w:rPr>
        <w:t xml:space="preserve">All of these outcomes </w:t>
      </w:r>
      <w:r w:rsidRPr="00D55268">
        <w:rPr>
          <w:rStyle w:val="Emphasis"/>
        </w:rPr>
        <w:t xml:space="preserve">should </w:t>
      </w:r>
      <w:r w:rsidRPr="00F22002">
        <w:rPr>
          <w:rStyle w:val="Emphasis"/>
          <w:highlight w:val="green"/>
        </w:rPr>
        <w:t>accelerate</w:t>
      </w:r>
      <w:r w:rsidRPr="00D55268">
        <w:rPr>
          <w:rStyle w:val="Emphasis"/>
        </w:rPr>
        <w:t xml:space="preserve"> the </w:t>
      </w:r>
      <w:r w:rsidRPr="00F22002">
        <w:rPr>
          <w:rStyle w:val="Emphasis"/>
          <w:highlight w:val="green"/>
        </w:rPr>
        <w:t>economic development of poor countries</w:t>
      </w:r>
      <w:r w:rsidRPr="00D55268">
        <w:rPr>
          <w:rStyle w:val="Emphasis"/>
        </w:rPr>
        <w:t>,</w:t>
      </w:r>
      <w:r w:rsidRPr="00D55268">
        <w:rPr>
          <w:sz w:val="10"/>
        </w:rPr>
        <w:t xml:space="preserve"> </w:t>
      </w:r>
      <w:r w:rsidRPr="00F22002">
        <w:rPr>
          <w:rStyle w:val="Emphasis"/>
          <w:highlight w:val="green"/>
        </w:rPr>
        <w:t>with positive knock-on</w:t>
      </w:r>
      <w:r w:rsidRPr="00D55268">
        <w:rPr>
          <w:rStyle w:val="Emphasis"/>
        </w:rPr>
        <w:t xml:space="preserve"> effects </w:t>
      </w:r>
      <w:r w:rsidRPr="00F22002">
        <w:rPr>
          <w:rStyle w:val="Emphasis"/>
          <w:highlight w:val="green"/>
        </w:rPr>
        <w:t>for human rights</w:t>
      </w:r>
      <w:r w:rsidRPr="00D55268">
        <w:rPr>
          <w:rStyle w:val="Emphasis"/>
        </w:rPr>
        <w:t>.</w:t>
      </w:r>
      <w:r>
        <w:rPr>
          <w:rStyle w:val="Emphasis"/>
        </w:rPr>
        <w:t xml:space="preserve"> </w:t>
      </w:r>
      <w:r w:rsidRPr="00D55268">
        <w:rPr>
          <w:sz w:val="10"/>
        </w:rPr>
        <w:t xml:space="preserve">Thus, perhaps it is arguable that </w:t>
      </w:r>
      <w:r w:rsidRPr="00D55268">
        <w:rPr>
          <w:rStyle w:val="StyleUnderline"/>
        </w:rPr>
        <w:t xml:space="preserve">pharmaceutical patents are </w:t>
      </w:r>
      <w:r w:rsidRPr="00D55268">
        <w:rPr>
          <w:rStyle w:val="Emphasis"/>
        </w:rPr>
        <w:t>justifiable under international human rights law</w:t>
      </w:r>
      <w:r w:rsidRPr="00D55268">
        <w:rPr>
          <w:sz w:val="10"/>
        </w:rPr>
        <w:t xml:space="preserve">, </w:t>
      </w:r>
      <w:r w:rsidRPr="00D55268">
        <w:rPr>
          <w:rStyle w:val="StyleUnderline"/>
        </w:rPr>
        <w:t xml:space="preserve">as they promote R&amp;D which is essential for </w:t>
      </w:r>
      <w:r w:rsidRPr="00D55268">
        <w:rPr>
          <w:rStyle w:val="Emphasis"/>
        </w:rPr>
        <w:t>the future enhancement of rights to life and health.</w:t>
      </w:r>
      <w:r w:rsidRPr="00D55268">
        <w:rPr>
          <w:sz w:val="10"/>
        </w:rPr>
        <w:t xml:space="preserve"> Furthermore, to the extent that they are held by natural persons, they are one way of protecting that person’s rights under Article 15(1)(c) of the ICESCR.</w:t>
      </w:r>
    </w:p>
    <w:p w14:paraId="2BD88069" w14:textId="77777777" w:rsidR="00491441" w:rsidRPr="002868F3" w:rsidRDefault="00491441" w:rsidP="00491441">
      <w:pPr>
        <w:pStyle w:val="p"/>
        <w:spacing w:line="276" w:lineRule="auto"/>
        <w:rPr>
          <w:rFonts w:asciiTheme="minorHAnsi" w:hAnsiTheme="minorHAnsi" w:cstheme="minorHAnsi"/>
          <w:sz w:val="12"/>
          <w:szCs w:val="16"/>
        </w:rPr>
      </w:pPr>
      <w:r w:rsidRPr="002868F3">
        <w:rPr>
          <w:rFonts w:asciiTheme="minorHAnsi" w:hAnsiTheme="minorHAnsi" w:cstheme="minorHAnsi"/>
          <w:sz w:val="12"/>
          <w:szCs w:val="16"/>
        </w:rPr>
        <w:t>e golden egg may seem appealing to some in the short term but will only ensure that no eggs are delivered in the next pandemic.</w:t>
      </w:r>
    </w:p>
    <w:p w14:paraId="2BC2F790" w14:textId="77777777" w:rsidR="00491441" w:rsidRPr="00492402" w:rsidRDefault="00491441" w:rsidP="00491441"/>
    <w:p w14:paraId="71A02AB9" w14:textId="77777777" w:rsidR="00491441" w:rsidRPr="004B4FA3" w:rsidRDefault="00491441" w:rsidP="00491441"/>
    <w:p w14:paraId="4E45BCF2" w14:textId="77777777" w:rsidR="00120375" w:rsidRDefault="00120375"/>
    <w:sectPr w:rsidR="00120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375"/>
    <w:rsid w:val="00120375"/>
    <w:rsid w:val="00491441"/>
    <w:rsid w:val="006C221B"/>
    <w:rsid w:val="008C7621"/>
    <w:rsid w:val="00DE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FAC6A"/>
  <w15:chartTrackingRefBased/>
  <w15:docId w15:val="{06572F42-F699-481E-92BE-0D47AB75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0375"/>
    <w:rPr>
      <w:rFonts w:ascii="Calibri" w:hAnsi="Calibri"/>
    </w:rPr>
  </w:style>
  <w:style w:type="paragraph" w:styleId="Heading1">
    <w:name w:val="heading 1"/>
    <w:aliases w:val="Pocket"/>
    <w:basedOn w:val="Normal"/>
    <w:next w:val="Normal"/>
    <w:link w:val="Heading1Char"/>
    <w:qFormat/>
    <w:rsid w:val="001203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03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1203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Ch1"/>
    <w:basedOn w:val="Normal"/>
    <w:next w:val="Normal"/>
    <w:link w:val="Heading4Char"/>
    <w:uiPriority w:val="3"/>
    <w:unhideWhenUsed/>
    <w:qFormat/>
    <w:rsid w:val="001203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0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375"/>
  </w:style>
  <w:style w:type="character" w:customStyle="1" w:styleId="Heading1Char">
    <w:name w:val="Heading 1 Char"/>
    <w:aliases w:val="Pocket Char"/>
    <w:basedOn w:val="DefaultParagraphFont"/>
    <w:link w:val="Heading1"/>
    <w:rsid w:val="001203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0375"/>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12037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120375"/>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2037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037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6"/>
    <w:qFormat/>
    <w:rsid w:val="00120375"/>
    <w:rPr>
      <w:b w:val="0"/>
      <w:sz w:val="22"/>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120375"/>
    <w:rPr>
      <w:color w:val="auto"/>
      <w:u w:val="none"/>
    </w:rPr>
  </w:style>
  <w:style w:type="character" w:styleId="FollowedHyperlink">
    <w:name w:val="FollowedHyperlink"/>
    <w:basedOn w:val="DefaultParagraphFont"/>
    <w:uiPriority w:val="99"/>
    <w:semiHidden/>
    <w:unhideWhenUsed/>
    <w:rsid w:val="00120375"/>
    <w:rPr>
      <w:color w:val="auto"/>
      <w:u w:val="none"/>
    </w:rPr>
  </w:style>
  <w:style w:type="paragraph" w:customStyle="1" w:styleId="textbold">
    <w:name w:val="text bold"/>
    <w:basedOn w:val="Normal"/>
    <w:link w:val="Emphasis"/>
    <w:uiPriority w:val="7"/>
    <w:qFormat/>
    <w:rsid w:val="00491441"/>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491441"/>
    <w:pPr>
      <w:spacing w:before="100" w:beforeAutospacing="1" w:after="100" w:afterAutospacing="1"/>
    </w:pPr>
    <w:rPr>
      <w:rFonts w:eastAsiaTheme="minorEastAsia"/>
    </w:rPr>
  </w:style>
  <w:style w:type="paragraph" w:styleId="NoSpacing">
    <w:name w:val="No Spacing"/>
    <w:aliases w:val="Card Format,ClearFormatting,DDI Tag,Tag Title,Dont use,Tag and Cite,No Spacing31,No Spacing22,No Spacing41,No Spacing6,No Spacing7,Very Small Text,No Spacing8,Dont u,No Spacing311,Medium Grid 21,tag,Card,Tags"/>
    <w:basedOn w:val="Heading1"/>
    <w:link w:val="Hyperlink"/>
    <w:autoRedefine/>
    <w:uiPriority w:val="99"/>
    <w:qFormat/>
    <w:rsid w:val="004914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491441"/>
    <w:rPr>
      <w:rFonts w:ascii="Calibri" w:eastAsiaTheme="minorEastAsia" w:hAnsi="Calibri"/>
    </w:rPr>
  </w:style>
  <w:style w:type="paragraph" w:customStyle="1" w:styleId="Emphasis1">
    <w:name w:val="Emphasis1"/>
    <w:basedOn w:val="Normal"/>
    <w:autoRedefine/>
    <w:uiPriority w:val="7"/>
    <w:qFormat/>
    <w:rsid w:val="0049144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491441"/>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ookings.edu/wp-content/uploads/2020/04/FP_20200427_china_biotechnology_moore.pdf" TargetMode="External"/><Relationship Id="rId18" Type="http://schemas.openxmlformats.org/officeDocument/2006/relationships/hyperlink" Target="https://www.technologyreview.com/s/600774/top-us-intelligence-official-calls-gene-editing-a-wmd-threat/" TargetMode="External"/><Relationship Id="rId26" Type="http://schemas.openxmlformats.org/officeDocument/2006/relationships/hyperlink" Target="https://www.wsj.com/articles/how-the-u-s-surrendered-to-china-on-scientific-research-11555666200"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globaltimes.cn/content/1190615.shtml"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7" Type="http://schemas.openxmlformats.org/officeDocument/2006/relationships/hyperlink" Target="https://www.efpia.eu/media/554521/efpia_pharmafigures_2020_web.pdf" TargetMode="External"/><Relationship Id="rId2" Type="http://schemas.openxmlformats.org/officeDocument/2006/relationships/styles" Target="styles.xml"/><Relationship Id="rId16" Type="http://schemas.openxmlformats.org/officeDocument/2006/relationships/hyperlink" Target="https://www.nature.com/articles/d41586-020-03476-x" TargetMode="External"/><Relationship Id="rId29" Type="http://schemas.openxmlformats.org/officeDocument/2006/relationships/hyperlink" Target="https://www.bis.doc.gov/index.php/documents/regulations-docs/2332-category-1-materials-chemicals-microorganisms-and-toxins-4/file" TargetMode="External"/><Relationship Id="rId11" Type="http://schemas.openxmlformats.org/officeDocument/2006/relationships/hyperlink" Target="https://www.bakersfield.com/opinion/erik-paulsen-we-can-save-the-world-with-our-vaccines-without-surrendering-our-ip-to/article_b0b87692-df61-11eb-9a13-d7fa02eefaee.html%5d//Lex" TargetMode="External"/><Relationship Id="rId24" Type="http://schemas.openxmlformats.org/officeDocument/2006/relationships/hyperlink" Target="https://www.nytimes.com/2021/01/13/business/chinese-vaccine-brazil-sinovac.html"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ncbi.nlm.nih.gov/pmc/articles/PMC8223179/" TargetMode="External"/><Relationship Id="rId58" Type="http://schemas.openxmlformats.org/officeDocument/2006/relationships/theme" Target="theme/theme1.xml"/><Relationship Id="rId5" Type="http://schemas.openxmlformats.org/officeDocument/2006/relationships/image" Target="media/image1.png"/><Relationship Id="rId19" Type="http://schemas.openxmlformats.org/officeDocument/2006/relationships/hyperlink" Target="https://www.wsj.com/articles/china-is-national-security-threat-no-1-11607019599" TargetMode="External"/><Relationship Id="rId4" Type="http://schemas.openxmlformats.org/officeDocument/2006/relationships/webSettings" Target="webSettings.xml"/><Relationship Id="rId9" Type="http://schemas.openxmlformats.org/officeDocument/2006/relationships/hyperlink" Target="https://www.bloomberg.com/news/articles/2021-03-01/xi-mobilizes-china-for-tech-revolution-to-cut-dependence-on-west" TargetMode="External"/><Relationship Id="rId14" Type="http://schemas.openxmlformats.org/officeDocument/2006/relationships/hyperlink" Target="https://itif.org/publications/2018/03/26/how-ensure-americas-life-sciences-sector-remains-globally-competitive" TargetMode="External"/><Relationship Id="rId22" Type="http://schemas.openxmlformats.org/officeDocument/2006/relationships/hyperlink" Target="https://www.sciencemag.org/news/2020/11/global-push-covid-19-vaccines-china-aims-win-friends-and-cut-deals" TargetMode="External"/><Relationship Id="rId27" Type="http://schemas.openxmlformats.org/officeDocument/2006/relationships/hyperlink" Target="https://www.startus-insights.com/innovators-guide/biotech-innovation-map-reveals-emerging-technologies-startups/" TargetMode="External"/><Relationship Id="rId30" Type="http://schemas.openxmlformats.org/officeDocument/2006/relationships/hyperlink" Target="https://www.brinknews.com/what-just-happened-at-the-wto-everything-you-need-to-know/"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cato.org/free-trade-bulletin/unnecessary-proposal-wto-waiver-intellectual-property-rights-covid-19-vaccines" TargetMode="External"/><Relationship Id="rId8" Type="http://schemas.openxmlformats.org/officeDocument/2006/relationships/hyperlink" Target="https://www.cbo.gov/publication/57126" TargetMode="External"/><Relationship Id="rId51" Type="http://schemas.openxmlformats.org/officeDocument/2006/relationships/hyperlink" Target="https://www.ncbi.nlm.nih.gov/pmc/articles/PMC8223179/" TargetMode="External"/><Relationship Id="rId3" Type="http://schemas.openxmlformats.org/officeDocument/2006/relationships/settings" Target="settings.xml"/><Relationship Id="rId12" Type="http://schemas.openxmlformats.org/officeDocument/2006/relationships/hyperlink" Target="https://phys.org/news/2020-10-america-edge-peril.html" TargetMode="External"/><Relationship Id="rId17" Type="http://schemas.openxmlformats.org/officeDocument/2006/relationships/hyperlink" Target="https://foreignpolicy.com/2019/11/08/cloning-crispr-he-jiankui-china-biotech-boom-could-transform-lives-destroy-them/"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20" Type="http://schemas.openxmlformats.org/officeDocument/2006/relationships/hyperlink" Target="https://www.brookings.edu/wp-content/uploads/2020/04/FP_20200427_china_biotechnology_moore.pdf"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ncbi.nlm.nih.gov/pmc/articles/PMC8223179/" TargetMode="External"/><Relationship Id="rId1" Type="http://schemas.openxmlformats.org/officeDocument/2006/relationships/numbering" Target="numbering.xml"/><Relationship Id="rId6" Type="http://schemas.openxmlformats.org/officeDocument/2006/relationships/hyperlink" Target="http://www.barrons.com/articles/as-washington-ties-pharmas-hands-china-is-leaping-ahead-51623438808" TargetMode="External"/><Relationship Id="rId15" Type="http://schemas.openxmlformats.org/officeDocument/2006/relationships/hyperlink" Target="https://www.cdc.gov/coronavirus/2019-ncov/vaccines/different-vaccines/mrna.html" TargetMode="External"/><Relationship Id="rId23" Type="http://schemas.openxmlformats.org/officeDocument/2006/relationships/hyperlink" Target="https://www.nytimes.com/2021/01/13/business/chinese-vaccine-brazil-sinovac.html" TargetMode="External"/><Relationship Id="rId28" Type="http://schemas.openxmlformats.org/officeDocument/2006/relationships/hyperlink" Target="https://www.jdsupra.com/legalnews/chinese-and-russian-hackers-targeting-78355/"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57" Type="http://schemas.openxmlformats.org/officeDocument/2006/relationships/fontTable" Target="fontTable.xml"/><Relationship Id="rId10" Type="http://schemas.openxmlformats.org/officeDocument/2006/relationships/hyperlink" Target="https://www.bioworld.com/articles/506978-china-sees-five-year-highs-in-life-sciences-investments-and-partnering"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35</TotalTime>
  <Pages>1</Pages>
  <Words>8488</Words>
  <Characters>48385</Characters>
  <Application>Microsoft Office Word</Application>
  <DocSecurity>0</DocSecurity>
  <Lines>403</Lines>
  <Paragraphs>113</Paragraphs>
  <ScaleCrop>false</ScaleCrop>
  <Company/>
  <LinksUpToDate>false</LinksUpToDate>
  <CharactersWithSpaces>56760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4</cp:revision>
  <dcterms:created xsi:type="dcterms:W3CDTF">2021-10-15T20:29:00Z</dcterms:created>
  <dcterms:modified xsi:type="dcterms:W3CDTF">2021-10-15T21:10:00Z</dcterms:modified>
</cp:coreProperties>
</file>