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11F5F" w14:textId="493D451F" w:rsidR="00B21BF6" w:rsidRDefault="00B21BF6" w:rsidP="00B21BF6">
      <w:pPr>
        <w:pStyle w:val="Heading2"/>
      </w:pPr>
      <w:r>
        <w:t>1</w:t>
      </w:r>
    </w:p>
    <w:p w14:paraId="518F1ED1" w14:textId="6BEA7BED" w:rsidR="00B21BF6" w:rsidRPr="00DB46AC" w:rsidRDefault="00B21BF6" w:rsidP="00B21BF6">
      <w:pPr>
        <w:pStyle w:val="Heading4"/>
        <w:rPr>
          <w:rFonts w:cs="Calibri"/>
        </w:rPr>
      </w:pPr>
      <w:r w:rsidRPr="00DB46AC">
        <w:rPr>
          <w:rFonts w:cs="Calibri"/>
        </w:rPr>
        <w:t xml:space="preserve">Interpretation: Debaters must disclose all constructive positions </w:t>
      </w:r>
      <w:r>
        <w:rPr>
          <w:rFonts w:cs="Calibri"/>
        </w:rPr>
        <w:t>first 3 last 3 in cites with links to articles and card tags as well as open source with highlights on the 2021-2022 NDCA LD Wiki</w:t>
      </w:r>
      <w:r w:rsidRPr="00DB46AC">
        <w:rPr>
          <w:rFonts w:cs="Calibri"/>
        </w:rPr>
        <w:t xml:space="preserve"> </w:t>
      </w:r>
    </w:p>
    <w:p w14:paraId="7A9E0E77" w14:textId="0389C9B1" w:rsidR="00B21BF6" w:rsidRPr="00DB46AC" w:rsidRDefault="00B21BF6" w:rsidP="00B21BF6">
      <w:pPr>
        <w:pStyle w:val="Heading4"/>
        <w:rPr>
          <w:rFonts w:cs="Calibri"/>
        </w:rPr>
      </w:pPr>
      <w:r w:rsidRPr="00DB46AC">
        <w:rPr>
          <w:rFonts w:cs="Calibri"/>
        </w:rPr>
        <w:t xml:space="preserve">Violation – </w:t>
      </w:r>
      <w:r>
        <w:rPr>
          <w:noProof/>
        </w:rPr>
        <w:drawing>
          <wp:inline distT="0" distB="0" distL="0" distR="0" wp14:anchorId="580B473F" wp14:editId="53E3ED60">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962400"/>
                    </a:xfrm>
                    <a:prstGeom prst="rect">
                      <a:avLst/>
                    </a:prstGeom>
                  </pic:spPr>
                </pic:pic>
              </a:graphicData>
            </a:graphic>
          </wp:inline>
        </w:drawing>
      </w:r>
    </w:p>
    <w:p w14:paraId="1C9DE391" w14:textId="77777777" w:rsidR="00B21BF6" w:rsidRPr="00DB46AC" w:rsidRDefault="00B21BF6" w:rsidP="00B21BF6">
      <w:pPr>
        <w:pStyle w:val="Heading4"/>
        <w:rPr>
          <w:rFonts w:cs="Calibri"/>
        </w:rPr>
      </w:pPr>
      <w:r w:rsidRPr="00DB46AC">
        <w:rPr>
          <w:rFonts w:cs="Calibri"/>
        </w:rPr>
        <w:t>1] Debate resource inequities—you’ll say people will steal cards, but that’s good—it’s the only way to truly level the playing field for students such as novices in under-privileged programs who can’t bypass paywalled articles.</w:t>
      </w:r>
    </w:p>
    <w:p w14:paraId="703000B9" w14:textId="77777777" w:rsidR="00B21BF6" w:rsidRPr="00DB46AC" w:rsidRDefault="00B21BF6" w:rsidP="00B21BF6">
      <w:r w:rsidRPr="00DB46AC">
        <w:rPr>
          <w:rStyle w:val="Style13ptBold"/>
        </w:rPr>
        <w:t>Louden 10</w:t>
      </w:r>
      <w:r w:rsidRPr="00DB46AC">
        <w:t xml:space="preserve"> – Allan D. Louden, professor of Communication at Wake Forest (“Navigating Opportunity: Policy Debate in the 21st Century” Wake Forest National Debate Conference. IDEA, 2010)</w:t>
      </w:r>
      <w:r>
        <w:t>// Lex VM</w:t>
      </w:r>
    </w:p>
    <w:p w14:paraId="7C98AB3F" w14:textId="77777777" w:rsidR="00B21BF6" w:rsidRPr="0084265A" w:rsidRDefault="00B21BF6" w:rsidP="00B21BF6">
      <w:pPr>
        <w:rPr>
          <w:sz w:val="12"/>
        </w:rPr>
      </w:pPr>
      <w:r w:rsidRPr="0084265A">
        <w:rPr>
          <w:sz w:val="12"/>
        </w:rPr>
        <w:t xml:space="preserve">Groups interested in engaging in competitive National Debate Tournament (NDT)-Cross Examination Debate Association (CEDA)-style policy debate are entering an exciting time in the debate community where </w:t>
      </w:r>
      <w:r w:rsidRPr="00DB46AC">
        <w:rPr>
          <w:b/>
          <w:bCs/>
          <w:sz w:val="26"/>
          <w:szCs w:val="26"/>
          <w:u w:val="single"/>
        </w:rPr>
        <w:t>digital resources are making research and networking increasingly accessible</w:t>
      </w:r>
      <w:r w:rsidRPr="0084265A">
        <w:rPr>
          <w:sz w:val="12"/>
        </w:rPr>
        <w:t xml:space="preserve">. Those developing programs should be encouraged to choose their own topics and resolutions, but they should also make use of the massive resources available by focusing on the official NDT-CEDA resolution. </w:t>
      </w:r>
      <w:r w:rsidRPr="00DB46AC">
        <w:rPr>
          <w:b/>
          <w:bCs/>
          <w:sz w:val="26"/>
          <w:szCs w:val="26"/>
          <w:highlight w:val="green"/>
          <w:u w:val="single"/>
        </w:rPr>
        <w:t>New initiatives in</w:t>
      </w:r>
      <w:r w:rsidRPr="00DB46AC">
        <w:rPr>
          <w:b/>
          <w:bCs/>
          <w:sz w:val="26"/>
          <w:szCs w:val="26"/>
          <w:u w:val="single"/>
        </w:rPr>
        <w:t xml:space="preserve"> the field of </w:t>
      </w:r>
      <w:r w:rsidRPr="00DB46AC">
        <w:rPr>
          <w:b/>
          <w:bCs/>
          <w:sz w:val="26"/>
          <w:szCs w:val="26"/>
          <w:highlight w:val="green"/>
          <w:u w:val="single"/>
        </w:rPr>
        <w:t>open-source</w:t>
      </w:r>
      <w:r w:rsidRPr="00DB46AC">
        <w:rPr>
          <w:b/>
          <w:bCs/>
          <w:sz w:val="26"/>
          <w:szCs w:val="26"/>
          <w:u w:val="single"/>
        </w:rPr>
        <w:t xml:space="preserve"> debate </w:t>
      </w:r>
      <w:r w:rsidRPr="00DB46AC">
        <w:rPr>
          <w:b/>
          <w:bCs/>
          <w:sz w:val="26"/>
          <w:szCs w:val="26"/>
          <w:highlight w:val="green"/>
          <w:u w:val="single"/>
        </w:rPr>
        <w:t>make evidence sharing</w:t>
      </w:r>
      <w:r w:rsidRPr="00DB46AC">
        <w:rPr>
          <w:b/>
          <w:bCs/>
          <w:sz w:val="26"/>
          <w:szCs w:val="26"/>
          <w:u w:val="single"/>
        </w:rPr>
        <w:t xml:space="preserve">, such as the Open </w:t>
      </w:r>
      <w:proofErr w:type="spellStart"/>
      <w:r w:rsidRPr="00DB46AC">
        <w:rPr>
          <w:b/>
          <w:bCs/>
          <w:sz w:val="26"/>
          <w:szCs w:val="26"/>
          <w:u w:val="single"/>
        </w:rPr>
        <w:t>Caselist</w:t>
      </w:r>
      <w:proofErr w:type="spellEnd"/>
      <w:r w:rsidRPr="00DB46AC">
        <w:rPr>
          <w:b/>
          <w:bCs/>
          <w:sz w:val="26"/>
          <w:szCs w:val="26"/>
          <w:u w:val="single"/>
        </w:rPr>
        <w:t xml:space="preserve">, </w:t>
      </w:r>
      <w:r w:rsidRPr="00DB46AC">
        <w:rPr>
          <w:b/>
          <w:bCs/>
          <w:sz w:val="26"/>
          <w:szCs w:val="26"/>
          <w:highlight w:val="green"/>
          <w:u w:val="single"/>
        </w:rPr>
        <w:t>a powerful tool for new programs to engage and compete against established teams</w:t>
      </w:r>
      <w:r w:rsidRPr="0084265A">
        <w:rPr>
          <w:sz w:val="12"/>
        </w:rPr>
        <w:t xml:space="preserve">. It is no coincidence that </w:t>
      </w:r>
      <w:r w:rsidRPr="00DB46AC">
        <w:rPr>
          <w:b/>
          <w:bCs/>
          <w:sz w:val="26"/>
          <w:szCs w:val="26"/>
          <w:u w:val="single"/>
        </w:rPr>
        <w:t xml:space="preserve">the winners of the NDT tend to be the schools with the largest coaching staffs, but the increased </w:t>
      </w:r>
      <w:r w:rsidRPr="00DB46AC">
        <w:rPr>
          <w:b/>
          <w:bCs/>
          <w:sz w:val="26"/>
          <w:szCs w:val="26"/>
          <w:highlight w:val="green"/>
          <w:u w:val="single"/>
        </w:rPr>
        <w:t>distribution</w:t>
      </w:r>
      <w:r w:rsidRPr="00DB46AC">
        <w:rPr>
          <w:b/>
          <w:bCs/>
          <w:sz w:val="26"/>
          <w:szCs w:val="26"/>
          <w:u w:val="single"/>
        </w:rPr>
        <w:t xml:space="preserve"> and free sharing </w:t>
      </w:r>
      <w:r w:rsidRPr="00DB46AC">
        <w:rPr>
          <w:b/>
          <w:bCs/>
          <w:sz w:val="26"/>
          <w:szCs w:val="26"/>
          <w:highlight w:val="green"/>
          <w:u w:val="single"/>
        </w:rPr>
        <w:t>of evidence and resources have made smaller</w:t>
      </w:r>
      <w:r w:rsidRPr="00DB46AC">
        <w:rPr>
          <w:b/>
          <w:bCs/>
          <w:sz w:val="26"/>
          <w:szCs w:val="26"/>
          <w:u w:val="single"/>
        </w:rPr>
        <w:t xml:space="preserve"> debate </w:t>
      </w:r>
      <w:r w:rsidRPr="00DB46AC">
        <w:rPr>
          <w:b/>
          <w:bCs/>
          <w:sz w:val="26"/>
          <w:szCs w:val="26"/>
          <w:highlight w:val="green"/>
          <w:u w:val="single"/>
        </w:rPr>
        <w:t xml:space="preserve">programs </w:t>
      </w:r>
      <w:r w:rsidRPr="00DB46AC">
        <w:rPr>
          <w:b/>
          <w:bCs/>
          <w:sz w:val="26"/>
          <w:szCs w:val="26"/>
          <w:u w:val="single"/>
        </w:rPr>
        <w:t xml:space="preserve">increasingly </w:t>
      </w:r>
      <w:r w:rsidRPr="00DB46AC">
        <w:rPr>
          <w:b/>
          <w:bCs/>
          <w:sz w:val="26"/>
          <w:szCs w:val="26"/>
          <w:highlight w:val="green"/>
          <w:u w:val="single"/>
        </w:rPr>
        <w:t>capable of competing against larger institutions</w:t>
      </w:r>
      <w:r w:rsidRPr="0084265A">
        <w:rPr>
          <w:sz w:val="12"/>
        </w:rPr>
        <w:t xml:space="preserve">. We are now seeing the beginnings of </w:t>
      </w:r>
      <w:r w:rsidRPr="00DB46AC">
        <w:rPr>
          <w:b/>
          <w:bCs/>
          <w:sz w:val="26"/>
          <w:szCs w:val="26"/>
          <w:highlight w:val="green"/>
          <w:u w:val="single"/>
        </w:rPr>
        <w:t>increased resource sharing</w:t>
      </w:r>
      <w:r w:rsidRPr="0084265A">
        <w:rPr>
          <w:sz w:val="12"/>
        </w:rPr>
        <w:t xml:space="preserve">, with multiple initiatives focusing on regional evidence sharing for groups of developing debate programs. This </w:t>
      </w:r>
      <w:r w:rsidRPr="00DB46AC">
        <w:rPr>
          <w:b/>
          <w:bCs/>
          <w:sz w:val="26"/>
          <w:szCs w:val="26"/>
          <w:highlight w:val="green"/>
          <w:u w:val="single"/>
        </w:rPr>
        <w:t>is</w:t>
      </w:r>
      <w:r w:rsidRPr="00DB46AC">
        <w:rPr>
          <w:b/>
          <w:bCs/>
          <w:sz w:val="26"/>
          <w:szCs w:val="26"/>
          <w:u w:val="single"/>
        </w:rPr>
        <w:t xml:space="preserve"> one example of dramatic changes occurring in the community that are </w:t>
      </w:r>
      <w:r w:rsidRPr="00DB46AC">
        <w:rPr>
          <w:b/>
          <w:bCs/>
          <w:sz w:val="26"/>
          <w:szCs w:val="26"/>
          <w:highlight w:val="green"/>
          <w:u w:val="single"/>
        </w:rPr>
        <w:t>capable of opening the doors for new participation in debate</w:t>
      </w:r>
      <w:r w:rsidRPr="0084265A">
        <w:rPr>
          <w:sz w:val="12"/>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84265A">
        <w:rPr>
          <w:sz w:val="12"/>
        </w:rPr>
        <w:t>struc-tured</w:t>
      </w:r>
      <w:proofErr w:type="spellEnd"/>
      <w:r w:rsidRPr="0084265A">
        <w:rPr>
          <w:sz w:val="12"/>
        </w:rPr>
        <w:t xml:space="preserve"> and coached debate program, and eventually developing the capability to maintain multiple professional teaching positions, such as those discussed earlier in the chapter.</w:t>
      </w:r>
      <w:r w:rsidRPr="0084265A">
        <w:rPr>
          <w:rStyle w:val="Style13ptBold"/>
          <w:sz w:val="12"/>
        </w:rPr>
        <w:t xml:space="preserve"> </w:t>
      </w:r>
    </w:p>
    <w:p w14:paraId="07EE7B6A" w14:textId="77777777" w:rsidR="00B21BF6" w:rsidRPr="00DB46AC" w:rsidRDefault="00B21BF6" w:rsidP="00B21BF6">
      <w:pPr>
        <w:pStyle w:val="Heading4"/>
        <w:rPr>
          <w:rFonts w:cs="Calibri"/>
        </w:rPr>
      </w:pPr>
      <w:r w:rsidRPr="00DB46AC">
        <w:rPr>
          <w:rFonts w:cs="Calibri"/>
        </w:rPr>
        <w:t xml:space="preserve">2] Evidence ethics – </w:t>
      </w:r>
      <w:r>
        <w:rPr>
          <w:rFonts w:cs="Calibri"/>
        </w:rPr>
        <w:t>disclosure</w:t>
      </w:r>
      <w:r w:rsidRPr="00DB46AC">
        <w:rPr>
          <w:rFonts w:cs="Calibri"/>
        </w:rPr>
        <w:t xml:space="preserve"> is the only way to verify pre-round </w:t>
      </w:r>
      <w:proofErr w:type="gramStart"/>
      <w:r w:rsidRPr="00DB46AC">
        <w:rPr>
          <w:rFonts w:cs="Calibri"/>
        </w:rPr>
        <w:t>that cards</w:t>
      </w:r>
      <w:proofErr w:type="gramEnd"/>
      <w:r w:rsidRPr="00DB46AC">
        <w:rPr>
          <w:rFonts w:cs="Calibri"/>
        </w:rPr>
        <w:t xml:space="preserve"> aren’t miscut or highlighted or bracketed unethically. That’s a voter – maintaining ethical evidence practices is key to being good academics and we should be able to verify you didn’t cheat</w:t>
      </w:r>
    </w:p>
    <w:p w14:paraId="630137CB" w14:textId="77777777" w:rsidR="00B21BF6" w:rsidRDefault="00B21BF6" w:rsidP="00B21BF6">
      <w:pPr>
        <w:pStyle w:val="Heading4"/>
        <w:rPr>
          <w:rFonts w:cs="Calibri"/>
        </w:rPr>
      </w:pPr>
      <w:r w:rsidRPr="00DB46AC">
        <w:rPr>
          <w:rFonts w:cs="Calibri"/>
        </w:rPr>
        <w:t xml:space="preserve">3] Depth of clash – it allows debaters to have nuanced researched objections to their </w:t>
      </w:r>
      <w:proofErr w:type="gramStart"/>
      <w:r w:rsidRPr="00DB46AC">
        <w:rPr>
          <w:rFonts w:cs="Calibri"/>
        </w:rPr>
        <w:t>opponents</w:t>
      </w:r>
      <w:proofErr w:type="gramEnd"/>
      <w:r w:rsidRPr="00DB46AC">
        <w:rPr>
          <w:rFonts w:cs="Calibri"/>
        </w:rPr>
        <w:t xml:space="preserve"> evidence before the round at a much faster rate, which leads to higher quality evidence comparison – outweighs cause thinking on your feet is NUQ but the best quality responses come from full access to a case. </w:t>
      </w:r>
    </w:p>
    <w:p w14:paraId="40C65FFB" w14:textId="77777777" w:rsidR="00B21BF6" w:rsidRDefault="00B21BF6" w:rsidP="00B21BF6">
      <w:pPr>
        <w:pStyle w:val="Heading4"/>
      </w:pPr>
      <w:r>
        <w:t>Paradigm issues</w:t>
      </w:r>
    </w:p>
    <w:p w14:paraId="155CF5FB" w14:textId="77777777" w:rsidR="00B21BF6" w:rsidRPr="00441D38" w:rsidRDefault="00B21BF6" w:rsidP="00B21BF6">
      <w:pPr>
        <w:pStyle w:val="Heading4"/>
        <w:rPr>
          <w:rFonts w:cs="Calibri"/>
        </w:rPr>
      </w:pPr>
      <w:r w:rsidRPr="00441D38">
        <w:rPr>
          <w:rFonts w:cs="Calibri"/>
        </w:rPr>
        <w:t>Fairness is a voter since a) you concede its authority when you follow things like speech times and b) it is a gateway issue to correctly evaluating substance, which also means no cross-apps.</w:t>
      </w:r>
      <w:r>
        <w:t xml:space="preserve"> Education is a voter b/c it’s the only reason why debate actually happens</w:t>
      </w:r>
    </w:p>
    <w:p w14:paraId="2A5550D6" w14:textId="77777777" w:rsidR="00B21BF6" w:rsidRPr="00441D38" w:rsidRDefault="00B21BF6" w:rsidP="00B21BF6">
      <w:pPr>
        <w:pStyle w:val="Heading4"/>
        <w:rPr>
          <w:rFonts w:cs="Calibri"/>
        </w:rPr>
      </w:pPr>
      <w:r w:rsidRPr="00441D38">
        <w:rPr>
          <w:rFonts w:cs="Calibri"/>
        </w:rPr>
        <w:t>D</w:t>
      </w:r>
      <w:r>
        <w:rPr>
          <w:rFonts w:cs="Calibri"/>
        </w:rPr>
        <w:t>T</w:t>
      </w:r>
      <w:r w:rsidRPr="00441D38">
        <w:rPr>
          <w:rFonts w:cs="Calibri"/>
        </w:rPr>
        <w:t xml:space="preserve">D – a) </w:t>
      </w:r>
      <w:r>
        <w:t>DTA makes no sense on disclosure</w:t>
      </w:r>
      <w:r w:rsidRPr="00441D38">
        <w:rPr>
          <w:rFonts w:cs="Calibri"/>
        </w:rPr>
        <w:t xml:space="preserve"> b) I </w:t>
      </w:r>
      <w:r>
        <w:rPr>
          <w:rFonts w:cs="Calibri"/>
        </w:rPr>
        <w:t>had to spend</w:t>
      </w:r>
      <w:r w:rsidRPr="00441D38">
        <w:rPr>
          <w:rFonts w:cs="Calibri"/>
        </w:rPr>
        <w:t xml:space="preserve"> time reading theory</w:t>
      </w:r>
      <w:r>
        <w:rPr>
          <w:rFonts w:cs="Calibri"/>
        </w:rPr>
        <w:t xml:space="preserve"> to check</w:t>
      </w:r>
      <w:r w:rsidRPr="00441D38">
        <w:rPr>
          <w:rFonts w:cs="Calibri"/>
        </w:rPr>
        <w:t xml:space="preserve"> c) The round has already been skewed </w:t>
      </w:r>
    </w:p>
    <w:p w14:paraId="260AF37E" w14:textId="77777777" w:rsidR="00B21BF6" w:rsidRPr="00441D38" w:rsidRDefault="00B21BF6" w:rsidP="00B21BF6">
      <w:pPr>
        <w:pStyle w:val="Heading4"/>
        <w:rPr>
          <w:rFonts w:cs="Calibri"/>
        </w:rPr>
      </w:pPr>
      <w:r>
        <w:rPr>
          <w:rFonts w:cs="Calibri"/>
        </w:rPr>
        <w:t xml:space="preserve">Competing </w:t>
      </w:r>
      <w:proofErr w:type="spellStart"/>
      <w:r>
        <w:rPr>
          <w:rFonts w:cs="Calibri"/>
        </w:rPr>
        <w:t>Interps</w:t>
      </w:r>
      <w:proofErr w:type="spellEnd"/>
      <w:r w:rsidRPr="00441D38">
        <w:rPr>
          <w:rFonts w:cs="Calibri"/>
        </w:rPr>
        <w:t xml:space="preserve"> – a) Reasonability is arbitrary since idk your BS meter </w:t>
      </w:r>
      <w:r>
        <w:rPr>
          <w:rFonts w:cs="Calibri"/>
        </w:rPr>
        <w:t>b</w:t>
      </w:r>
      <w:r w:rsidRPr="00441D38">
        <w:rPr>
          <w:rFonts w:cs="Calibri"/>
        </w:rPr>
        <w:t xml:space="preserve">) Reasonability collapses by debating the </w:t>
      </w:r>
      <w:proofErr w:type="spellStart"/>
      <w:r w:rsidRPr="00441D38">
        <w:rPr>
          <w:rFonts w:cs="Calibri"/>
        </w:rPr>
        <w:t>brightline</w:t>
      </w:r>
      <w:proofErr w:type="spellEnd"/>
      <w:r w:rsidRPr="00441D38">
        <w:rPr>
          <w:rFonts w:cs="Calibri"/>
        </w:rPr>
        <w:t xml:space="preserve"> </w:t>
      </w:r>
    </w:p>
    <w:p w14:paraId="0D2BE2C5" w14:textId="77777777" w:rsidR="00B21BF6" w:rsidRDefault="00B21BF6" w:rsidP="00B21BF6">
      <w:pPr>
        <w:pStyle w:val="Heading4"/>
        <w:rPr>
          <w:rFonts w:cs="Calibri"/>
        </w:rPr>
      </w:pPr>
      <w:r w:rsidRPr="00441D38">
        <w:rPr>
          <w:rFonts w:cs="Calibri"/>
        </w:rPr>
        <w:t xml:space="preserve">No RVI – a) It’s illogical to vote for you for being fair b) </w:t>
      </w:r>
      <w:r>
        <w:rPr>
          <w:rFonts w:cs="Calibri"/>
        </w:rPr>
        <w:t>to prevent the deterrence of legitimate theory</w:t>
      </w:r>
      <w:r w:rsidRPr="00441D38">
        <w:rPr>
          <w:rFonts w:cs="Calibri"/>
        </w:rPr>
        <w:t xml:space="preserve"> c) It incentivizes you to bait theory and win off a scripted CI </w:t>
      </w:r>
    </w:p>
    <w:p w14:paraId="7A1D4652" w14:textId="3255B380" w:rsidR="00B654EA" w:rsidRDefault="00CF483B" w:rsidP="00BF4BA4">
      <w:pPr>
        <w:pStyle w:val="Heading2"/>
      </w:pPr>
      <w:r>
        <w:t>2</w:t>
      </w:r>
    </w:p>
    <w:p w14:paraId="7F084564" w14:textId="77777777" w:rsidR="00B654EA" w:rsidRPr="000D1B25" w:rsidRDefault="00B654EA" w:rsidP="00B654EA">
      <w:pPr>
        <w:pStyle w:val="Heading4"/>
        <w:rPr>
          <w:rFonts w:asciiTheme="majorHAnsi" w:hAnsiTheme="majorHAnsi" w:cstheme="majorHAnsi"/>
        </w:rPr>
      </w:pPr>
      <w:r w:rsidRPr="000D1B25">
        <w:rPr>
          <w:rFonts w:asciiTheme="majorHAnsi" w:hAnsiTheme="majorHAnsi" w:cstheme="majorHAnsi"/>
        </w:rPr>
        <w:t xml:space="preserve">Interpretation: “medicines” is a generic bare plural. The </w:t>
      </w:r>
      <w:proofErr w:type="spellStart"/>
      <w:r w:rsidRPr="000D1B25">
        <w:rPr>
          <w:rFonts w:asciiTheme="majorHAnsi" w:hAnsiTheme="majorHAnsi" w:cstheme="majorHAnsi"/>
        </w:rPr>
        <w:t>aff</w:t>
      </w:r>
      <w:proofErr w:type="spellEnd"/>
      <w:r w:rsidRPr="000D1B25">
        <w:rPr>
          <w:rFonts w:asciiTheme="majorHAnsi" w:hAnsiTheme="majorHAnsi" w:cstheme="majorHAnsi"/>
        </w:rPr>
        <w:t xml:space="preserve"> may not defend WTO member nations reducing intellectual property protections for a subset of medicines.</w:t>
      </w:r>
    </w:p>
    <w:p w14:paraId="7B5AF939" w14:textId="77777777" w:rsidR="00B654EA" w:rsidRPr="000D1B25" w:rsidRDefault="00B654EA" w:rsidP="00B654EA">
      <w:pPr>
        <w:pStyle w:val="Heading4"/>
        <w:rPr>
          <w:rFonts w:asciiTheme="majorHAnsi" w:hAnsiTheme="majorHAnsi" w:cstheme="majorHAnsi"/>
        </w:rPr>
      </w:pPr>
      <w:r w:rsidRPr="000D1B25">
        <w:rPr>
          <w:rFonts w:asciiTheme="majorHAnsi" w:hAnsiTheme="majorHAnsi" w:cstheme="majorHAnsi"/>
        </w:rPr>
        <w:t>The upward entailment test and adverb test determine the genericity of a bare plural</w:t>
      </w:r>
    </w:p>
    <w:p w14:paraId="6C17EF1F" w14:textId="77777777" w:rsidR="00B654EA" w:rsidRPr="000D1B25" w:rsidRDefault="00B654EA" w:rsidP="00B654EA">
      <w:pPr>
        <w:rPr>
          <w:rFonts w:asciiTheme="majorHAnsi" w:hAnsiTheme="majorHAnsi" w:cstheme="majorHAnsi"/>
        </w:rPr>
      </w:pPr>
      <w:r w:rsidRPr="000D1B25">
        <w:rPr>
          <w:rStyle w:val="StyleUnderline"/>
          <w:rFonts w:asciiTheme="majorHAnsi" w:hAnsiTheme="majorHAnsi" w:cstheme="majorHAnsi"/>
        </w:rPr>
        <w:t>Leslie and Lerner 16</w:t>
      </w:r>
      <w:r w:rsidRPr="000D1B25">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7" w:history="1">
        <w:r w:rsidRPr="000D1B25">
          <w:rPr>
            <w:rStyle w:val="Hyperlink"/>
            <w:rFonts w:asciiTheme="majorHAnsi" w:hAnsiTheme="majorHAnsi" w:cstheme="majorHAnsi"/>
          </w:rPr>
          <w:t>Princeton Social Neuroscience Lab</w:t>
        </w:r>
      </w:hyperlink>
      <w:r w:rsidRPr="000D1B25">
        <w:rPr>
          <w:rFonts w:asciiTheme="majorHAnsi" w:hAnsiTheme="majorHAnsi" w:cstheme="majorHAnsi"/>
        </w:rPr>
        <w:t xml:space="preserve">.] “Generic Generalizations.” Stanford Encyclopedia of Philosophy. April 24, 2016. </w:t>
      </w:r>
      <w:hyperlink r:id="rId8" w:history="1">
        <w:r w:rsidRPr="000D1B25">
          <w:rPr>
            <w:rStyle w:val="Hyperlink"/>
            <w:rFonts w:asciiTheme="majorHAnsi" w:hAnsiTheme="majorHAnsi" w:cstheme="majorHAnsi"/>
          </w:rPr>
          <w:t>https://plato.stanford.edu/entries/generics/</w:t>
        </w:r>
      </w:hyperlink>
      <w:r w:rsidRPr="000D1B25">
        <w:rPr>
          <w:rFonts w:asciiTheme="majorHAnsi" w:hAnsiTheme="majorHAnsi" w:cstheme="majorHAnsi"/>
        </w:rPr>
        <w:t xml:space="preserve"> TG</w:t>
      </w:r>
    </w:p>
    <w:p w14:paraId="6D3D7C5C" w14:textId="77777777" w:rsidR="00B654EA" w:rsidRPr="000D1B25" w:rsidRDefault="00B654EA" w:rsidP="00B654EA">
      <w:pPr>
        <w:rPr>
          <w:rStyle w:val="StyleUnderline"/>
          <w:rFonts w:asciiTheme="majorHAnsi" w:hAnsiTheme="majorHAnsi" w:cstheme="majorHAnsi"/>
        </w:rPr>
      </w:pPr>
      <w:r w:rsidRPr="000D1B25">
        <w:rPr>
          <w:rStyle w:val="StyleUnderline"/>
          <w:rFonts w:asciiTheme="majorHAnsi" w:hAnsiTheme="majorHAnsi" w:cstheme="majorHAnsi"/>
        </w:rPr>
        <w:t xml:space="preserve"> 1. Generics and Logical Form</w:t>
      </w:r>
    </w:p>
    <w:p w14:paraId="6AD8B840" w14:textId="77777777" w:rsidR="00B654EA" w:rsidRPr="000D1B25" w:rsidRDefault="00B654EA" w:rsidP="00B654EA">
      <w:pPr>
        <w:rPr>
          <w:rFonts w:asciiTheme="majorHAnsi" w:hAnsiTheme="majorHAnsi" w:cstheme="majorHAnsi"/>
        </w:rPr>
      </w:pPr>
      <w:r w:rsidRPr="000D1B25">
        <w:rPr>
          <w:rFonts w:asciiTheme="majorHAnsi" w:hAnsiTheme="majorHAnsi" w:cstheme="majorHAnsi"/>
        </w:rPr>
        <w:t xml:space="preserve">In English, </w:t>
      </w:r>
      <w:r w:rsidRPr="000D1B25">
        <w:rPr>
          <w:rStyle w:val="StyleUnderline"/>
          <w:rFonts w:asciiTheme="majorHAnsi" w:hAnsiTheme="majorHAnsi" w:cstheme="majorHAnsi"/>
          <w:highlight w:val="green"/>
        </w:rPr>
        <w:t>generics can be expressed using</w:t>
      </w:r>
      <w:r w:rsidRPr="000D1B25">
        <w:rPr>
          <w:rStyle w:val="StyleUnderline"/>
          <w:rFonts w:asciiTheme="majorHAnsi" w:hAnsiTheme="majorHAnsi" w:cstheme="majorHAnsi"/>
        </w:rPr>
        <w:t xml:space="preserve"> a variety of syntactic forms: </w:t>
      </w:r>
      <w:r w:rsidRPr="000D1B25">
        <w:rPr>
          <w:rStyle w:val="StyleUnderline"/>
          <w:rFonts w:asciiTheme="majorHAnsi" w:hAnsiTheme="majorHAnsi" w:cstheme="majorHAnsi"/>
          <w:highlight w:val="green"/>
        </w:rPr>
        <w:t>bare plurals (e.g., “tigers are striped”)</w:t>
      </w:r>
      <w:r w:rsidRPr="000D1B25">
        <w:rPr>
          <w:rStyle w:val="StyleUnderline"/>
          <w:rFonts w:asciiTheme="majorHAnsi" w:hAnsiTheme="majorHAnsi" w:cstheme="majorHAnsi"/>
        </w:rPr>
        <w:t>, indefinite singulars (e.g., “a tiger is striped”), and definite singulars (“the tiger is striped”). However, none of these syntactic forms is dedicated to expressing generic claims; each can also be used to express existential and/or specific claims</w:t>
      </w:r>
      <w:r w:rsidRPr="000D1B25">
        <w:rPr>
          <w:rFonts w:asciiTheme="majorHAnsi" w:hAnsiTheme="majorHAnsi" w:cstheme="majorHAnsi"/>
        </w:rPr>
        <w:t xml:space="preserve">. Further, some </w:t>
      </w:r>
      <w:r w:rsidRPr="000D1B25">
        <w:rPr>
          <w:rStyle w:val="StyleUnderline"/>
          <w:rFonts w:asciiTheme="majorHAnsi" w:hAnsiTheme="majorHAnsi" w:cstheme="majorHAnsi"/>
        </w:rPr>
        <w:t>generics express</w:t>
      </w:r>
      <w:r w:rsidRPr="000D1B25">
        <w:rPr>
          <w:rFonts w:asciiTheme="majorHAnsi" w:hAnsiTheme="majorHAnsi" w:cstheme="majorHAnsi"/>
        </w:rPr>
        <w:t xml:space="preserve"> what appear to be </w:t>
      </w:r>
      <w:r w:rsidRPr="000D1B25">
        <w:rPr>
          <w:rStyle w:val="StyleUnderline"/>
          <w:rFonts w:asciiTheme="majorHAnsi" w:hAnsiTheme="majorHAnsi" w:cstheme="majorHAnsi"/>
        </w:rPr>
        <w:t>generalizations over individuals (e.g., “tigers are striped”)</w:t>
      </w:r>
      <w:r w:rsidRPr="000D1B25">
        <w:rPr>
          <w:rFonts w:asciiTheme="majorHAnsi" w:hAnsiTheme="majorHAnsi" w:cstheme="majorHAnsi"/>
        </w:rPr>
        <w:t>, while others appear to predicate properties directly of the kind (e.g., “dodos are extinct”). These facts and others give rise to a number of questions concerning the logical forms of generic statements.</w:t>
      </w:r>
    </w:p>
    <w:p w14:paraId="17215F92" w14:textId="77777777" w:rsidR="00B654EA" w:rsidRPr="000D1B25" w:rsidRDefault="00B654EA" w:rsidP="00B654EA">
      <w:pPr>
        <w:rPr>
          <w:rStyle w:val="StyleUnderline"/>
          <w:rFonts w:asciiTheme="majorHAnsi" w:hAnsiTheme="majorHAnsi" w:cstheme="majorHAnsi"/>
        </w:rPr>
      </w:pPr>
      <w:r w:rsidRPr="000D1B25">
        <w:rPr>
          <w:rStyle w:val="StyleUnderline"/>
          <w:rFonts w:asciiTheme="majorHAnsi" w:hAnsiTheme="majorHAnsi" w:cstheme="majorHAnsi"/>
        </w:rPr>
        <w:t>1.1 Isolating the Generic Interpretation</w:t>
      </w:r>
    </w:p>
    <w:p w14:paraId="765C224D" w14:textId="77777777" w:rsidR="00B654EA" w:rsidRPr="000D1B25" w:rsidRDefault="00B654EA" w:rsidP="00B654EA">
      <w:pPr>
        <w:rPr>
          <w:rFonts w:asciiTheme="majorHAnsi" w:hAnsiTheme="majorHAnsi" w:cstheme="majorHAnsi"/>
        </w:rPr>
      </w:pPr>
      <w:r w:rsidRPr="000D1B25">
        <w:rPr>
          <w:rFonts w:asciiTheme="majorHAnsi" w:hAnsiTheme="majorHAnsi" w:cstheme="majorHAnsi"/>
        </w:rPr>
        <w:t>Consider the following pairs of sentences:</w:t>
      </w:r>
    </w:p>
    <w:p w14:paraId="479CE200" w14:textId="77777777" w:rsidR="00B654EA" w:rsidRPr="000D1B25" w:rsidRDefault="00B654EA" w:rsidP="00B654EA">
      <w:pPr>
        <w:rPr>
          <w:rFonts w:asciiTheme="majorHAnsi" w:hAnsiTheme="majorHAnsi" w:cstheme="majorHAnsi"/>
        </w:rPr>
      </w:pPr>
      <w:r w:rsidRPr="000D1B25">
        <w:rPr>
          <w:rFonts w:asciiTheme="majorHAnsi" w:hAnsiTheme="majorHAnsi" w:cstheme="majorHAnsi"/>
        </w:rPr>
        <w:t>(1</w:t>
      </w:r>
      <w:proofErr w:type="gramStart"/>
      <w:r w:rsidRPr="000D1B25">
        <w:rPr>
          <w:rFonts w:asciiTheme="majorHAnsi" w:hAnsiTheme="majorHAnsi" w:cstheme="majorHAnsi"/>
        </w:rPr>
        <w:t>)</w:t>
      </w:r>
      <w:proofErr w:type="spellStart"/>
      <w:r w:rsidRPr="000D1B25">
        <w:rPr>
          <w:rFonts w:asciiTheme="majorHAnsi" w:hAnsiTheme="majorHAnsi" w:cstheme="majorHAnsi"/>
        </w:rPr>
        <w:t>a.Tigers</w:t>
      </w:r>
      <w:proofErr w:type="spellEnd"/>
      <w:proofErr w:type="gramEnd"/>
      <w:r w:rsidRPr="000D1B25">
        <w:rPr>
          <w:rFonts w:asciiTheme="majorHAnsi" w:hAnsiTheme="majorHAnsi" w:cstheme="majorHAnsi"/>
        </w:rPr>
        <w:t xml:space="preserve"> are striped.</w:t>
      </w:r>
    </w:p>
    <w:p w14:paraId="689707EB" w14:textId="77777777" w:rsidR="00B654EA" w:rsidRPr="000D1B25" w:rsidRDefault="00B654EA" w:rsidP="00B654EA">
      <w:pPr>
        <w:rPr>
          <w:rFonts w:asciiTheme="majorHAnsi" w:hAnsiTheme="majorHAnsi" w:cstheme="majorHAnsi"/>
        </w:rPr>
      </w:pPr>
      <w:proofErr w:type="spellStart"/>
      <w:proofErr w:type="gramStart"/>
      <w:r w:rsidRPr="000D1B25">
        <w:rPr>
          <w:rFonts w:asciiTheme="majorHAnsi" w:hAnsiTheme="majorHAnsi" w:cstheme="majorHAnsi"/>
        </w:rPr>
        <w:t>b.Tigers</w:t>
      </w:r>
      <w:proofErr w:type="spellEnd"/>
      <w:proofErr w:type="gramEnd"/>
      <w:r w:rsidRPr="000D1B25">
        <w:rPr>
          <w:rFonts w:asciiTheme="majorHAnsi" w:hAnsiTheme="majorHAnsi" w:cstheme="majorHAnsi"/>
        </w:rPr>
        <w:t xml:space="preserve"> are on the front lawn.</w:t>
      </w:r>
    </w:p>
    <w:p w14:paraId="0517AE1F" w14:textId="77777777" w:rsidR="00B654EA" w:rsidRPr="000D1B25" w:rsidRDefault="00B654EA" w:rsidP="00B654EA">
      <w:pPr>
        <w:rPr>
          <w:rFonts w:asciiTheme="majorHAnsi" w:hAnsiTheme="majorHAnsi" w:cstheme="majorHAnsi"/>
        </w:rPr>
      </w:pPr>
      <w:r w:rsidRPr="000D1B25">
        <w:rPr>
          <w:rFonts w:asciiTheme="majorHAnsi" w:hAnsiTheme="majorHAnsi" w:cstheme="majorHAnsi"/>
        </w:rPr>
        <w:t>(2</w:t>
      </w:r>
      <w:proofErr w:type="gramStart"/>
      <w:r w:rsidRPr="000D1B25">
        <w:rPr>
          <w:rFonts w:asciiTheme="majorHAnsi" w:hAnsiTheme="majorHAnsi" w:cstheme="majorHAnsi"/>
        </w:rPr>
        <w:t>)</w:t>
      </w:r>
      <w:proofErr w:type="spellStart"/>
      <w:r w:rsidRPr="000D1B25">
        <w:rPr>
          <w:rFonts w:asciiTheme="majorHAnsi" w:hAnsiTheme="majorHAnsi" w:cstheme="majorHAnsi"/>
        </w:rPr>
        <w:t>a.A</w:t>
      </w:r>
      <w:proofErr w:type="spellEnd"/>
      <w:proofErr w:type="gramEnd"/>
      <w:r w:rsidRPr="000D1B25">
        <w:rPr>
          <w:rFonts w:asciiTheme="majorHAnsi" w:hAnsiTheme="majorHAnsi" w:cstheme="majorHAnsi"/>
        </w:rPr>
        <w:t xml:space="preserve"> tiger is striped.</w:t>
      </w:r>
    </w:p>
    <w:p w14:paraId="787F9661" w14:textId="77777777" w:rsidR="00B654EA" w:rsidRPr="000D1B25" w:rsidRDefault="00B654EA" w:rsidP="00B654EA">
      <w:pPr>
        <w:rPr>
          <w:rFonts w:asciiTheme="majorHAnsi" w:hAnsiTheme="majorHAnsi" w:cstheme="majorHAnsi"/>
        </w:rPr>
      </w:pPr>
      <w:proofErr w:type="spellStart"/>
      <w:r w:rsidRPr="000D1B25">
        <w:rPr>
          <w:rFonts w:asciiTheme="majorHAnsi" w:hAnsiTheme="majorHAnsi" w:cstheme="majorHAnsi"/>
        </w:rPr>
        <w:t>b.A</w:t>
      </w:r>
      <w:proofErr w:type="spellEnd"/>
      <w:r w:rsidRPr="000D1B25">
        <w:rPr>
          <w:rFonts w:asciiTheme="majorHAnsi" w:hAnsiTheme="majorHAnsi" w:cstheme="majorHAnsi"/>
        </w:rPr>
        <w:t xml:space="preserve"> tiger is on the front lawn.</w:t>
      </w:r>
    </w:p>
    <w:p w14:paraId="51B8ED24" w14:textId="77777777" w:rsidR="00B654EA" w:rsidRPr="000D1B25" w:rsidRDefault="00B654EA" w:rsidP="00B654EA">
      <w:pPr>
        <w:rPr>
          <w:rFonts w:asciiTheme="majorHAnsi" w:hAnsiTheme="majorHAnsi" w:cstheme="majorHAnsi"/>
        </w:rPr>
      </w:pPr>
      <w:r w:rsidRPr="000D1B25">
        <w:rPr>
          <w:rFonts w:asciiTheme="majorHAnsi" w:hAnsiTheme="majorHAnsi" w:cstheme="majorHAnsi"/>
        </w:rPr>
        <w:t>(3</w:t>
      </w:r>
      <w:proofErr w:type="gramStart"/>
      <w:r w:rsidRPr="000D1B25">
        <w:rPr>
          <w:rFonts w:asciiTheme="majorHAnsi" w:hAnsiTheme="majorHAnsi" w:cstheme="majorHAnsi"/>
        </w:rPr>
        <w:t>)</w:t>
      </w:r>
      <w:proofErr w:type="spellStart"/>
      <w:r w:rsidRPr="000D1B25">
        <w:rPr>
          <w:rFonts w:asciiTheme="majorHAnsi" w:hAnsiTheme="majorHAnsi" w:cstheme="majorHAnsi"/>
        </w:rPr>
        <w:t>a.The</w:t>
      </w:r>
      <w:proofErr w:type="spellEnd"/>
      <w:proofErr w:type="gramEnd"/>
      <w:r w:rsidRPr="000D1B25">
        <w:rPr>
          <w:rFonts w:asciiTheme="majorHAnsi" w:hAnsiTheme="majorHAnsi" w:cstheme="majorHAnsi"/>
        </w:rPr>
        <w:t xml:space="preserve"> tiger is striped.</w:t>
      </w:r>
    </w:p>
    <w:p w14:paraId="3E6E591E" w14:textId="77777777" w:rsidR="00B654EA" w:rsidRPr="000D1B25" w:rsidRDefault="00B654EA" w:rsidP="00B654EA">
      <w:pPr>
        <w:rPr>
          <w:rFonts w:asciiTheme="majorHAnsi" w:hAnsiTheme="majorHAnsi" w:cstheme="majorHAnsi"/>
        </w:rPr>
      </w:pPr>
      <w:proofErr w:type="spellStart"/>
      <w:proofErr w:type="gramStart"/>
      <w:r w:rsidRPr="000D1B25">
        <w:rPr>
          <w:rFonts w:asciiTheme="majorHAnsi" w:hAnsiTheme="majorHAnsi" w:cstheme="majorHAnsi"/>
        </w:rPr>
        <w:t>b.The</w:t>
      </w:r>
      <w:proofErr w:type="spellEnd"/>
      <w:proofErr w:type="gramEnd"/>
      <w:r w:rsidRPr="000D1B25">
        <w:rPr>
          <w:rFonts w:asciiTheme="majorHAnsi" w:hAnsiTheme="majorHAnsi" w:cstheme="majorHAnsi"/>
        </w:rPr>
        <w:t xml:space="preserve"> tiger is on the front lawn.</w:t>
      </w:r>
    </w:p>
    <w:p w14:paraId="2A5DA1FA" w14:textId="77777777" w:rsidR="00B654EA" w:rsidRPr="000D1B25" w:rsidRDefault="00B654EA" w:rsidP="00B654EA">
      <w:pPr>
        <w:rPr>
          <w:rFonts w:asciiTheme="majorHAnsi" w:hAnsiTheme="majorHAnsi" w:cstheme="majorHAnsi"/>
        </w:rPr>
      </w:pPr>
      <w:r w:rsidRPr="000D1B25">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9" w:anchor="ex1b" w:history="1">
        <w:r w:rsidRPr="000D1B25">
          <w:rPr>
            <w:rStyle w:val="Hyperlink"/>
            <w:rFonts w:asciiTheme="majorHAnsi" w:hAnsiTheme="majorHAnsi" w:cstheme="majorHAnsi"/>
          </w:rPr>
          <w:t>1b</w:t>
        </w:r>
      </w:hyperlink>
      <w:r w:rsidRPr="000D1B25">
        <w:rPr>
          <w:rFonts w:asciiTheme="majorHAnsi" w:hAnsiTheme="majorHAnsi" w:cstheme="majorHAnsi"/>
        </w:rPr>
        <w:t>), some individual tiger in (</w:t>
      </w:r>
      <w:hyperlink r:id="rId10" w:anchor="ex2b" w:history="1">
        <w:r w:rsidRPr="000D1B25">
          <w:rPr>
            <w:rStyle w:val="Hyperlink"/>
            <w:rFonts w:asciiTheme="majorHAnsi" w:hAnsiTheme="majorHAnsi" w:cstheme="majorHAnsi"/>
          </w:rPr>
          <w:t>2b</w:t>
        </w:r>
      </w:hyperlink>
      <w:r w:rsidRPr="000D1B25">
        <w:rPr>
          <w:rFonts w:asciiTheme="majorHAnsi" w:hAnsiTheme="majorHAnsi" w:cstheme="majorHAnsi"/>
        </w:rPr>
        <w:t>), and some unique salient or familiar tiger in (</w:t>
      </w:r>
      <w:hyperlink r:id="rId11" w:anchor="ex3b" w:history="1">
        <w:r w:rsidRPr="000D1B25">
          <w:rPr>
            <w:rStyle w:val="Hyperlink"/>
            <w:rFonts w:asciiTheme="majorHAnsi" w:hAnsiTheme="majorHAnsi" w:cstheme="majorHAnsi"/>
          </w:rPr>
          <w:t>3b</w:t>
        </w:r>
      </w:hyperlink>
      <w:r w:rsidRPr="000D1B25">
        <w:rPr>
          <w:rFonts w:asciiTheme="majorHAnsi" w:hAnsiTheme="majorHAnsi" w:cstheme="majorHAnsi"/>
        </w:rPr>
        <w:t>)—a beloved pet, perhaps. In the first sentences, however, we are saying something general. There is/are no particular tiger or tigers that we are talking about.</w:t>
      </w:r>
    </w:p>
    <w:p w14:paraId="651BB1A2" w14:textId="77777777" w:rsidR="00B654EA" w:rsidRPr="000D1B25" w:rsidRDefault="00B654EA" w:rsidP="00B654EA">
      <w:pPr>
        <w:rPr>
          <w:rFonts w:asciiTheme="majorHAnsi" w:hAnsiTheme="majorHAnsi" w:cstheme="majorHAnsi"/>
        </w:rPr>
      </w:pPr>
      <w:r w:rsidRPr="000D1B25">
        <w:rPr>
          <w:rFonts w:asciiTheme="majorHAnsi" w:hAnsiTheme="majorHAnsi" w:cstheme="majorHAnsi"/>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727A8E6E" w14:textId="77777777" w:rsidR="00B654EA" w:rsidRPr="000D1B25" w:rsidRDefault="00B654EA" w:rsidP="00B654EA">
      <w:pPr>
        <w:rPr>
          <w:rFonts w:asciiTheme="majorHAnsi" w:hAnsiTheme="majorHAnsi" w:cstheme="majorHAnsi"/>
        </w:rPr>
      </w:pPr>
      <w:r w:rsidRPr="000D1B25">
        <w:rPr>
          <w:rStyle w:val="StyleUnderline"/>
          <w:rFonts w:asciiTheme="majorHAnsi" w:hAnsiTheme="majorHAnsi" w:cstheme="majorHAnsi"/>
        </w:rPr>
        <w:t>There are some tests that are helpful in distinguishing these two readings</w:t>
      </w:r>
      <w:r w:rsidRPr="000D1B25">
        <w:rPr>
          <w:rFonts w:asciiTheme="majorHAnsi" w:hAnsiTheme="majorHAnsi" w:cstheme="majorHAnsi"/>
        </w:rPr>
        <w:t xml:space="preserve">. For example, </w:t>
      </w:r>
      <w:r w:rsidRPr="000D1B25">
        <w:rPr>
          <w:rStyle w:val="StyleUnderline"/>
          <w:rFonts w:asciiTheme="majorHAnsi" w:hAnsiTheme="majorHAnsi" w:cstheme="majorHAnsi"/>
          <w:highlight w:val="green"/>
        </w:rPr>
        <w:t>the existential</w:t>
      </w:r>
      <w:r w:rsidRPr="000D1B25">
        <w:rPr>
          <w:rStyle w:val="StyleUnderline"/>
          <w:rFonts w:asciiTheme="majorHAnsi" w:hAnsiTheme="majorHAnsi" w:cstheme="majorHAnsi"/>
        </w:rPr>
        <w:t xml:space="preserve"> interpretation </w:t>
      </w:r>
      <w:r w:rsidRPr="000D1B25">
        <w:rPr>
          <w:rStyle w:val="StyleUnderline"/>
          <w:rFonts w:asciiTheme="majorHAnsi" w:hAnsiTheme="majorHAnsi" w:cstheme="majorHAnsi"/>
          <w:highlight w:val="green"/>
        </w:rPr>
        <w:t>is upward entailing, meaning</w:t>
      </w:r>
      <w:r w:rsidRPr="000D1B25">
        <w:rPr>
          <w:rStyle w:val="StyleUnderline"/>
          <w:rFonts w:asciiTheme="majorHAnsi" w:hAnsiTheme="majorHAnsi" w:cstheme="majorHAnsi"/>
        </w:rPr>
        <w:t xml:space="preserve"> that </w:t>
      </w:r>
      <w:r w:rsidRPr="000D1B25">
        <w:rPr>
          <w:rStyle w:val="StyleUnderline"/>
          <w:rFonts w:asciiTheme="majorHAnsi" w:hAnsiTheme="majorHAnsi" w:cstheme="majorHAnsi"/>
          <w:highlight w:val="green"/>
        </w:rPr>
        <w:t>the statement will</w:t>
      </w:r>
      <w:r w:rsidRPr="000D1B25">
        <w:rPr>
          <w:rStyle w:val="StyleUnderline"/>
          <w:rFonts w:asciiTheme="majorHAnsi" w:hAnsiTheme="majorHAnsi" w:cstheme="majorHAnsi"/>
        </w:rPr>
        <w:t xml:space="preserve"> always </w:t>
      </w:r>
      <w:r w:rsidRPr="000D1B25">
        <w:rPr>
          <w:rStyle w:val="StyleUnderline"/>
          <w:rFonts w:asciiTheme="majorHAnsi" w:hAnsiTheme="majorHAnsi" w:cstheme="majorHAnsi"/>
          <w:highlight w:val="green"/>
        </w:rPr>
        <w:t>remain true if we replace the subject</w:t>
      </w:r>
      <w:r w:rsidRPr="000D1B25">
        <w:rPr>
          <w:rStyle w:val="StyleUnderline"/>
          <w:rFonts w:asciiTheme="majorHAnsi" w:hAnsiTheme="majorHAnsi" w:cstheme="majorHAnsi"/>
        </w:rPr>
        <w:t xml:space="preserve"> term </w:t>
      </w:r>
      <w:r w:rsidRPr="000D1B25">
        <w:rPr>
          <w:rStyle w:val="StyleUnderline"/>
          <w:rFonts w:asciiTheme="majorHAnsi" w:hAnsiTheme="majorHAnsi" w:cstheme="majorHAnsi"/>
          <w:highlight w:val="green"/>
        </w:rPr>
        <w:t>with a more inclusive term</w:t>
      </w:r>
      <w:r w:rsidRPr="000D1B25">
        <w:rPr>
          <w:rFonts w:asciiTheme="majorHAnsi" w:hAnsiTheme="majorHAnsi" w:cstheme="majorHAnsi"/>
        </w:rPr>
        <w:t>. Consider our examples above. In (</w:t>
      </w:r>
      <w:hyperlink r:id="rId12" w:anchor="ex1b" w:history="1">
        <w:r w:rsidRPr="000D1B25">
          <w:rPr>
            <w:rStyle w:val="Hyperlink"/>
            <w:rFonts w:asciiTheme="majorHAnsi" w:hAnsiTheme="majorHAnsi" w:cstheme="majorHAnsi"/>
          </w:rPr>
          <w:t>1b</w:t>
        </w:r>
      </w:hyperlink>
      <w:r w:rsidRPr="000D1B25">
        <w:rPr>
          <w:rFonts w:asciiTheme="majorHAnsi" w:hAnsiTheme="majorHAnsi" w:cstheme="majorHAnsi"/>
        </w:rPr>
        <w:t>), we can replace “tiger” with “animal” </w:t>
      </w:r>
      <w:proofErr w:type="spellStart"/>
      <w:r w:rsidRPr="000D1B25">
        <w:rPr>
          <w:rFonts w:asciiTheme="majorHAnsi" w:hAnsiTheme="majorHAnsi" w:cstheme="majorHAnsi"/>
        </w:rPr>
        <w:t>salva</w:t>
      </w:r>
      <w:proofErr w:type="spellEnd"/>
      <w:r w:rsidRPr="000D1B25">
        <w:rPr>
          <w:rFonts w:asciiTheme="majorHAnsi" w:hAnsiTheme="majorHAnsi" w:cstheme="majorHAnsi"/>
        </w:rPr>
        <w:t xml:space="preserve"> </w:t>
      </w:r>
      <w:proofErr w:type="spellStart"/>
      <w:r w:rsidRPr="000D1B25">
        <w:rPr>
          <w:rFonts w:asciiTheme="majorHAnsi" w:hAnsiTheme="majorHAnsi" w:cstheme="majorHAnsi"/>
        </w:rPr>
        <w:t>veritate</w:t>
      </w:r>
      <w:proofErr w:type="spellEnd"/>
      <w:r w:rsidRPr="000D1B25">
        <w:rPr>
          <w:rFonts w:asciiTheme="majorHAnsi" w:hAnsiTheme="majorHAnsi" w:cstheme="majorHAnsi"/>
        </w:rPr>
        <w:t>, but in (</w:t>
      </w:r>
      <w:hyperlink r:id="rId13" w:anchor="ex1a" w:history="1">
        <w:r w:rsidRPr="000D1B25">
          <w:rPr>
            <w:rStyle w:val="Hyperlink"/>
            <w:rFonts w:asciiTheme="majorHAnsi" w:hAnsiTheme="majorHAnsi" w:cstheme="majorHAnsi"/>
          </w:rPr>
          <w:t>1a</w:t>
        </w:r>
      </w:hyperlink>
      <w:r w:rsidRPr="000D1B25">
        <w:rPr>
          <w:rFonts w:asciiTheme="majorHAnsi" w:hAnsiTheme="majorHAnsi" w:cstheme="majorHAnsi"/>
        </w:rPr>
        <w:t xml:space="preserve">) we cannot. </w:t>
      </w:r>
      <w:r w:rsidRPr="000D1B25">
        <w:rPr>
          <w:rStyle w:val="StyleUnderline"/>
          <w:rFonts w:asciiTheme="majorHAnsi" w:hAnsiTheme="majorHAnsi" w:cstheme="majorHAnsi"/>
        </w:rPr>
        <w:t>If “tigers are on the lawn” is true, then “animals are on the lawn” must be true.</w:t>
      </w:r>
      <w:r w:rsidRPr="000D1B25">
        <w:rPr>
          <w:rFonts w:asciiTheme="majorHAnsi" w:hAnsiTheme="majorHAnsi" w:cstheme="majorHAnsi"/>
        </w:rPr>
        <w:t xml:space="preserve"> However, “tigers are striped” is true, yet “animals are striped” is false. (</w:t>
      </w:r>
      <w:hyperlink r:id="rId14" w:anchor="ex1a" w:history="1">
        <w:r w:rsidRPr="000D1B25">
          <w:rPr>
            <w:rStyle w:val="Hyperlink"/>
            <w:rFonts w:asciiTheme="majorHAnsi" w:hAnsiTheme="majorHAnsi" w:cstheme="majorHAnsi"/>
          </w:rPr>
          <w:t>1a</w:t>
        </w:r>
      </w:hyperlink>
      <w:r w:rsidRPr="000D1B25">
        <w:rPr>
          <w:rFonts w:asciiTheme="majorHAnsi" w:hAnsiTheme="majorHAnsi" w:cstheme="majorHAnsi"/>
        </w:rPr>
        <w:t>) does not entail that animals are striped, but (</w:t>
      </w:r>
      <w:hyperlink r:id="rId15" w:anchor="ex1b" w:history="1">
        <w:r w:rsidRPr="000D1B25">
          <w:rPr>
            <w:rStyle w:val="Hyperlink"/>
            <w:rFonts w:asciiTheme="majorHAnsi" w:hAnsiTheme="majorHAnsi" w:cstheme="majorHAnsi"/>
          </w:rPr>
          <w:t>1b</w:t>
        </w:r>
      </w:hyperlink>
      <w:r w:rsidRPr="000D1B25">
        <w:rPr>
          <w:rFonts w:asciiTheme="majorHAnsi" w:hAnsiTheme="majorHAnsi" w:cstheme="majorHAnsi"/>
        </w:rPr>
        <w:t xml:space="preserve">) entails that animals are on the front lawn (Lawler 1973; Laca 1990; </w:t>
      </w:r>
      <w:proofErr w:type="spellStart"/>
      <w:r w:rsidRPr="000D1B25">
        <w:rPr>
          <w:rFonts w:asciiTheme="majorHAnsi" w:hAnsiTheme="majorHAnsi" w:cstheme="majorHAnsi"/>
        </w:rPr>
        <w:t>Krifka</w:t>
      </w:r>
      <w:proofErr w:type="spellEnd"/>
      <w:r w:rsidRPr="000D1B25">
        <w:rPr>
          <w:rFonts w:asciiTheme="majorHAnsi" w:hAnsiTheme="majorHAnsi" w:cstheme="majorHAnsi"/>
        </w:rPr>
        <w:t xml:space="preserve"> et al. 1995).</w:t>
      </w:r>
    </w:p>
    <w:p w14:paraId="62B71875" w14:textId="77777777" w:rsidR="00B654EA" w:rsidRPr="000D1B25" w:rsidRDefault="00B654EA" w:rsidP="00B654EA">
      <w:pPr>
        <w:rPr>
          <w:rFonts w:asciiTheme="majorHAnsi" w:hAnsiTheme="majorHAnsi" w:cstheme="majorHAnsi"/>
        </w:rPr>
      </w:pPr>
      <w:r w:rsidRPr="000D1B25">
        <w:rPr>
          <w:rStyle w:val="StyleUnderline"/>
          <w:rFonts w:asciiTheme="majorHAnsi" w:hAnsiTheme="majorHAnsi" w:cstheme="majorHAnsi"/>
          <w:highlight w:val="green"/>
        </w:rPr>
        <w:t>Another test concerns whether we can insert an adverb of quantification with minimal change of meaning</w:t>
      </w:r>
      <w:r w:rsidRPr="000D1B25">
        <w:rPr>
          <w:rFonts w:asciiTheme="majorHAnsi" w:hAnsiTheme="majorHAnsi" w:cstheme="majorHAnsi"/>
        </w:rPr>
        <w:t xml:space="preserve"> (</w:t>
      </w:r>
      <w:proofErr w:type="spellStart"/>
      <w:r w:rsidRPr="000D1B25">
        <w:rPr>
          <w:rFonts w:asciiTheme="majorHAnsi" w:hAnsiTheme="majorHAnsi" w:cstheme="majorHAnsi"/>
        </w:rPr>
        <w:t>Krifka</w:t>
      </w:r>
      <w:proofErr w:type="spellEnd"/>
      <w:r w:rsidRPr="000D1B25">
        <w:rPr>
          <w:rFonts w:asciiTheme="majorHAnsi" w:hAnsiTheme="majorHAnsi" w:cstheme="majorHAnsi"/>
        </w:rPr>
        <w:t xml:space="preserve"> et al. 1995). </w:t>
      </w:r>
      <w:r w:rsidRPr="000D1B25">
        <w:rPr>
          <w:rStyle w:val="StyleUnderline"/>
          <w:rFonts w:asciiTheme="majorHAnsi" w:hAnsiTheme="majorHAnsi" w:cstheme="majorHAnsi"/>
        </w:rPr>
        <w:t>For example, inserting “usually” in the sentences in (</w:t>
      </w:r>
      <w:hyperlink r:id="rId16" w:anchor="ex1a" w:history="1">
        <w:r w:rsidRPr="000D1B25">
          <w:rPr>
            <w:rStyle w:val="StyleUnderline"/>
            <w:rFonts w:asciiTheme="majorHAnsi" w:hAnsiTheme="majorHAnsi" w:cstheme="majorHAnsi"/>
          </w:rPr>
          <w:t>1a</w:t>
        </w:r>
      </w:hyperlink>
      <w:r w:rsidRPr="000D1B25">
        <w:rPr>
          <w:rStyle w:val="StyleUnderline"/>
          <w:rFonts w:asciiTheme="majorHAnsi" w:hAnsiTheme="majorHAnsi" w:cstheme="majorHAnsi"/>
        </w:rPr>
        <w:t>) (e.g., “tigers are usually striped”) produces only a small change in meaning, while inserting “usually” in (</w:t>
      </w:r>
      <w:hyperlink r:id="rId17" w:anchor="ex1b" w:history="1">
        <w:r w:rsidRPr="000D1B25">
          <w:rPr>
            <w:rStyle w:val="StyleUnderline"/>
            <w:rFonts w:asciiTheme="majorHAnsi" w:hAnsiTheme="majorHAnsi" w:cstheme="majorHAnsi"/>
          </w:rPr>
          <w:t>1b</w:t>
        </w:r>
      </w:hyperlink>
      <w:r w:rsidRPr="000D1B25">
        <w:rPr>
          <w:rStyle w:val="StyleUnderline"/>
          <w:rFonts w:asciiTheme="majorHAnsi" w:hAnsiTheme="majorHAnsi" w:cstheme="majorHAnsi"/>
        </w:rPr>
        <w:t>) dramatically alters the meaning of the sentence (e.g., “tigers are usually on the front lawn”).</w:t>
      </w:r>
      <w:r w:rsidRPr="000D1B25">
        <w:rPr>
          <w:rFonts w:asciiTheme="majorHAnsi" w:hAnsiTheme="majorHAnsi" w:cstheme="majorHAnsi"/>
        </w:rPr>
        <w:t xml:space="preserve"> (For generics such as “mosquitoes carry malaria”, the adverb “sometimes” is perhaps better used than “usually” to mark off the generic reading.)</w:t>
      </w:r>
    </w:p>
    <w:p w14:paraId="25321C25" w14:textId="77777777" w:rsidR="00B654EA" w:rsidRPr="000D1B25" w:rsidRDefault="00B654EA" w:rsidP="00B654EA">
      <w:pPr>
        <w:rPr>
          <w:rFonts w:asciiTheme="majorHAnsi" w:hAnsiTheme="majorHAnsi" w:cstheme="majorHAnsi"/>
        </w:rPr>
      </w:pPr>
    </w:p>
    <w:p w14:paraId="0E6E708A" w14:textId="77777777" w:rsidR="00B654EA" w:rsidRPr="000D1B25" w:rsidRDefault="00B654EA" w:rsidP="00B654EA">
      <w:pPr>
        <w:pStyle w:val="Heading4"/>
        <w:rPr>
          <w:rFonts w:asciiTheme="majorHAnsi" w:hAnsiTheme="majorHAnsi" w:cstheme="majorHAnsi"/>
        </w:rPr>
      </w:pPr>
      <w:r w:rsidRPr="000D1B25">
        <w:rPr>
          <w:rFonts w:asciiTheme="majorHAnsi" w:hAnsiTheme="majorHAnsi" w:cstheme="majorHAns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0D1B25">
        <w:rPr>
          <w:rFonts w:asciiTheme="majorHAnsi" w:hAnsiTheme="majorHAnsi" w:cstheme="majorHAnsi"/>
          <w:u w:val="single"/>
        </w:rPr>
        <w:t>usually</w:t>
      </w:r>
      <w:r w:rsidRPr="000D1B25">
        <w:rPr>
          <w:rFonts w:asciiTheme="majorHAnsi" w:hAnsiTheme="majorHAnsi" w:cstheme="majorHAnsi"/>
        </w:rPr>
        <w:t xml:space="preserve"> reduce intellectual property protections for medicines” doesn’t substantially change </w:t>
      </w:r>
      <w:proofErr w:type="spellStart"/>
      <w:r w:rsidRPr="000D1B25">
        <w:rPr>
          <w:rFonts w:asciiTheme="majorHAnsi" w:hAnsiTheme="majorHAnsi" w:cstheme="majorHAnsi"/>
        </w:rPr>
        <w:t>resolutional</w:t>
      </w:r>
      <w:proofErr w:type="spellEnd"/>
      <w:r w:rsidRPr="000D1B25">
        <w:rPr>
          <w:rFonts w:asciiTheme="majorHAnsi" w:hAnsiTheme="majorHAnsi" w:cstheme="majorHAnsi"/>
        </w:rPr>
        <w:t xml:space="preserve"> meaning, 3] predicate level – the </w:t>
      </w:r>
      <w:proofErr w:type="spellStart"/>
      <w:r w:rsidRPr="000D1B25">
        <w:rPr>
          <w:rFonts w:asciiTheme="majorHAnsi" w:hAnsiTheme="majorHAnsi" w:cstheme="majorHAnsi"/>
        </w:rPr>
        <w:t>rez</w:t>
      </w:r>
      <w:proofErr w:type="spellEnd"/>
      <w:r w:rsidRPr="000D1B25">
        <w:rPr>
          <w:rFonts w:asciiTheme="majorHAnsi" w:hAnsiTheme="majorHAnsi" w:cstheme="majorHAnsi"/>
        </w:rPr>
        <w:t xml:space="preserve"> is an individual level predicate not a stage level because moral obligations in ought statements are long-lasting as opposed to fleeting phases</w:t>
      </w:r>
      <w:r>
        <w:rPr>
          <w:rFonts w:asciiTheme="majorHAnsi" w:hAnsiTheme="majorHAnsi" w:cstheme="majorHAnsi"/>
        </w:rPr>
        <w:t>. C/a precision ow.</w:t>
      </w:r>
    </w:p>
    <w:p w14:paraId="3DE02158" w14:textId="77777777" w:rsidR="00B654EA" w:rsidRPr="000D1B25" w:rsidRDefault="00B654EA" w:rsidP="00B654EA">
      <w:pPr>
        <w:rPr>
          <w:rFonts w:asciiTheme="majorHAnsi" w:hAnsiTheme="majorHAnsi" w:cstheme="majorHAnsi"/>
        </w:rPr>
      </w:pPr>
    </w:p>
    <w:p w14:paraId="6ADC74FD" w14:textId="2681105D" w:rsidR="004C0EB8" w:rsidRPr="004C0EB8" w:rsidRDefault="00B654EA" w:rsidP="004C0EB8">
      <w:pPr>
        <w:pStyle w:val="Heading4"/>
        <w:rPr>
          <w:rFonts w:asciiTheme="majorHAnsi" w:hAnsiTheme="majorHAnsi" w:cstheme="majorHAnsi"/>
          <w:b w:val="0"/>
          <w:iCs w:val="0"/>
          <w:sz w:val="22"/>
          <w:u w:val="single"/>
        </w:rPr>
      </w:pPr>
      <w:r w:rsidRPr="000D1B25">
        <w:rPr>
          <w:rStyle w:val="Emphasis"/>
          <w:rFonts w:asciiTheme="majorHAnsi" w:hAnsiTheme="majorHAnsi" w:cstheme="majorHAnsi"/>
        </w:rPr>
        <w:t>Violation – they only defend</w:t>
      </w:r>
      <w:r>
        <w:rPr>
          <w:rStyle w:val="Emphasis"/>
          <w:rFonts w:asciiTheme="majorHAnsi" w:hAnsiTheme="majorHAnsi" w:cstheme="majorHAnsi"/>
        </w:rPr>
        <w:t xml:space="preserve"> </w:t>
      </w:r>
      <w:r w:rsidR="004C0EB8">
        <w:rPr>
          <w:rStyle w:val="Emphasis"/>
          <w:rFonts w:asciiTheme="majorHAnsi" w:hAnsiTheme="majorHAnsi" w:cstheme="majorHAnsi"/>
        </w:rPr>
        <w:t>AIDS Gene Therapy</w:t>
      </w:r>
    </w:p>
    <w:p w14:paraId="7CE96965" w14:textId="77777777" w:rsidR="00B654EA" w:rsidRPr="000D1B25" w:rsidRDefault="00B654EA" w:rsidP="00B654EA">
      <w:pPr>
        <w:rPr>
          <w:rFonts w:asciiTheme="majorHAnsi" w:hAnsiTheme="majorHAnsi" w:cstheme="majorHAnsi"/>
        </w:rPr>
      </w:pPr>
    </w:p>
    <w:p w14:paraId="217D3E3B" w14:textId="77777777" w:rsidR="00B654EA" w:rsidRPr="000D1B25" w:rsidRDefault="00B654EA" w:rsidP="00B654EA">
      <w:pPr>
        <w:pStyle w:val="Heading4"/>
        <w:rPr>
          <w:rFonts w:asciiTheme="majorHAnsi" w:hAnsiTheme="majorHAnsi" w:cstheme="majorHAnsi"/>
        </w:rPr>
      </w:pPr>
      <w:r w:rsidRPr="000D1B25">
        <w:rPr>
          <w:rFonts w:asciiTheme="majorHAnsi" w:hAnsiTheme="majorHAnsi" w:cstheme="majorHAnsi"/>
        </w:rPr>
        <w:t>Vote neg:</w:t>
      </w:r>
    </w:p>
    <w:p w14:paraId="5CC91EB2" w14:textId="77777777" w:rsidR="00B654EA" w:rsidRPr="000D1B25" w:rsidRDefault="00B654EA" w:rsidP="00B654EA">
      <w:pPr>
        <w:pStyle w:val="Heading4"/>
        <w:rPr>
          <w:rFonts w:asciiTheme="majorHAnsi" w:hAnsiTheme="majorHAnsi" w:cstheme="majorHAnsi"/>
        </w:rPr>
      </w:pPr>
      <w:r w:rsidRPr="000D1B25">
        <w:rPr>
          <w:rFonts w:asciiTheme="majorHAnsi" w:hAnsiTheme="majorHAnsi" w:cstheme="majorHAnsi"/>
        </w:rPr>
        <w:t xml:space="preserve">1] Limits – you can pick anything from COVID vaccines to HIV/AIDS to random biotech to insulin treatments and there’s no universal </w:t>
      </w:r>
      <w:proofErr w:type="spellStart"/>
      <w:r w:rsidRPr="000D1B25">
        <w:rPr>
          <w:rFonts w:asciiTheme="majorHAnsi" w:hAnsiTheme="majorHAnsi" w:cstheme="majorHAnsi"/>
        </w:rPr>
        <w:t>disad</w:t>
      </w:r>
      <w:proofErr w:type="spellEnd"/>
      <w:r w:rsidRPr="000D1B25">
        <w:rPr>
          <w:rFonts w:asciiTheme="majorHAnsi" w:hAnsiTheme="majorHAnsi" w:cstheme="majorHAnsi"/>
        </w:rPr>
        <w:t xml:space="preserve"> since each one has a different function and implication for health, tech, and relations – explodes neg prep and leads to random medicine of the week </w:t>
      </w:r>
      <w:proofErr w:type="spellStart"/>
      <w:r w:rsidRPr="000D1B25">
        <w:rPr>
          <w:rFonts w:asciiTheme="majorHAnsi" w:hAnsiTheme="majorHAnsi" w:cstheme="majorHAnsi"/>
        </w:rPr>
        <w:t>affs</w:t>
      </w:r>
      <w:proofErr w:type="spellEnd"/>
      <w:r w:rsidRPr="000D1B25">
        <w:rPr>
          <w:rFonts w:asciiTheme="majorHAnsi" w:hAnsiTheme="majorHAnsi" w:cstheme="majorHAnsi"/>
        </w:rPr>
        <w:t xml:space="preserve"> which makes cutting stable neg links impossible. PICs don’t solve – it’s absurd to say</w:t>
      </w:r>
      <w:r w:rsidRPr="000D1B25">
        <w:rPr>
          <w:rFonts w:asciiTheme="majorHAnsi" w:hAnsiTheme="majorHAnsi" w:cstheme="majorHAnsi"/>
          <w:color w:val="000000" w:themeColor="text1"/>
        </w:rPr>
        <w:t xml:space="preserve"> neg potential abuse justifies the </w:t>
      </w:r>
      <w:proofErr w:type="spellStart"/>
      <w:r w:rsidRPr="000D1B25">
        <w:rPr>
          <w:rFonts w:asciiTheme="majorHAnsi" w:hAnsiTheme="majorHAnsi" w:cstheme="majorHAnsi"/>
          <w:color w:val="000000" w:themeColor="text1"/>
        </w:rPr>
        <w:t>aff</w:t>
      </w:r>
      <w:proofErr w:type="spellEnd"/>
      <w:r w:rsidRPr="000D1B25">
        <w:rPr>
          <w:rFonts w:asciiTheme="majorHAnsi" w:hAnsiTheme="majorHAnsi" w:cstheme="majorHAnsi"/>
          <w:color w:val="000000" w:themeColor="text1"/>
        </w:rPr>
        <w:t xml:space="preserve"> being flat out not T, which leads to a race towards abuse</w:t>
      </w:r>
      <w:r>
        <w:rPr>
          <w:rFonts w:asciiTheme="majorHAnsi" w:hAnsiTheme="majorHAnsi" w:cstheme="majorHAnsi"/>
          <w:color w:val="000000" w:themeColor="text1"/>
        </w:rPr>
        <w:t xml:space="preserve">, AND if pics are as abusive as they say 1AR theory checks bad.  </w:t>
      </w:r>
      <w:r w:rsidRPr="000D1B25">
        <w:rPr>
          <w:rFonts w:asciiTheme="majorHAnsi" w:hAnsiTheme="majorHAnsi" w:cstheme="majorHAnsi"/>
          <w:color w:val="000000" w:themeColor="text1"/>
        </w:rPr>
        <w:t>L</w:t>
      </w:r>
      <w:r w:rsidRPr="000D1B25">
        <w:rPr>
          <w:rFonts w:asciiTheme="majorHAnsi" w:hAnsiTheme="majorHAnsi" w:cstheme="majorHAnsi"/>
        </w:rPr>
        <w:t xml:space="preserve">imits key to reciprocal engagement since they create a </w:t>
      </w:r>
      <w:proofErr w:type="spellStart"/>
      <w:r w:rsidRPr="000D1B25">
        <w:rPr>
          <w:rFonts w:asciiTheme="majorHAnsi" w:hAnsiTheme="majorHAnsi" w:cstheme="majorHAnsi"/>
        </w:rPr>
        <w:t>caselist</w:t>
      </w:r>
      <w:proofErr w:type="spellEnd"/>
      <w:r w:rsidRPr="000D1B25">
        <w:rPr>
          <w:rFonts w:asciiTheme="majorHAnsi" w:hAnsiTheme="majorHAnsi" w:cstheme="majorHAnsi"/>
        </w:rPr>
        <w:t xml:space="preserve"> for neg prep.</w:t>
      </w:r>
    </w:p>
    <w:p w14:paraId="2AAB7486" w14:textId="1CD40719" w:rsidR="00B654EA" w:rsidRDefault="00B654EA" w:rsidP="00B654EA">
      <w:pPr>
        <w:pStyle w:val="Heading4"/>
        <w:rPr>
          <w:rFonts w:asciiTheme="majorHAnsi" w:hAnsiTheme="majorHAnsi" w:cstheme="majorHAnsi"/>
        </w:rPr>
      </w:pPr>
      <w:r w:rsidRPr="000D1B25">
        <w:rPr>
          <w:rFonts w:asciiTheme="majorHAnsi" w:hAnsiTheme="majorHAnsi" w:cstheme="majorHAnsi"/>
        </w:rPr>
        <w:t xml:space="preserve">2] TVA – read the </w:t>
      </w:r>
      <w:proofErr w:type="spellStart"/>
      <w:r w:rsidRPr="000D1B25">
        <w:rPr>
          <w:rFonts w:asciiTheme="majorHAnsi" w:hAnsiTheme="majorHAnsi" w:cstheme="majorHAnsi"/>
        </w:rPr>
        <w:t>aff</w:t>
      </w:r>
      <w:proofErr w:type="spellEnd"/>
      <w:r w:rsidRPr="000D1B25">
        <w:rPr>
          <w:rFonts w:asciiTheme="majorHAnsi" w:hAnsiTheme="majorHAnsi" w:cstheme="majorHAnsi"/>
        </w:rPr>
        <w:t xml:space="preserve"> as an advantage to a whole </w:t>
      </w:r>
      <w:proofErr w:type="spellStart"/>
      <w:r w:rsidRPr="000D1B25">
        <w:rPr>
          <w:rFonts w:asciiTheme="majorHAnsi" w:hAnsiTheme="majorHAnsi" w:cstheme="majorHAnsi"/>
        </w:rPr>
        <w:t>rez</w:t>
      </w:r>
      <w:proofErr w:type="spellEnd"/>
      <w:r w:rsidRPr="000D1B25">
        <w:rPr>
          <w:rFonts w:asciiTheme="majorHAnsi" w:hAnsiTheme="majorHAnsi" w:cstheme="majorHAnsi"/>
        </w:rPr>
        <w:t xml:space="preserve"> </w:t>
      </w:r>
      <w:proofErr w:type="spellStart"/>
      <w:r w:rsidRPr="000D1B25">
        <w:rPr>
          <w:rFonts w:asciiTheme="majorHAnsi" w:hAnsiTheme="majorHAnsi" w:cstheme="majorHAnsi"/>
        </w:rPr>
        <w:t>aff</w:t>
      </w:r>
      <w:proofErr w:type="spellEnd"/>
      <w:r w:rsidRPr="000D1B25">
        <w:rPr>
          <w:rFonts w:asciiTheme="majorHAnsi" w:hAnsiTheme="majorHAnsi" w:cstheme="majorHAnsi"/>
        </w:rPr>
        <w:t>.</w:t>
      </w:r>
      <w:r>
        <w:rPr>
          <w:rFonts w:asciiTheme="majorHAnsi" w:hAnsiTheme="majorHAnsi" w:cstheme="majorHAnsi"/>
        </w:rPr>
        <w:t xml:space="preserve"> </w:t>
      </w:r>
    </w:p>
    <w:p w14:paraId="4A4F5336" w14:textId="1CA2AADA" w:rsidR="00CF483B" w:rsidRDefault="001E71B9" w:rsidP="00CF483B">
      <w:pPr>
        <w:pStyle w:val="Heading2"/>
      </w:pPr>
      <w:r>
        <w:t>3</w:t>
      </w:r>
    </w:p>
    <w:p w14:paraId="60E44B22" w14:textId="77777777" w:rsidR="00CF483B" w:rsidRPr="00FE51A3" w:rsidRDefault="00CF483B" w:rsidP="00CF483B">
      <w:pPr>
        <w:pStyle w:val="Heading4"/>
        <w:rPr>
          <w:rFonts w:asciiTheme="majorHAnsi" w:hAnsiTheme="majorHAnsi" w:cstheme="majorHAnsi"/>
        </w:rPr>
      </w:pPr>
      <w:r w:rsidRPr="00FE51A3">
        <w:rPr>
          <w:rFonts w:asciiTheme="majorHAnsi" w:hAnsiTheme="majorHAnsi" w:cstheme="majorHAnsi"/>
        </w:rPr>
        <w:t>Biotech industry strong now.</w:t>
      </w:r>
    </w:p>
    <w:p w14:paraId="31234CD7" w14:textId="77777777" w:rsidR="00CF483B" w:rsidRPr="00FE51A3" w:rsidRDefault="00CF483B" w:rsidP="00CF483B">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3247A6C1"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1D4FB01"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62AE1460"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4B509DDD"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6EC502D8"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Fundamentals continue strong</w:t>
      </w:r>
    </w:p>
    <w:p w14:paraId="170B1753" w14:textId="77777777" w:rsidR="00CF483B" w:rsidRPr="00FE51A3" w:rsidRDefault="00CF483B" w:rsidP="00CF483B">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1F8A9290" w14:textId="77777777" w:rsidR="00CF483B" w:rsidRPr="00FE51A3" w:rsidRDefault="00CF483B" w:rsidP="00CF483B">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22555C3" w14:textId="77777777" w:rsidR="00CF483B" w:rsidRPr="00FE51A3" w:rsidRDefault="00CF483B" w:rsidP="00CF483B">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0D57DD34"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7ECDD2AD"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39183F4B"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More innovation on the horizon</w:t>
      </w:r>
    </w:p>
    <w:p w14:paraId="7240F13E"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4073BEED" w14:textId="77777777" w:rsidR="00CF483B" w:rsidRPr="00FE51A3" w:rsidRDefault="00CF483B" w:rsidP="00CF483B">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370570D" w14:textId="77777777" w:rsidR="00CF483B" w:rsidRDefault="00CF483B" w:rsidP="00CF483B"/>
    <w:p w14:paraId="77C8561A" w14:textId="77777777" w:rsidR="00CF483B" w:rsidRPr="0027647F" w:rsidRDefault="00CF483B" w:rsidP="00CF483B">
      <w:pPr>
        <w:pStyle w:val="Heading4"/>
      </w:pPr>
      <w:r>
        <w:t>IP protections are key to innovation – recouping startup costs and high risk of failure</w:t>
      </w:r>
    </w:p>
    <w:p w14:paraId="5B9C0F1E" w14:textId="77777777" w:rsidR="00CF483B" w:rsidRPr="00D1700D" w:rsidRDefault="00CF483B" w:rsidP="00CF483B">
      <w:pPr>
        <w:rPr>
          <w:rStyle w:val="Style13ptBold"/>
          <w:b w:val="0"/>
          <w:bCs w:val="0"/>
        </w:rPr>
      </w:pPr>
      <w:r w:rsidRPr="00D1700D">
        <w:rPr>
          <w:rStyle w:val="Style13ptBold"/>
        </w:rPr>
        <w:t xml:space="preserve">Grabowski et al 15 </w:t>
      </w:r>
      <w:r w:rsidRPr="00D1700D">
        <w:rPr>
          <w:rStyle w:val="Style13ptBold"/>
          <w:b w:val="0"/>
          <w:bCs w:val="0"/>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val="0"/>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0CFCCC7D" w14:textId="77777777" w:rsidR="00CF483B" w:rsidRPr="006F506E" w:rsidRDefault="00CF483B" w:rsidP="00CF483B">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593DA20A" w14:textId="77777777" w:rsidR="00CF483B" w:rsidRPr="006F506E" w:rsidRDefault="00CF483B" w:rsidP="00CF483B">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2C7E302D" w14:textId="77777777" w:rsidR="00CF483B" w:rsidRPr="006F506E" w:rsidRDefault="00CF483B" w:rsidP="00CF483B">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000B0053" w14:textId="77777777" w:rsidR="00CF483B" w:rsidRPr="006F506E" w:rsidRDefault="00CF483B" w:rsidP="00CF483B">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411818B0" w14:textId="77777777" w:rsidR="00CF483B" w:rsidRPr="00D1700D" w:rsidRDefault="00CF483B" w:rsidP="00CF483B">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477FC0B" w14:textId="77777777" w:rsidR="00CF483B" w:rsidRDefault="00CF483B" w:rsidP="00CF483B">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A0D0CE3" w14:textId="77777777" w:rsidR="00CF483B" w:rsidRDefault="00CF483B" w:rsidP="00CF483B">
      <w:pPr>
        <w:rPr>
          <w:sz w:val="12"/>
        </w:rPr>
      </w:pPr>
    </w:p>
    <w:p w14:paraId="01B4209C" w14:textId="77777777" w:rsidR="00CF483B" w:rsidRPr="00FE51A3" w:rsidRDefault="00CF483B" w:rsidP="00CF483B">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7653A05D" w14:textId="77777777" w:rsidR="00CF483B" w:rsidRPr="00FE51A3" w:rsidRDefault="00CF483B" w:rsidP="00CF483B">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13C09A0" w14:textId="77777777" w:rsidR="00CF483B" w:rsidRPr="00311A9C" w:rsidRDefault="00CF483B" w:rsidP="00CF483B">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7749F0A6" w14:textId="77777777" w:rsidR="00CF483B" w:rsidRDefault="00CF483B" w:rsidP="00CF483B"/>
    <w:p w14:paraId="6AA212FB" w14:textId="77777777" w:rsidR="00CF483B" w:rsidRPr="00131F53" w:rsidRDefault="00CF483B" w:rsidP="00CF483B">
      <w:pPr>
        <w:pStyle w:val="Heading4"/>
      </w:pPr>
      <w:r w:rsidRPr="009A7E01">
        <w:rPr>
          <w:u w:val="single"/>
        </w:rPr>
        <w:t>Extinction</w:t>
      </w:r>
      <w:r w:rsidRPr="00131F53">
        <w:t xml:space="preserve"> </w:t>
      </w:r>
    </w:p>
    <w:p w14:paraId="66BF042B" w14:textId="77777777" w:rsidR="00CF483B" w:rsidRPr="00131F53" w:rsidRDefault="00CF483B" w:rsidP="00CF483B">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90FCF6B" w14:textId="77777777" w:rsidR="00CF483B" w:rsidRPr="00790705" w:rsidRDefault="00CF483B" w:rsidP="00CF483B">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7E9527FD" w14:textId="77777777" w:rsidR="00CF483B" w:rsidRPr="00790705" w:rsidRDefault="00CF483B" w:rsidP="00CF483B">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3B2C193C" w14:textId="77777777" w:rsidR="00CF483B" w:rsidRPr="00790705" w:rsidRDefault="00CF483B" w:rsidP="00CF483B">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25D0E43F" w14:textId="77777777" w:rsidR="00CF483B" w:rsidRDefault="00CF483B" w:rsidP="00CF483B">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59D1095F" w14:textId="77777777" w:rsidR="00CF483B" w:rsidRDefault="00CF483B" w:rsidP="00CF483B"/>
    <w:p w14:paraId="0D211C82" w14:textId="77777777" w:rsidR="00CF483B" w:rsidRPr="00CF483B" w:rsidRDefault="00CF483B" w:rsidP="00CF483B"/>
    <w:p w14:paraId="0CBB0DAC" w14:textId="77777777" w:rsidR="00B654EA" w:rsidRPr="00B654EA" w:rsidRDefault="00B654EA" w:rsidP="00B654EA"/>
    <w:p w14:paraId="14DFB39D" w14:textId="073C9A29" w:rsidR="00B21BF6" w:rsidRDefault="00B654EA" w:rsidP="00BF4BA4">
      <w:pPr>
        <w:pStyle w:val="Heading2"/>
      </w:pPr>
      <w:r>
        <w:t>4</w:t>
      </w:r>
    </w:p>
    <w:p w14:paraId="0AC0691C" w14:textId="77777777" w:rsidR="009A0F28" w:rsidRDefault="009A0F28" w:rsidP="009A0F28">
      <w:pPr>
        <w:pStyle w:val="Heading4"/>
      </w:pPr>
      <w:r>
        <w:t xml:space="preserve">CP Text: The member nations of the World Trade Organization </w:t>
      </w:r>
      <w:r w:rsidRPr="00B53B0E">
        <w:t xml:space="preserve">should </w:t>
      </w:r>
      <w:r>
        <w:t>form</w:t>
      </w:r>
      <w:r w:rsidRPr="00B53B0E">
        <w:t xml:space="preserve"> an intellectual property system </w:t>
      </w:r>
      <w:r>
        <w:t>that uses tax credits and grants for medicines.</w:t>
      </w:r>
    </w:p>
    <w:p w14:paraId="128D1AFC" w14:textId="77777777" w:rsidR="009A0F28" w:rsidRDefault="009A0F28" w:rsidP="009A0F28"/>
    <w:p w14:paraId="4A50F7C8" w14:textId="77777777" w:rsidR="009A0F28" w:rsidRPr="00D62593" w:rsidRDefault="009A0F28" w:rsidP="009A0F28">
      <w:pPr>
        <w:pStyle w:val="Heading4"/>
      </w:pPr>
      <w:r>
        <w:t>Solves high prices and innovation.</w:t>
      </w:r>
    </w:p>
    <w:p w14:paraId="1F3EA360" w14:textId="77777777" w:rsidR="009A0F28" w:rsidRPr="00B72A31" w:rsidRDefault="009A0F28" w:rsidP="009A0F28">
      <w:r w:rsidRPr="00B72A31">
        <w:rPr>
          <w:rStyle w:val="Style13ptBold"/>
        </w:rPr>
        <w:t>Abramowicz 19</w:t>
      </w:r>
      <w:r>
        <w:t xml:space="preserve"> </w:t>
      </w:r>
      <w:r w:rsidRPr="005B04BF">
        <w:rPr>
          <w:sz w:val="16"/>
          <w:szCs w:val="16"/>
        </w:rPr>
        <w:t xml:space="preserve">[Abramowicz, Michael B., Prize and Reward Alternatives to Intellectual Property (2019). Prize and Reward Alternatives to Intellectual Property, in Research Handbook on the Economics of Intellectual Property Law (P.S. </w:t>
      </w:r>
      <w:proofErr w:type="spellStart"/>
      <w:r w:rsidRPr="005B04BF">
        <w:rPr>
          <w:sz w:val="16"/>
          <w:szCs w:val="16"/>
        </w:rPr>
        <w:t>Menell</w:t>
      </w:r>
      <w:proofErr w:type="spellEnd"/>
      <w:r w:rsidRPr="005B04BF">
        <w:rPr>
          <w:sz w:val="16"/>
          <w:szCs w:val="16"/>
        </w:rPr>
        <w:t xml:space="preserve"> &amp; B. Depoorter eds., forthcoming 2019)</w:t>
      </w:r>
      <w:proofErr w:type="gramStart"/>
      <w:r w:rsidRPr="005B04BF">
        <w:rPr>
          <w:sz w:val="16"/>
          <w:szCs w:val="16"/>
        </w:rPr>
        <w:t>. ;</w:t>
      </w:r>
      <w:proofErr w:type="gramEnd"/>
      <w:r w:rsidRPr="005B04BF">
        <w:rPr>
          <w:sz w:val="16"/>
          <w:szCs w:val="16"/>
        </w:rPr>
        <w:t xml:space="preserve"> GWU Law School Public Law Research Paper No. 2019-13; GWU Legal Studies Research Paper No. 2019-13. Available at SSRN: https://ssrn.com/ abstract=3366608] //Lex VM and Lex AKo</w:t>
      </w:r>
    </w:p>
    <w:p w14:paraId="410E6D0C" w14:textId="77777777" w:rsidR="009A0F28" w:rsidRDefault="009A0F28" w:rsidP="009A0F28">
      <w:pPr>
        <w:rPr>
          <w:sz w:val="14"/>
        </w:rPr>
      </w:pPr>
      <w:r w:rsidRPr="00CB4F5D">
        <w:rPr>
          <w:sz w:val="14"/>
        </w:rPr>
        <w:t xml:space="preserve">1. Grants Most of this chapter has compared traditional intellectual property systems to a range of possible prize or reward systems. But these are, of course, not the only means by which the government can encourage innovation. An approach closely related to that of rewards is grants. </w:t>
      </w:r>
      <w:r w:rsidRPr="00C9302B">
        <w:rPr>
          <w:rStyle w:val="StyleUnderline"/>
          <w:highlight w:val="green"/>
        </w:rPr>
        <w:t>Grant decisions</w:t>
      </w:r>
      <w:r w:rsidRPr="0046199F">
        <w:rPr>
          <w:rStyle w:val="StyleUnderline"/>
        </w:rPr>
        <w:t xml:space="preserve"> are </w:t>
      </w:r>
      <w:r w:rsidRPr="00C9302B">
        <w:rPr>
          <w:rStyle w:val="StyleUnderline"/>
          <w:highlight w:val="green"/>
        </w:rPr>
        <w:t>made by centralized agencies</w:t>
      </w:r>
      <w:r w:rsidRPr="0046199F">
        <w:rPr>
          <w:rStyle w:val="StyleUnderline"/>
        </w:rPr>
        <w:t xml:space="preserve"> ex ante based on research proposals.</w:t>
      </w:r>
      <w:r w:rsidRPr="00CB4F5D">
        <w:rPr>
          <w:sz w:val="14"/>
        </w:rPr>
        <w:t xml:space="preserve"> Adler (2011) argues that prize or reward systems may be preferable, because the centralized grant decisions limit “the range of promising ventures that may receive funding.” Hanson (1998) argues that grants have become more important than prizes because </w:t>
      </w:r>
      <w:r w:rsidRPr="0046199F">
        <w:rPr>
          <w:rStyle w:val="StyleUnderline"/>
        </w:rPr>
        <w:t xml:space="preserve">they tend to </w:t>
      </w:r>
      <w:r w:rsidRPr="00C9302B">
        <w:rPr>
          <w:rStyle w:val="StyleUnderline"/>
          <w:highlight w:val="green"/>
        </w:rPr>
        <w:t>concentrate power in</w:t>
      </w:r>
      <w:r w:rsidRPr="0046199F">
        <w:rPr>
          <w:rStyle w:val="StyleUnderline"/>
        </w:rPr>
        <w:t xml:space="preserve"> the hands of </w:t>
      </w:r>
      <w:r w:rsidRPr="00C9302B">
        <w:rPr>
          <w:rStyle w:val="StyleUnderline"/>
          <w:highlight w:val="green"/>
        </w:rPr>
        <w:t xml:space="preserve">scientific rather than </w:t>
      </w:r>
      <w:r w:rsidRPr="00CF2456">
        <w:rPr>
          <w:rStyle w:val="StyleUnderline"/>
          <w:highlight w:val="green"/>
        </w:rPr>
        <w:t>political leaders</w:t>
      </w:r>
      <w:r w:rsidRPr="0046199F">
        <w:rPr>
          <w:rStyle w:val="StyleUnderline"/>
        </w:rPr>
        <w:t>.</w:t>
      </w:r>
      <w:r w:rsidRPr="00CB4F5D">
        <w:rPr>
          <w:sz w:val="14"/>
        </w:rPr>
        <w:t xml:space="preserve"> While legislatures would like to maintain such power in their own hands, the power to administer </w:t>
      </w:r>
      <w:r w:rsidRPr="00C9302B">
        <w:rPr>
          <w:rStyle w:val="StyleUnderline"/>
        </w:rPr>
        <w:t>prizes is</w:t>
      </w:r>
      <w:r w:rsidRPr="0046199F">
        <w:rPr>
          <w:rStyle w:val="StyleUnderline"/>
        </w:rPr>
        <w:t xml:space="preserve"> more likely executive than legislative, and legislatures prefer to grant power to scientific leaders than to the executive. The general normative case for grants, particularly for basic research, is that “</w:t>
      </w:r>
      <w:r w:rsidRPr="0056692A">
        <w:rPr>
          <w:rStyle w:val="StyleUnderline"/>
        </w:rPr>
        <w:t xml:space="preserve">a large share of the most valuable uses of </w:t>
      </w:r>
      <w:r w:rsidRPr="000C0E3D">
        <w:rPr>
          <w:rStyle w:val="StyleUnderline"/>
          <w:highlight w:val="green"/>
        </w:rPr>
        <w:t>basic research will take</w:t>
      </w:r>
      <w:r w:rsidRPr="0056692A">
        <w:rPr>
          <w:rStyle w:val="StyleUnderline"/>
        </w:rPr>
        <w:t xml:space="preserve"> highly abstract, </w:t>
      </w:r>
      <w:r w:rsidRPr="000C0E3D">
        <w:rPr>
          <w:rStyle w:val="StyleUnderline"/>
          <w:highlight w:val="green"/>
        </w:rPr>
        <w:t xml:space="preserve">intangible forms, </w:t>
      </w:r>
      <w:r w:rsidRPr="0056692A">
        <w:rPr>
          <w:rStyle w:val="StyleUnderline"/>
          <w:highlight w:val="green"/>
        </w:rPr>
        <w:t>rendering the</w:t>
      </w:r>
      <w:r w:rsidRPr="0046199F">
        <w:rPr>
          <w:rStyle w:val="StyleUnderline"/>
        </w:rPr>
        <w:t xml:space="preserve"> output of such </w:t>
      </w:r>
      <w:r w:rsidRPr="0056692A">
        <w:rPr>
          <w:rStyle w:val="StyleUnderline"/>
          <w:highlight w:val="green"/>
        </w:rPr>
        <w:t>research</w:t>
      </w:r>
      <w:r w:rsidRPr="0046199F">
        <w:rPr>
          <w:rStyle w:val="StyleUnderline"/>
        </w:rPr>
        <w:t xml:space="preserve"> highly </w:t>
      </w:r>
      <w:r w:rsidRPr="0056692A">
        <w:rPr>
          <w:rStyle w:val="StyleUnderline"/>
          <w:highlight w:val="green"/>
        </w:rPr>
        <w:t>nonexcludable</w:t>
      </w:r>
      <w:r w:rsidRPr="0046199F">
        <w:rPr>
          <w:rStyle w:val="StyleUnderline"/>
        </w:rPr>
        <w:t>.”</w:t>
      </w:r>
      <w:r w:rsidRPr="00CB4F5D">
        <w:rPr>
          <w:sz w:val="14"/>
        </w:rPr>
        <w:t xml:space="preserve"> Kapczynski &amp; Syed (2013, p. 1951). 2. Governmental Purchases and Tax Credits</w:t>
      </w:r>
      <w:r>
        <w:rPr>
          <w:sz w:val="14"/>
        </w:rPr>
        <w:t xml:space="preserve"> </w:t>
      </w:r>
      <w:r w:rsidRPr="00E8799B">
        <w:rPr>
          <w:sz w:val="14"/>
        </w:rPr>
        <w:t xml:space="preserve">Above, we noted that the </w:t>
      </w:r>
      <w:r w:rsidRPr="00642D9F">
        <w:rPr>
          <w:rStyle w:val="StyleUnderline"/>
          <w:highlight w:val="green"/>
        </w:rPr>
        <w:t>government</w:t>
      </w:r>
      <w:r w:rsidRPr="00ED5036">
        <w:rPr>
          <w:rStyle w:val="StyleUnderline"/>
        </w:rPr>
        <w:t xml:space="preserve"> might create something akin to a prize system by </w:t>
      </w:r>
      <w:r w:rsidRPr="00A51582">
        <w:rPr>
          <w:rStyle w:val="Emphasis"/>
          <w:highlight w:val="green"/>
        </w:rPr>
        <w:t>giv</w:t>
      </w:r>
      <w:r w:rsidRPr="00A51582">
        <w:rPr>
          <w:rStyle w:val="Emphasis"/>
        </w:rPr>
        <w:t xml:space="preserve">ing </w:t>
      </w:r>
      <w:r w:rsidRPr="00A51582">
        <w:rPr>
          <w:rStyle w:val="Emphasis"/>
          <w:highlight w:val="green"/>
        </w:rPr>
        <w:t>coupons to low-income consumers</w:t>
      </w:r>
      <w:r w:rsidRPr="00E8799B">
        <w:rPr>
          <w:rStyle w:val="StyleUnderline"/>
          <w:highlight w:val="green"/>
        </w:rPr>
        <w:t>.</w:t>
      </w:r>
      <w:r w:rsidRPr="00E8799B">
        <w:rPr>
          <w:sz w:val="14"/>
        </w:rPr>
        <w:t xml:space="preserve"> There may also be other ways by which the government can help consumers obtain patented products in a way that reduces deadweight loss, yet possibly without the need to evaluate the contributions of individual inventions. </w:t>
      </w:r>
      <w:r w:rsidRPr="00ED5036">
        <w:rPr>
          <w:rStyle w:val="StyleUnderline"/>
        </w:rPr>
        <w:t xml:space="preserve">For example, </w:t>
      </w:r>
      <w:r w:rsidRPr="00AA5CCA">
        <w:rPr>
          <w:rStyle w:val="StyleUnderline"/>
          <w:highlight w:val="green"/>
        </w:rPr>
        <w:t>the U</w:t>
      </w:r>
      <w:r w:rsidRPr="00E8799B">
        <w:rPr>
          <w:rStyle w:val="StyleUnderline"/>
          <w:highlight w:val="green"/>
        </w:rPr>
        <w:t>.S.</w:t>
      </w:r>
      <w:r w:rsidRPr="00ED5036">
        <w:rPr>
          <w:rStyle w:val="StyleUnderline"/>
        </w:rPr>
        <w:t xml:space="preserve"> government </w:t>
      </w:r>
      <w:r w:rsidRPr="00E8799B">
        <w:rPr>
          <w:rStyle w:val="StyleUnderline"/>
          <w:highlight w:val="green"/>
        </w:rPr>
        <w:t>subsidizes health insurance through</w:t>
      </w:r>
      <w:r w:rsidRPr="00ED5036">
        <w:rPr>
          <w:rStyle w:val="StyleUnderline"/>
        </w:rPr>
        <w:t xml:space="preserve"> its </w:t>
      </w:r>
      <w:r w:rsidRPr="00E8799B">
        <w:rPr>
          <w:rStyle w:val="StyleUnderline"/>
          <w:highlight w:val="green"/>
        </w:rPr>
        <w:t>tax</w:t>
      </w:r>
      <w:r w:rsidRPr="00ED5036">
        <w:rPr>
          <w:rStyle w:val="StyleUnderline"/>
        </w:rPr>
        <w:t xml:space="preserve"> code.</w:t>
      </w:r>
      <w:r w:rsidRPr="00E8799B">
        <w:rPr>
          <w:sz w:val="14"/>
        </w:rPr>
        <w:t xml:space="preserve"> Roin (2014, p. 1051) argues that this may be administratively much simpler than giving coupons to individual consumers. </w:t>
      </w:r>
      <w:r w:rsidRPr="00ED5036">
        <w:rPr>
          <w:rStyle w:val="StyleUnderline"/>
        </w:rPr>
        <w:t xml:space="preserve">Health insurance creates a two-part pricing scheme for pharmaceuticals. </w:t>
      </w:r>
      <w:r w:rsidRPr="00793921">
        <w:rPr>
          <w:rStyle w:val="StyleUnderline"/>
          <w:highlight w:val="green"/>
        </w:rPr>
        <w:t>Consumers pay</w:t>
      </w:r>
      <w:r w:rsidRPr="00793921">
        <w:rPr>
          <w:rStyle w:val="StyleUnderline"/>
        </w:rPr>
        <w:t xml:space="preserve"> a</w:t>
      </w:r>
      <w:r w:rsidRPr="00ED5036">
        <w:rPr>
          <w:rStyle w:val="StyleUnderline"/>
        </w:rPr>
        <w:t xml:space="preserve"> fixed amount for health insurance and then </w:t>
      </w:r>
      <w:r w:rsidRPr="00CF2456">
        <w:rPr>
          <w:rStyle w:val="StyleUnderline"/>
          <w:highlight w:val="green"/>
        </w:rPr>
        <w:t>a copayment for</w:t>
      </w:r>
      <w:r w:rsidRPr="00ED5036">
        <w:rPr>
          <w:rStyle w:val="StyleUnderline"/>
        </w:rPr>
        <w:t xml:space="preserve"> individual </w:t>
      </w:r>
      <w:r w:rsidRPr="00CF2456">
        <w:rPr>
          <w:rStyle w:val="StyleUnderline"/>
          <w:highlight w:val="green"/>
        </w:rPr>
        <w:t>prescriptions</w:t>
      </w:r>
      <w:r w:rsidRPr="00D62593">
        <w:rPr>
          <w:rStyle w:val="StyleUnderline"/>
        </w:rPr>
        <w:t>. This copayment may be relatively</w:t>
      </w:r>
      <w:r w:rsidRPr="00ED5036">
        <w:rPr>
          <w:rStyle w:val="StyleUnderline"/>
        </w:rPr>
        <w:t xml:space="preserve"> </w:t>
      </w:r>
      <w:r w:rsidRPr="00CF2456">
        <w:rPr>
          <w:rStyle w:val="StyleUnderline"/>
          <w:highlight w:val="green"/>
        </w:rPr>
        <w:t>close to marginal cost</w:t>
      </w:r>
      <w:r w:rsidRPr="00ED5036">
        <w:rPr>
          <w:rStyle w:val="StyleUnderline"/>
        </w:rPr>
        <w:t>.</w:t>
      </w:r>
      <w:r w:rsidRPr="00E8799B">
        <w:rPr>
          <w:sz w:val="14"/>
        </w:rPr>
        <w:t xml:space="preserve"> Roin also argues that </w:t>
      </w:r>
      <w:r w:rsidRPr="00793921">
        <w:rPr>
          <w:rStyle w:val="StyleUnderline"/>
        </w:rPr>
        <w:t xml:space="preserve">the </w:t>
      </w:r>
      <w:r w:rsidRPr="000C0E3D">
        <w:rPr>
          <w:rStyle w:val="StyleUnderline"/>
          <w:highlight w:val="green"/>
        </w:rPr>
        <w:t>government might combine subsidies</w:t>
      </w:r>
      <w:r w:rsidRPr="000C0E3D">
        <w:rPr>
          <w:rStyle w:val="StyleUnderline"/>
        </w:rPr>
        <w:t xml:space="preserve"> for</w:t>
      </w:r>
      <w:r w:rsidRPr="00793921">
        <w:rPr>
          <w:rStyle w:val="StyleUnderline"/>
        </w:rPr>
        <w:t xml:space="preserve"> health </w:t>
      </w:r>
      <w:r w:rsidRPr="000C0E3D">
        <w:rPr>
          <w:rStyle w:val="StyleUnderline"/>
          <w:highlight w:val="green"/>
        </w:rPr>
        <w:t>insurance with price controls to ensure</w:t>
      </w:r>
      <w:r w:rsidRPr="00793921">
        <w:rPr>
          <w:rStyle w:val="StyleUnderline"/>
        </w:rPr>
        <w:t xml:space="preserve"> that the consumer </w:t>
      </w:r>
      <w:r w:rsidRPr="000C0E3D">
        <w:rPr>
          <w:rStyle w:val="StyleUnderline"/>
          <w:highlight w:val="green"/>
        </w:rPr>
        <w:t>price</w:t>
      </w:r>
      <w:r w:rsidRPr="00793921">
        <w:rPr>
          <w:rStyle w:val="StyleUnderline"/>
        </w:rPr>
        <w:t xml:space="preserve"> ends up relatively </w:t>
      </w:r>
      <w:r w:rsidRPr="000C0E3D">
        <w:rPr>
          <w:rStyle w:val="StyleUnderline"/>
          <w:highlight w:val="green"/>
        </w:rPr>
        <w:t>close to marginal cost.</w:t>
      </w:r>
      <w:r w:rsidRPr="00793921">
        <w:rPr>
          <w:rStyle w:val="StyleUnderline"/>
        </w:rPr>
        <w:t xml:space="preserve"> Many national health systems help to drive prices for consumers to levels near marginal cost without creating a formal prize system.</w:t>
      </w:r>
      <w:r w:rsidRPr="00E8799B">
        <w:rPr>
          <w:sz w:val="14"/>
        </w:rPr>
        <w:t xml:space="preserve"> </w:t>
      </w:r>
      <w:r w:rsidRPr="000C0E3D">
        <w:rPr>
          <w:rStyle w:val="StyleUnderline"/>
          <w:highlight w:val="green"/>
        </w:rPr>
        <w:t>The effect</w:t>
      </w:r>
      <w:r w:rsidRPr="00E8799B">
        <w:rPr>
          <w:sz w:val="14"/>
        </w:rPr>
        <w:t xml:space="preserve">, he argues, is to </w:t>
      </w:r>
      <w:r w:rsidRPr="00E8799B">
        <w:rPr>
          <w:rStyle w:val="StyleUnderline"/>
          <w:highlight w:val="green"/>
        </w:rPr>
        <w:t>create</w:t>
      </w:r>
      <w:r w:rsidRPr="00E8799B">
        <w:rPr>
          <w:rStyle w:val="StyleUnderline"/>
        </w:rPr>
        <w:t xml:space="preserve"> the </w:t>
      </w:r>
      <w:r w:rsidRPr="00E8799B">
        <w:rPr>
          <w:rStyle w:val="StyleUnderline"/>
          <w:highlight w:val="green"/>
        </w:rPr>
        <w:t>benefits of a patent buyout scheme while retaining</w:t>
      </w:r>
      <w:r w:rsidRPr="00E8799B">
        <w:rPr>
          <w:rStyle w:val="StyleUnderline"/>
        </w:rPr>
        <w:t xml:space="preserve"> the system of </w:t>
      </w:r>
      <w:r w:rsidRPr="00E8799B">
        <w:rPr>
          <w:rStyle w:val="StyleUnderline"/>
          <w:highlight w:val="green"/>
        </w:rPr>
        <w:t>i</w:t>
      </w:r>
      <w:r w:rsidRPr="00E8799B">
        <w:rPr>
          <w:rStyle w:val="StyleUnderline"/>
        </w:rPr>
        <w:t xml:space="preserve">ntellectual </w:t>
      </w:r>
      <w:r w:rsidRPr="00E8799B">
        <w:rPr>
          <w:rStyle w:val="StyleUnderline"/>
          <w:highlight w:val="green"/>
        </w:rPr>
        <w:t>p</w:t>
      </w:r>
      <w:r w:rsidRPr="00E8799B">
        <w:rPr>
          <w:rStyle w:val="StyleUnderline"/>
        </w:rPr>
        <w:t>roperty and arguably reducing the informational demands on the government.</w:t>
      </w:r>
      <w:r w:rsidRPr="00E8799B">
        <w:rPr>
          <w:sz w:val="14"/>
        </w:rPr>
        <w:t xml:space="preserve"> It may not be easy to apply the same logic outside the health insurance context, though in principle a combination of private ordering and governmental subsidies could reduce consumer costs for other goods. Consumers often buy goods (such as cable television subscriptions) with a high fixed and low marginal price component, and government policy could further encourage this. We have, of course, only scratched the surface of the ways in which the government can create innovation through its own purchases. Carroll (2009, p. 1369-70) offers an expanded taxonomy of means by which the government can encourage innovation, noting the possibility of “direct provision of creators or innovators employed by the government.” Kalil (2006, p. 7) argues that a benefit of prize-and-reward systems it that they avoid the complexities associated with procurement regulations and can thus attract teams who otherwise would not be positioned to do business with the government. Brennan et al. (2012, p. 27) offer some guidance on when procurement may be appropriate. While grants will be useful when the government wishes to reduce the risks of inventors but does not know the best approach to take, procurement will work better for a known objective and solution. Prizes may reduce risk somewhat and may be especially appropriate where a specific objective is known but the means to obtain that objective is unknown. </w:t>
      </w:r>
      <w:proofErr w:type="spellStart"/>
      <w:r w:rsidRPr="00E8799B">
        <w:rPr>
          <w:sz w:val="14"/>
        </w:rPr>
        <w:t>Hemel</w:t>
      </w:r>
      <w:proofErr w:type="spellEnd"/>
      <w:r w:rsidRPr="00E8799B">
        <w:rPr>
          <w:sz w:val="14"/>
        </w:rPr>
        <w:t xml:space="preserve"> and Ouellette (2013) argue that </w:t>
      </w:r>
      <w:r w:rsidRPr="00A51582">
        <w:rPr>
          <w:rStyle w:val="Emphasis"/>
          <w:highlight w:val="green"/>
        </w:rPr>
        <w:t>tax credits</w:t>
      </w:r>
      <w:r w:rsidRPr="00A51582">
        <w:rPr>
          <w:rStyle w:val="Emphasis"/>
        </w:rPr>
        <w:t xml:space="preserve"> also have potential advantages as means of funding innovation.</w:t>
      </w:r>
      <w:r w:rsidRPr="00E8799B">
        <w:rPr>
          <w:rStyle w:val="StyleUnderline"/>
        </w:rPr>
        <w:t xml:space="preserve"> Tax credits </w:t>
      </w:r>
      <w:r w:rsidRPr="00E8799B">
        <w:rPr>
          <w:rStyle w:val="StyleUnderline"/>
          <w:highlight w:val="green"/>
        </w:rPr>
        <w:t>require less</w:t>
      </w:r>
      <w:r w:rsidRPr="00E8799B">
        <w:rPr>
          <w:rStyle w:val="StyleUnderline"/>
        </w:rPr>
        <w:t xml:space="preserve"> direct </w:t>
      </w:r>
      <w:r w:rsidRPr="00E8799B">
        <w:rPr>
          <w:rStyle w:val="StyleUnderline"/>
          <w:highlight w:val="green"/>
        </w:rPr>
        <w:t>governmental involvement</w:t>
      </w:r>
      <w:r w:rsidRPr="00E8799B">
        <w:rPr>
          <w:rStyle w:val="StyleUnderline"/>
        </w:rPr>
        <w:t xml:space="preserve"> and supervision than any of the other methods of </w:t>
      </w:r>
      <w:r w:rsidRPr="00E8799B">
        <w:rPr>
          <w:rStyle w:val="StyleUnderline"/>
          <w:highlight w:val="green"/>
        </w:rPr>
        <w:t>encouraging innovation</w:t>
      </w:r>
      <w:r w:rsidRPr="00E8799B">
        <w:rPr>
          <w:rStyle w:val="StyleUnderline"/>
        </w:rPr>
        <w:t xml:space="preserve">. Tax credits, they argue “may be optimal where potential </w:t>
      </w:r>
      <w:r w:rsidRPr="00E8799B">
        <w:rPr>
          <w:rStyle w:val="StyleUnderline"/>
          <w:highlight w:val="green"/>
        </w:rPr>
        <w:t>innovators have private information</w:t>
      </w:r>
      <w:r w:rsidRPr="00E8799B">
        <w:rPr>
          <w:rStyle w:val="StyleUnderline"/>
        </w:rPr>
        <w:t xml:space="preserve"> about project prospects </w:t>
      </w:r>
      <w:r w:rsidRPr="00E8799B">
        <w:rPr>
          <w:rStyle w:val="StyleUnderline"/>
          <w:highlight w:val="green"/>
        </w:rPr>
        <w:t>and limited access to</w:t>
      </w:r>
      <w:r w:rsidRPr="00E8799B">
        <w:rPr>
          <w:rStyle w:val="StyleUnderline"/>
        </w:rPr>
        <w:t xml:space="preserve"> outside </w:t>
      </w:r>
      <w:r w:rsidRPr="00E8799B">
        <w:rPr>
          <w:rStyle w:val="StyleUnderline"/>
          <w:highlight w:val="green"/>
        </w:rPr>
        <w:t>capital</w:t>
      </w:r>
      <w:r w:rsidRPr="00E8799B">
        <w:rPr>
          <w:rStyle w:val="StyleUnderline"/>
        </w:rPr>
        <w:t>.”</w:t>
      </w:r>
      <w:r w:rsidRPr="00E8799B">
        <w:rPr>
          <w:sz w:val="14"/>
        </w:rPr>
        <w:t xml:space="preserve"> (p. 303) </w:t>
      </w:r>
      <w:r w:rsidRPr="00A51582">
        <w:rPr>
          <w:rStyle w:val="Emphasis"/>
        </w:rPr>
        <w:t>Tax credits</w:t>
      </w:r>
      <w:r w:rsidRPr="00E8799B">
        <w:rPr>
          <w:rStyle w:val="StyleUnderline"/>
        </w:rPr>
        <w:t xml:space="preserve"> </w:t>
      </w:r>
      <w:r w:rsidRPr="00B72A31">
        <w:rPr>
          <w:rStyle w:val="StyleUnderline"/>
          <w:highlight w:val="green"/>
        </w:rPr>
        <w:t>can be</w:t>
      </w:r>
      <w:r w:rsidRPr="00E8799B">
        <w:rPr>
          <w:rStyle w:val="StyleUnderline"/>
        </w:rPr>
        <w:t xml:space="preserve"> structured as deductions or as </w:t>
      </w:r>
      <w:r w:rsidRPr="00A51582">
        <w:rPr>
          <w:rStyle w:val="Emphasis"/>
          <w:highlight w:val="green"/>
        </w:rPr>
        <w:t>refundable</w:t>
      </w:r>
      <w:r w:rsidRPr="00E8799B">
        <w:rPr>
          <w:rStyle w:val="StyleUnderline"/>
        </w:rPr>
        <w:t xml:space="preserve">, which </w:t>
      </w:r>
      <w:r w:rsidRPr="00B72A31">
        <w:rPr>
          <w:rStyle w:val="StyleUnderline"/>
          <w:highlight w:val="green"/>
        </w:rPr>
        <w:t>provides</w:t>
      </w:r>
      <w:r w:rsidRPr="00E8799B">
        <w:rPr>
          <w:rStyle w:val="StyleUnderline"/>
        </w:rPr>
        <w:t xml:space="preserve"> </w:t>
      </w:r>
      <w:r w:rsidRPr="00A51582">
        <w:rPr>
          <w:rStyle w:val="Emphasis"/>
        </w:rPr>
        <w:t xml:space="preserve">stronger </w:t>
      </w:r>
      <w:r w:rsidRPr="00A51582">
        <w:rPr>
          <w:rStyle w:val="Emphasis"/>
          <w:highlight w:val="green"/>
        </w:rPr>
        <w:t>incentives for startup</w:t>
      </w:r>
      <w:r w:rsidRPr="00A51582">
        <w:rPr>
          <w:rStyle w:val="Emphasis"/>
        </w:rPr>
        <w:t xml:space="preserve"> companies.</w:t>
      </w:r>
      <w:r w:rsidRPr="00E8799B">
        <w:rPr>
          <w:sz w:val="14"/>
        </w:rPr>
        <w:t xml:space="preserve"> Tax credits can either be administered at a national level or at a state level. Hrdy (2013) argues that in part </w:t>
      </w:r>
      <w:r w:rsidRPr="00B72A31">
        <w:rPr>
          <w:rStyle w:val="StyleUnderline"/>
          <w:highlight w:val="green"/>
        </w:rPr>
        <w:t>because</w:t>
      </w:r>
      <w:r w:rsidRPr="00E8799B">
        <w:rPr>
          <w:rStyle w:val="StyleUnderline"/>
        </w:rPr>
        <w:t xml:space="preserve"> a variety of </w:t>
      </w:r>
      <w:r w:rsidRPr="00B72A31">
        <w:rPr>
          <w:rStyle w:val="StyleUnderline"/>
          <w:highlight w:val="green"/>
        </w:rPr>
        <w:t>doctrines limit</w:t>
      </w:r>
      <w:r w:rsidRPr="00E8799B">
        <w:rPr>
          <w:rStyle w:val="StyleUnderline"/>
        </w:rPr>
        <w:t xml:space="preserve"> the ability of </w:t>
      </w:r>
      <w:r w:rsidRPr="00B72A31">
        <w:rPr>
          <w:rStyle w:val="StyleUnderline"/>
          <w:highlight w:val="green"/>
        </w:rPr>
        <w:t>states to create</w:t>
      </w:r>
      <w:r w:rsidRPr="00E8799B">
        <w:rPr>
          <w:rStyle w:val="StyleUnderline"/>
        </w:rPr>
        <w:t xml:space="preserve"> patent </w:t>
      </w:r>
      <w:r w:rsidRPr="00B72A31">
        <w:rPr>
          <w:rStyle w:val="StyleUnderline"/>
          <w:highlight w:val="green"/>
        </w:rPr>
        <w:t>policies, states</w:t>
      </w:r>
      <w:r w:rsidRPr="00E8799B">
        <w:rPr>
          <w:rStyle w:val="StyleUnderline"/>
        </w:rPr>
        <w:t xml:space="preserve"> have </w:t>
      </w:r>
      <w:r w:rsidRPr="00B72A31">
        <w:rPr>
          <w:rStyle w:val="StyleUnderline"/>
          <w:highlight w:val="green"/>
        </w:rPr>
        <w:t>focused</w:t>
      </w:r>
      <w:r w:rsidRPr="00E8799B">
        <w:rPr>
          <w:rStyle w:val="StyleUnderline"/>
        </w:rPr>
        <w:t xml:space="preserve"> largely </w:t>
      </w:r>
      <w:r w:rsidRPr="00B72A31">
        <w:rPr>
          <w:rStyle w:val="StyleUnderline"/>
          <w:highlight w:val="green"/>
        </w:rPr>
        <w:t>on providing tax credits</w:t>
      </w:r>
      <w:r w:rsidRPr="00E8799B">
        <w:rPr>
          <w:rStyle w:val="StyleUnderline"/>
        </w:rPr>
        <w:t xml:space="preserve"> as a mechanism </w:t>
      </w:r>
      <w:r w:rsidRPr="00B72A31">
        <w:rPr>
          <w:rStyle w:val="StyleUnderline"/>
          <w:highlight w:val="green"/>
        </w:rPr>
        <w:t>for</w:t>
      </w:r>
      <w:r w:rsidRPr="00E8799B">
        <w:rPr>
          <w:rStyle w:val="StyleUnderline"/>
        </w:rPr>
        <w:t xml:space="preserve"> encouraging </w:t>
      </w:r>
      <w:r w:rsidRPr="00B72A31">
        <w:rPr>
          <w:rStyle w:val="StyleUnderline"/>
          <w:highlight w:val="green"/>
        </w:rPr>
        <w:t>innovation</w:t>
      </w:r>
      <w:r w:rsidRPr="00E8799B">
        <w:rPr>
          <w:rStyle w:val="StyleUnderline"/>
        </w:rPr>
        <w:t xml:space="preserve">. </w:t>
      </w:r>
      <w:r w:rsidRPr="00E8799B">
        <w:rPr>
          <w:sz w:val="14"/>
        </w:rPr>
        <w:t>As Hrdy’s argument suggests, a significant drawback of tax credits relative to rewards is that they provide the government relatively little ability to adjust for ways in which the patent system may not align private and social incentives.</w:t>
      </w:r>
    </w:p>
    <w:p w14:paraId="75266132" w14:textId="77777777" w:rsidR="00293A24" w:rsidRDefault="00293A24" w:rsidP="00293A24">
      <w:pPr>
        <w:pStyle w:val="Heading2"/>
      </w:pPr>
      <w:r>
        <w:t>Case</w:t>
      </w:r>
    </w:p>
    <w:p w14:paraId="5C6BAFAD" w14:textId="77777777" w:rsidR="00293A24" w:rsidRPr="00550EB1" w:rsidRDefault="00293A24" w:rsidP="00293A24">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2A3F6B12" w14:textId="77777777" w:rsidR="00293A24" w:rsidRPr="00550EB1" w:rsidRDefault="00293A24" w:rsidP="00293A24">
      <w:r w:rsidRPr="00550EB1">
        <w:rPr>
          <w:rStyle w:val="Style13ptBold"/>
        </w:rPr>
        <w:t>Lamp 19</w:t>
      </w:r>
      <w:r w:rsidRPr="00550EB1">
        <w:t xml:space="preserve"> [Nicholas; Assistant Professor of Law at Queen’s University; “What Just Happened at the WTO? Everything You Need to Know, Brink News,” 12/16/19; </w:t>
      </w:r>
      <w:hyperlink r:id="rId18" w:history="1">
        <w:r w:rsidRPr="00550EB1">
          <w:rPr>
            <w:rStyle w:val="Hyperlink"/>
          </w:rPr>
          <w:t>https://www.brinknews.com/what-just-happened-at-the-wto-everything-you-need-to-know/</w:t>
        </w:r>
      </w:hyperlink>
      <w:r w:rsidRPr="00550EB1">
        <w:t>] Justin</w:t>
      </w:r>
    </w:p>
    <w:p w14:paraId="5DFB689B" w14:textId="77777777" w:rsidR="00293A24" w:rsidRPr="00550EB1" w:rsidRDefault="00293A24" w:rsidP="00293A24">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10E8DEB3" w14:textId="77777777" w:rsidR="00293A24" w:rsidRPr="00550EB1" w:rsidRDefault="00293A24" w:rsidP="00293A24">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50B42B14" w14:textId="77777777" w:rsidR="00293A24" w:rsidRPr="00550EB1" w:rsidRDefault="00293A24" w:rsidP="00293A24">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2AE584FE" w14:textId="77777777" w:rsidR="00293A24" w:rsidRPr="0072773E" w:rsidRDefault="00293A24" w:rsidP="00293A24"/>
    <w:p w14:paraId="422BDF3D" w14:textId="77777777" w:rsidR="00293A24" w:rsidRPr="0016044B" w:rsidRDefault="00293A24" w:rsidP="00293A24">
      <w:pPr>
        <w:pStyle w:val="Heading4"/>
      </w:pPr>
      <w:r>
        <w:t xml:space="preserve">States wouldn’t implement TRIPS – endless filibustering in the </w:t>
      </w:r>
      <w:proofErr w:type="spellStart"/>
      <w:r>
        <w:t>squo</w:t>
      </w:r>
      <w:proofErr w:type="spellEnd"/>
      <w:r>
        <w:t xml:space="preserve"> by Europe, the UK, Russia, etc. should be enough proof, but they also have no incentive to listen since countries are split on the issue, and </w:t>
      </w:r>
      <w:proofErr w:type="spellStart"/>
      <w:r>
        <w:t>its</w:t>
      </w:r>
      <w:proofErr w:type="spellEnd"/>
      <w:r>
        <w:t xml:space="preserve"> not unanimous</w:t>
      </w:r>
    </w:p>
    <w:p w14:paraId="281FEE45" w14:textId="77777777" w:rsidR="00293A24" w:rsidRPr="00DE471A" w:rsidRDefault="00293A24" w:rsidP="00293A24">
      <w:pPr>
        <w:pStyle w:val="Heading4"/>
      </w:pPr>
      <w:r>
        <w:t xml:space="preserve">All </w:t>
      </w:r>
      <w:proofErr w:type="spellStart"/>
      <w:r>
        <w:t>aff</w:t>
      </w:r>
      <w:proofErr w:type="spellEnd"/>
      <w:r>
        <w:t xml:space="preserve"> </w:t>
      </w:r>
      <w:proofErr w:type="spellStart"/>
      <w:r>
        <w:t>ev</w:t>
      </w:r>
      <w:proofErr w:type="spellEnd"/>
      <w:r>
        <w:t xml:space="preserve"> is in the context of nations agreeing to the TRIPS waiver, which is distinct [explain contextual to the </w:t>
      </w:r>
      <w:proofErr w:type="spellStart"/>
      <w:r>
        <w:t>aff</w:t>
      </w:r>
      <w:proofErr w:type="spellEnd"/>
      <w:r>
        <w:t>]</w:t>
      </w:r>
    </w:p>
    <w:p w14:paraId="6C048F00" w14:textId="04B4A742" w:rsidR="00293A24" w:rsidRDefault="00293A24" w:rsidP="00293A24">
      <w:pPr>
        <w:pStyle w:val="Heading4"/>
      </w:pPr>
      <w:r w:rsidRPr="000B7C00">
        <w:t xml:space="preserve">Circumvention </w:t>
      </w:r>
      <w:r w:rsidRPr="000B7C00">
        <w:rPr>
          <w:u w:val="single"/>
        </w:rPr>
        <w:t>is</w:t>
      </w:r>
      <w:r w:rsidRPr="000B7C00">
        <w:t xml:space="preserve"> a neg argument – </w:t>
      </w:r>
      <w:r w:rsidRPr="000B7C00">
        <w:rPr>
          <w:u w:val="single"/>
        </w:rPr>
        <w:t>core of the topic</w:t>
      </w:r>
      <w:r w:rsidRPr="000B7C00">
        <w:t xml:space="preserve"> literature is whether countries would do it which is why there are huge debates on the EU, UK, China, </w:t>
      </w:r>
      <w:proofErr w:type="spellStart"/>
      <w:r w:rsidRPr="000B7C00">
        <w:t>etc</w:t>
      </w:r>
      <w:proofErr w:type="spellEnd"/>
      <w:r w:rsidRPr="000B7C00">
        <w:t xml:space="preserve"> agreeing to a waiver </w:t>
      </w:r>
    </w:p>
    <w:p w14:paraId="21813B09" w14:textId="77777777" w:rsidR="00DE41B8" w:rsidRPr="00DE41B8" w:rsidRDefault="00DE41B8" w:rsidP="00DE41B8"/>
    <w:p w14:paraId="03A80FA9" w14:textId="77777777" w:rsidR="00CB6C21" w:rsidRPr="00492402" w:rsidRDefault="00CB6C21" w:rsidP="00CB6C21"/>
    <w:p w14:paraId="616D6869" w14:textId="77777777" w:rsidR="00CB6C21" w:rsidRPr="004B4FA3" w:rsidRDefault="00CB6C21" w:rsidP="00CB6C21"/>
    <w:p w14:paraId="397697A0" w14:textId="77777777" w:rsidR="00BF4BA4" w:rsidRPr="00BF4BA4" w:rsidRDefault="00BF4BA4" w:rsidP="00BF4BA4"/>
    <w:sectPr w:rsidR="00BF4BA4" w:rsidRPr="00BF4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1BF6"/>
    <w:rsid w:val="000139A3"/>
    <w:rsid w:val="00070A84"/>
    <w:rsid w:val="00100833"/>
    <w:rsid w:val="00104529"/>
    <w:rsid w:val="00105942"/>
    <w:rsid w:val="00107396"/>
    <w:rsid w:val="00144A4C"/>
    <w:rsid w:val="00176AB0"/>
    <w:rsid w:val="00177B7D"/>
    <w:rsid w:val="0018322D"/>
    <w:rsid w:val="001902BE"/>
    <w:rsid w:val="001A7800"/>
    <w:rsid w:val="001B5776"/>
    <w:rsid w:val="001E527A"/>
    <w:rsid w:val="001E71B9"/>
    <w:rsid w:val="001F78CE"/>
    <w:rsid w:val="002345F6"/>
    <w:rsid w:val="00251FC7"/>
    <w:rsid w:val="002855A7"/>
    <w:rsid w:val="00293A24"/>
    <w:rsid w:val="002B146A"/>
    <w:rsid w:val="002B5E17"/>
    <w:rsid w:val="00305764"/>
    <w:rsid w:val="00315690"/>
    <w:rsid w:val="00316B75"/>
    <w:rsid w:val="00325646"/>
    <w:rsid w:val="003460F2"/>
    <w:rsid w:val="0038158C"/>
    <w:rsid w:val="003902BA"/>
    <w:rsid w:val="003A09E2"/>
    <w:rsid w:val="00407037"/>
    <w:rsid w:val="00422047"/>
    <w:rsid w:val="004605D6"/>
    <w:rsid w:val="004C0EB8"/>
    <w:rsid w:val="004C60E8"/>
    <w:rsid w:val="004E3579"/>
    <w:rsid w:val="004E728B"/>
    <w:rsid w:val="004F39E0"/>
    <w:rsid w:val="00513965"/>
    <w:rsid w:val="00537BD5"/>
    <w:rsid w:val="0057268A"/>
    <w:rsid w:val="00584F7F"/>
    <w:rsid w:val="005D2912"/>
    <w:rsid w:val="006065BD"/>
    <w:rsid w:val="00645FA9"/>
    <w:rsid w:val="00647866"/>
    <w:rsid w:val="00665003"/>
    <w:rsid w:val="006A2AD0"/>
    <w:rsid w:val="006C2375"/>
    <w:rsid w:val="006D4ECC"/>
    <w:rsid w:val="00722258"/>
    <w:rsid w:val="007243E5"/>
    <w:rsid w:val="00766EA0"/>
    <w:rsid w:val="007A2226"/>
    <w:rsid w:val="007F5B66"/>
    <w:rsid w:val="00821CC9"/>
    <w:rsid w:val="00823A1C"/>
    <w:rsid w:val="00845B9D"/>
    <w:rsid w:val="00860984"/>
    <w:rsid w:val="008B3ECB"/>
    <w:rsid w:val="008B4E85"/>
    <w:rsid w:val="008C1B2E"/>
    <w:rsid w:val="0091627E"/>
    <w:rsid w:val="0097032B"/>
    <w:rsid w:val="009A0F28"/>
    <w:rsid w:val="009C5A9A"/>
    <w:rsid w:val="009D2EAD"/>
    <w:rsid w:val="009D54B2"/>
    <w:rsid w:val="009E1922"/>
    <w:rsid w:val="009F7ED2"/>
    <w:rsid w:val="00A93661"/>
    <w:rsid w:val="00A95652"/>
    <w:rsid w:val="00AC0AB8"/>
    <w:rsid w:val="00B21BF6"/>
    <w:rsid w:val="00B33C6D"/>
    <w:rsid w:val="00B4508F"/>
    <w:rsid w:val="00B55AD5"/>
    <w:rsid w:val="00B654EA"/>
    <w:rsid w:val="00B8057C"/>
    <w:rsid w:val="00BD6238"/>
    <w:rsid w:val="00BF4BA4"/>
    <w:rsid w:val="00BF593B"/>
    <w:rsid w:val="00BF773A"/>
    <w:rsid w:val="00BF7E81"/>
    <w:rsid w:val="00C13773"/>
    <w:rsid w:val="00C17CC8"/>
    <w:rsid w:val="00C53062"/>
    <w:rsid w:val="00C83417"/>
    <w:rsid w:val="00C9604F"/>
    <w:rsid w:val="00CA19AA"/>
    <w:rsid w:val="00CB6C21"/>
    <w:rsid w:val="00CC5298"/>
    <w:rsid w:val="00CD736E"/>
    <w:rsid w:val="00CD798D"/>
    <w:rsid w:val="00CE161E"/>
    <w:rsid w:val="00CF483B"/>
    <w:rsid w:val="00CF59A8"/>
    <w:rsid w:val="00D325A9"/>
    <w:rsid w:val="00D36A8A"/>
    <w:rsid w:val="00D61409"/>
    <w:rsid w:val="00D6691E"/>
    <w:rsid w:val="00D71170"/>
    <w:rsid w:val="00D750A3"/>
    <w:rsid w:val="00DA1C92"/>
    <w:rsid w:val="00DA25D4"/>
    <w:rsid w:val="00DA6538"/>
    <w:rsid w:val="00DE41B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B3762"/>
  <w15:chartTrackingRefBased/>
  <w15:docId w15:val="{8C5DADC1-B1FF-474B-A28E-5986415D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0F28"/>
    <w:rPr>
      <w:rFonts w:ascii="Calibri" w:hAnsi="Calibri"/>
    </w:rPr>
  </w:style>
  <w:style w:type="paragraph" w:styleId="Heading1">
    <w:name w:val="heading 1"/>
    <w:aliases w:val="Pocket"/>
    <w:basedOn w:val="Normal"/>
    <w:next w:val="Normal"/>
    <w:link w:val="Heading1Char"/>
    <w:qFormat/>
    <w:rsid w:val="009A0F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0F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CardStyle,Index Headers,Bold Cite,3: Cite,Heading 3 Char1 Char Char,Citation Char Char Char Char,Heading 3 Char Char1,no"/>
    <w:basedOn w:val="Normal"/>
    <w:next w:val="Normal"/>
    <w:link w:val="Heading3Char"/>
    <w:uiPriority w:val="2"/>
    <w:unhideWhenUsed/>
    <w:qFormat/>
    <w:rsid w:val="009A0F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Ch1,T"/>
    <w:basedOn w:val="Normal"/>
    <w:next w:val="Normal"/>
    <w:link w:val="Heading4Char"/>
    <w:uiPriority w:val="3"/>
    <w:unhideWhenUsed/>
    <w:qFormat/>
    <w:rsid w:val="009A0F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0F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0F28"/>
  </w:style>
  <w:style w:type="character" w:customStyle="1" w:styleId="Heading1Char">
    <w:name w:val="Heading 1 Char"/>
    <w:aliases w:val="Pocket Char"/>
    <w:basedOn w:val="DefaultParagraphFont"/>
    <w:link w:val="Heading1"/>
    <w:rsid w:val="009A0F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0F2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CardStyle Char,Index Headers Char,Bold Cite Char,3: Cite Char,No Underline Char"/>
    <w:basedOn w:val="DefaultParagraphFont"/>
    <w:link w:val="Heading3"/>
    <w:uiPriority w:val="2"/>
    <w:rsid w:val="009A0F2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9A0F28"/>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9A0F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0F2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Body text (8) + 9 pt,It"/>
    <w:basedOn w:val="DefaultParagraphFont"/>
    <w:uiPriority w:val="6"/>
    <w:qFormat/>
    <w:rsid w:val="009A0F28"/>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link w:val="NoSpacing"/>
    <w:uiPriority w:val="99"/>
    <w:unhideWhenUsed/>
    <w:rsid w:val="009A0F28"/>
    <w:rPr>
      <w:color w:val="auto"/>
      <w:u w:val="none"/>
    </w:rPr>
  </w:style>
  <w:style w:type="character" w:styleId="FollowedHyperlink">
    <w:name w:val="FollowedHyperlink"/>
    <w:basedOn w:val="DefaultParagraphFont"/>
    <w:uiPriority w:val="99"/>
    <w:semiHidden/>
    <w:unhideWhenUsed/>
    <w:rsid w:val="009A0F28"/>
    <w:rPr>
      <w:color w:val="auto"/>
      <w:u w:val="none"/>
    </w:rPr>
  </w:style>
  <w:style w:type="paragraph" w:customStyle="1" w:styleId="Emphasize">
    <w:name w:val="Emphasize"/>
    <w:basedOn w:val="Normal"/>
    <w:link w:val="Emphasis"/>
    <w:uiPriority w:val="7"/>
    <w:qFormat/>
    <w:rsid w:val="002345F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C53062"/>
    <w:pPr>
      <w:ind w:left="720"/>
      <w:jc w:val="both"/>
    </w:pPr>
    <w:rPr>
      <w:b/>
      <w:iCs/>
      <w:u w:val="single"/>
    </w:rPr>
  </w:style>
  <w:style w:type="paragraph" w:styleId="NoSpacing">
    <w:name w:val="No Spacing"/>
    <w:aliases w:val="Card Format,ClearFormatting,DDI Tag,Tag Title,Dont use,Tag and Cite,No Spacing31,No Spacing22,No Spacing41,No Spacing6,No Spacing7,Very Small Text,No Spacing8,Dont u,No Spacing311,Medium Grid 21,tag,Card,Tags"/>
    <w:basedOn w:val="Heading1"/>
    <w:link w:val="Hyperlink"/>
    <w:autoRedefine/>
    <w:uiPriority w:val="99"/>
    <w:qFormat/>
    <w:rsid w:val="00293A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
    <w:name w:val="p"/>
    <w:basedOn w:val="Normal"/>
    <w:rsid w:val="00CB6C21"/>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brinknews.com/what-just-happened-at-the-wto-everything-you-need-to-know/" TargetMode="External"/><Relationship Id="rId3" Type="http://schemas.openxmlformats.org/officeDocument/2006/relationships/styles" Target="styles.xml"/><Relationship Id="rId7" Type="http://schemas.openxmlformats.org/officeDocument/2006/relationships/hyperlink" Target="http://psnlab.princeton.edu/" TargetMode="Externa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02663-F394-4333-A8E3-7CA630D4E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1</Pages>
  <Words>5373</Words>
  <Characters>30630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5.1.1</cp:keywords>
  <dc:description/>
  <cp:lastModifiedBy>Amz Olz</cp:lastModifiedBy>
  <cp:revision>19</cp:revision>
  <dcterms:created xsi:type="dcterms:W3CDTF">2021-09-26T14:02:00Z</dcterms:created>
  <dcterms:modified xsi:type="dcterms:W3CDTF">2021-09-26T17:03:00Z</dcterms:modified>
</cp:coreProperties>
</file>