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7E9FC" w14:textId="6B1C4156" w:rsidR="00DA33B0" w:rsidRDefault="00DA7457" w:rsidP="00DA7457">
      <w:pPr>
        <w:pStyle w:val="Heading1"/>
      </w:pPr>
      <w:bookmarkStart w:id="0" w:name="_Hlk87784970"/>
      <w:r>
        <w:t>1NC</w:t>
      </w:r>
    </w:p>
    <w:p w14:paraId="36037116" w14:textId="1519848A" w:rsidR="00DA7457" w:rsidRDefault="00DA7457" w:rsidP="00DA7457">
      <w:pPr>
        <w:pStyle w:val="Heading2"/>
      </w:pPr>
      <w:r>
        <w:t>1</w:t>
      </w:r>
    </w:p>
    <w:p w14:paraId="0EFE680B" w14:textId="0CBE21AB" w:rsidR="00DA7457" w:rsidRDefault="00DA7457" w:rsidP="00DA7457">
      <w:pPr>
        <w:pStyle w:val="Heading3"/>
      </w:pPr>
      <w:r>
        <w:t>OFFS</w:t>
      </w:r>
    </w:p>
    <w:p w14:paraId="078ACF36" w14:textId="77777777" w:rsidR="00DA7457" w:rsidRDefault="00DA7457" w:rsidP="00DA7457">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733BFD7E" w14:textId="77777777" w:rsidR="00DA7457" w:rsidRPr="00004468" w:rsidRDefault="00DA7457" w:rsidP="00DA7457">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6" w:history="1">
        <w:r w:rsidRPr="00051040">
          <w:rPr>
            <w:rStyle w:val="Hyperlink"/>
          </w:rPr>
          <w:t>https://www.worldbank.org/en/news/feature/2021/06/08/the-global-economy-on-track-for-strong-but-uneven-growth-as-covid-19-still-weighs</w:t>
        </w:r>
      </w:hyperlink>
      <w:r>
        <w:t xml:space="preserve"> </w:t>
      </w:r>
    </w:p>
    <w:p w14:paraId="5F78B16C" w14:textId="77777777" w:rsidR="00DA7457" w:rsidRPr="00C01178" w:rsidRDefault="00DA7457" w:rsidP="00DA7457">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14:paraId="343B76BE" w14:textId="77777777" w:rsidR="00DA7457" w:rsidRDefault="00DA7457" w:rsidP="00DA7457">
      <w:pPr>
        <w:pStyle w:val="Heading4"/>
      </w:pPr>
      <w:r>
        <w:t xml:space="preserve">Strikes </w:t>
      </w:r>
      <w:r>
        <w:rPr>
          <w:u w:val="single"/>
        </w:rPr>
        <w:t>hurt</w:t>
      </w:r>
      <w:r>
        <w:t xml:space="preserve"> the Economy – two warrants:</w:t>
      </w:r>
    </w:p>
    <w:p w14:paraId="68473030" w14:textId="77777777" w:rsidR="00DA7457" w:rsidRDefault="00DA7457" w:rsidP="00DA7457">
      <w:pPr>
        <w:pStyle w:val="Heading4"/>
      </w:pPr>
      <w:r>
        <w:t xml:space="preserve">1] They hurt critical </w:t>
      </w:r>
      <w:r>
        <w:rPr>
          <w:u w:val="single"/>
        </w:rPr>
        <w:t>core industries</w:t>
      </w:r>
      <w:r>
        <w:t xml:space="preserve"> that is necessary for economic growth</w:t>
      </w:r>
    </w:p>
    <w:p w14:paraId="0E108120" w14:textId="77777777" w:rsidR="00DA7457" w:rsidRPr="00004468" w:rsidRDefault="00DA7457" w:rsidP="00DA7457">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7" w:history="1">
        <w:r w:rsidRPr="00051040">
          <w:rPr>
            <w:rStyle w:val="Hyperlink"/>
          </w:rPr>
          <w:t>https://www.wardsauto.com/ideaxchange/strikes-hurt-everybody</w:t>
        </w:r>
      </w:hyperlink>
      <w:r>
        <w:t xml:space="preserve"> (MPA at McCombs school of Business)</w:t>
      </w:r>
    </w:p>
    <w:p w14:paraId="2A365A61" w14:textId="77777777" w:rsidR="00DA7457" w:rsidRPr="00C01178" w:rsidRDefault="00DA7457" w:rsidP="00DA7457">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02360619" w14:textId="77777777" w:rsidR="00DA7457" w:rsidRDefault="00DA7457" w:rsidP="00DA7457">
      <w:pPr>
        <w:pStyle w:val="Heading4"/>
      </w:pPr>
      <w:r>
        <w:t xml:space="preserve">2] Strikes create a stigmatization effect over labor and consumption that </w:t>
      </w:r>
      <w:r>
        <w:rPr>
          <w:u w:val="single"/>
        </w:rPr>
        <w:t>devastates</w:t>
      </w:r>
      <w:r>
        <w:t xml:space="preserve"> the Economy</w:t>
      </w:r>
    </w:p>
    <w:p w14:paraId="6D948BCD" w14:textId="77777777" w:rsidR="00DA7457" w:rsidRPr="00004468" w:rsidRDefault="00DA7457" w:rsidP="00DA7457">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76C42372" w14:textId="77777777" w:rsidR="00DA7457" w:rsidRPr="00C01178" w:rsidRDefault="00DA7457" w:rsidP="00DA7457">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proofErr w:type="spellStart"/>
      <w:r w:rsidRPr="00C01178">
        <w:rPr>
          <w:highlight w:val="green"/>
          <w:u w:val="single"/>
        </w:rPr>
        <w:t>characterised</w:t>
      </w:r>
      <w:proofErr w:type="spellEnd"/>
      <w:r w:rsidRPr="00C01178">
        <w:rPr>
          <w:highlight w:val="gree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w:t>
      </w:r>
      <w:proofErr w:type="spellStart"/>
      <w:r w:rsidRPr="00C01178">
        <w:rPr>
          <w:highlight w:val="green"/>
          <w:u w:val="single"/>
        </w:rPr>
        <w:t>materialise</w:t>
      </w:r>
      <w:proofErr w:type="spellEnd"/>
      <w:r w:rsidRPr="00C01178">
        <w:rPr>
          <w:highlight w:val="green"/>
          <w:u w:val="single"/>
        </w:rPr>
        <w:t xml:space="preserve"> if </w:t>
      </w:r>
      <w:r w:rsidRPr="00C01178">
        <w:rPr>
          <w:u w:val="single"/>
        </w:rPr>
        <w:t xml:space="preserve">the </w:t>
      </w:r>
      <w:proofErr w:type="spellStart"/>
      <w:r w:rsidRPr="00C01178">
        <w:rPr>
          <w:highlight w:val="green"/>
          <w:u w:val="single"/>
        </w:rPr>
        <w:t>labour</w:t>
      </w:r>
      <w:proofErr w:type="spellEnd"/>
      <w:r w:rsidRPr="00C01178">
        <w:rPr>
          <w:highlight w:val="green"/>
          <w:u w:val="single"/>
        </w:rPr>
        <w:t xml:space="preserve"> environment </w:t>
      </w:r>
      <w:r w:rsidRPr="00C01178">
        <w:rPr>
          <w:b/>
          <w:bCs/>
          <w:highlight w:val="green"/>
          <w:u w:val="single"/>
        </w:rPr>
        <w:t>is not fertile</w:t>
      </w:r>
      <w:r w:rsidRPr="00C01178">
        <w:rPr>
          <w:highlight w:val="gree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5D90B370" w14:textId="77777777" w:rsidR="00DA7457" w:rsidRDefault="00DA7457" w:rsidP="00DA7457">
      <w:pPr>
        <w:pStyle w:val="Heading4"/>
      </w:pPr>
      <w:r>
        <w:t xml:space="preserve">Err Negative – over-estimate the effect on Strikes on the economy since traditional economic measures </w:t>
      </w:r>
      <w:r>
        <w:rPr>
          <w:u w:val="single"/>
        </w:rPr>
        <w:t>underestimate</w:t>
      </w:r>
      <w:r>
        <w:t xml:space="preserve"> the damage.</w:t>
      </w:r>
    </w:p>
    <w:p w14:paraId="1340C69A" w14:textId="77777777" w:rsidR="00DA7457" w:rsidRPr="00004468" w:rsidRDefault="00DA7457" w:rsidP="00DA7457">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8"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370FBF8A" w14:textId="77777777" w:rsidR="00DA7457" w:rsidRPr="00EF06CE" w:rsidRDefault="00DA7457" w:rsidP="00DA7457">
      <w:pPr>
        <w:rPr>
          <w:sz w:val="16"/>
        </w:rPr>
      </w:pPr>
      <w:r w:rsidRPr="00EF06CE">
        <w:rPr>
          <w:sz w:val="16"/>
        </w:rPr>
        <w:t xml:space="preserve">Strikes ­ </w:t>
      </w:r>
      <w:r w:rsidRPr="00C01178">
        <w:rPr>
          <w:highlight w:val="green"/>
          <w:u w:val="single"/>
        </w:rPr>
        <w:t>Simple statistics</w:t>
      </w:r>
      <w:r w:rsidRPr="00EF06CE">
        <w:rPr>
          <w:sz w:val="16"/>
          <w:highlight w:val="green"/>
        </w:rPr>
        <w:t xml:space="preserve"> </w:t>
      </w:r>
      <w:r w:rsidRPr="00EF06CE">
        <w:rPr>
          <w:sz w:val="16"/>
        </w:rPr>
        <w:t xml:space="preserve">on strike activity </w:t>
      </w:r>
      <w:r w:rsidRPr="00C01178">
        <w:rPr>
          <w:highlight w:val="green"/>
          <w:u w:val="single"/>
        </w:rPr>
        <w:t>suggest</w:t>
      </w:r>
      <w:r w:rsidRPr="00EF06CE">
        <w:rPr>
          <w:sz w:val="16"/>
          <w:highlight w:val="green"/>
        </w:rPr>
        <w:t xml:space="preserve"> </w:t>
      </w:r>
      <w:r w:rsidRPr="00EF06CE">
        <w:rPr>
          <w:sz w:val="16"/>
        </w:rPr>
        <w:t xml:space="preserve">that </w:t>
      </w:r>
      <w:r w:rsidRPr="00C01178">
        <w:rPr>
          <w:highlight w:val="green"/>
          <w:u w:val="single"/>
        </w:rPr>
        <w:t>strikes</w:t>
      </w:r>
      <w:r w:rsidRPr="00EF06CE">
        <w:rPr>
          <w:sz w:val="16"/>
          <w:highlight w:val="green"/>
        </w:rPr>
        <w:t xml:space="preserve"> </w:t>
      </w:r>
      <w:r w:rsidRPr="00EF06CE">
        <w:rPr>
          <w:sz w:val="16"/>
        </w:rPr>
        <w:t xml:space="preserve">are relatively rare and the associated aggregate </w:t>
      </w:r>
      <w:r w:rsidRPr="00C01178">
        <w:rPr>
          <w:highlight w:val="gree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C01178">
        <w:rPr>
          <w:highlight w:val="green"/>
          <w:u w:val="single"/>
        </w:rPr>
        <w:t xml:space="preserve">these data </w:t>
      </w:r>
      <w:r w:rsidRPr="00C01178">
        <w:rPr>
          <w:b/>
          <w:bCs/>
          <w:highlight w:val="green"/>
          <w:u w:val="single"/>
          <w:bdr w:val="single" w:sz="4" w:space="0" w:color="auto"/>
        </w:rPr>
        <w:t>can be misleading</w:t>
      </w:r>
      <w:r w:rsidRPr="00EF06CE">
        <w:rPr>
          <w:sz w:val="16"/>
          <w:highlight w:val="green"/>
          <w:bdr w:val="single" w:sz="4" w:space="0" w:color="auto"/>
        </w:rPr>
        <w:t xml:space="preserve"> </w:t>
      </w:r>
      <w:r w:rsidRPr="00C01178">
        <w:rPr>
          <w:b/>
          <w:bCs/>
          <w:highlight w:val="green"/>
          <w:u w:val="single"/>
          <w:bdr w:val="single" w:sz="4" w:space="0" w:color="auto"/>
        </w:rPr>
        <w:t>as a measure of the costliness of a strike.</w:t>
      </w:r>
      <w:r w:rsidRPr="00C01178">
        <w:rPr>
          <w:b/>
          <w:bCs/>
          <w:highlight w:val="gree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C01178">
        <w:rPr>
          <w:highlight w:val="green"/>
          <w:u w:val="single"/>
        </w:rPr>
        <w:t xml:space="preserve">amount lost </w:t>
      </w:r>
      <w:r w:rsidRPr="00EF06CE">
        <w:rPr>
          <w:b/>
          <w:bCs/>
          <w:highlight w:val="green"/>
          <w:u w:val="single"/>
        </w:rPr>
        <w:t>can be understated</w:t>
      </w:r>
      <w:r w:rsidRPr="00EF06CE">
        <w:rPr>
          <w:highlight w:val="green"/>
          <w:u w:val="single"/>
        </w:rPr>
        <w:t xml:space="preserve"> </w:t>
      </w:r>
      <w:r w:rsidRPr="00EF06CE">
        <w:rPr>
          <w:u w:val="single"/>
        </w:rPr>
        <w:t xml:space="preserve">by the data if </w:t>
      </w:r>
      <w:r w:rsidRPr="00EF06CE">
        <w:rPr>
          <w:highlight w:val="green"/>
          <w:u w:val="single"/>
        </w:rPr>
        <w:t xml:space="preserve">production in associated industries </w:t>
      </w:r>
      <w:proofErr w:type="gramStart"/>
      <w:r w:rsidRPr="00EF06CE">
        <w:rPr>
          <w:u w:val="single"/>
        </w:rPr>
        <w:t xml:space="preserve">( </w:t>
      </w:r>
      <w:r w:rsidRPr="00EF06CE">
        <w:rPr>
          <w:highlight w:val="green"/>
          <w:u w:val="single"/>
        </w:rPr>
        <w:t>those</w:t>
      </w:r>
      <w:proofErr w:type="gramEnd"/>
      <w:r w:rsidRPr="00EF06CE">
        <w:rPr>
          <w:highlight w:val="green"/>
          <w:u w:val="single"/>
        </w:rPr>
        <w:t xml:space="preserve"> that buy</w:t>
      </w:r>
      <w:r w:rsidRPr="00EF06CE">
        <w:rPr>
          <w:u w:val="single"/>
        </w:rPr>
        <w:t xml:space="preserve"> inputs from the struck industry </w:t>
      </w:r>
      <w:r w:rsidRPr="00EF06CE">
        <w:rPr>
          <w:highlight w:val="green"/>
          <w:u w:val="single"/>
        </w:rPr>
        <w:t xml:space="preserve">or sell products to it) </w:t>
      </w:r>
      <w:r w:rsidRPr="00EF06CE">
        <w:rPr>
          <w:b/>
          <w:bCs/>
          <w:highlight w:val="green"/>
          <w:u w:val="single"/>
        </w:rPr>
        <w:t>is disrupted</w:t>
      </w:r>
      <w:r w:rsidRPr="00EF06CE">
        <w:rPr>
          <w:u w:val="single"/>
        </w:rPr>
        <w:t xml:space="preserve">. As a broad generalization, the </w:t>
      </w:r>
      <w:r w:rsidRPr="00EF06CE">
        <w:rPr>
          <w:highlight w:val="gree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EF06CE">
        <w:rPr>
          <w:highlight w:val="green"/>
          <w:u w:val="single"/>
        </w:rPr>
        <w:t xml:space="preserve">are likely to be greater </w:t>
      </w:r>
      <w:r w:rsidRPr="00EF06CE">
        <w:rPr>
          <w:b/>
          <w:bCs/>
          <w:highlight w:val="green"/>
          <w:u w:val="single"/>
        </w:rPr>
        <w:t>when services are involved</w:t>
      </w:r>
      <w:r w:rsidRPr="00EF06CE">
        <w:rPr>
          <w:highlight w:val="gree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7233D072" w14:textId="77777777" w:rsidR="00DA7457" w:rsidRDefault="00DA7457" w:rsidP="00DA7457">
      <w:pPr>
        <w:pStyle w:val="Heading4"/>
      </w:pPr>
      <w:r>
        <w:t xml:space="preserve">Economic Collapse goes </w:t>
      </w:r>
      <w:r>
        <w:rPr>
          <w:u w:val="single"/>
        </w:rPr>
        <w:t>Nuclear</w:t>
      </w:r>
      <w:r>
        <w:t>.</w:t>
      </w:r>
    </w:p>
    <w:p w14:paraId="48D091E9" w14:textId="77777777" w:rsidR="00DA7457" w:rsidRPr="00CC4109" w:rsidRDefault="00DA7457" w:rsidP="00DA7457">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751E5FF4" w14:textId="72C4956B" w:rsidR="00DA7457" w:rsidRDefault="00DA7457" w:rsidP="00DA7457">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CC4109">
        <w:rPr>
          <w:sz w:val="16"/>
        </w:rPr>
        <w:t xml:space="preserve">. </w:t>
      </w:r>
    </w:p>
    <w:p w14:paraId="7AA51B3D" w14:textId="0DBC2ED1" w:rsidR="00D40326" w:rsidRDefault="00D40326" w:rsidP="00D40326">
      <w:pPr>
        <w:pStyle w:val="Heading2"/>
      </w:pPr>
      <w:r>
        <w:t>2</w:t>
      </w:r>
    </w:p>
    <w:p w14:paraId="075CBA22" w14:textId="4A217184" w:rsidR="00D40326" w:rsidRDefault="00D40326" w:rsidP="00D40326">
      <w:pPr>
        <w:pStyle w:val="Heading3"/>
      </w:pPr>
      <w:r>
        <w:t>OFF</w:t>
      </w:r>
    </w:p>
    <w:p w14:paraId="7643E2A6" w14:textId="77777777" w:rsidR="00692E89" w:rsidRDefault="00692E89" w:rsidP="00692E89">
      <w:pPr>
        <w:pStyle w:val="Heading4"/>
      </w:pPr>
      <w:r>
        <w:t xml:space="preserve">Nurse strikes </w:t>
      </w:r>
      <w:r>
        <w:rPr>
          <w:u w:val="single"/>
        </w:rPr>
        <w:t>devastates</w:t>
      </w:r>
      <w:r>
        <w:t xml:space="preserve"> hospitals</w:t>
      </w:r>
    </w:p>
    <w:p w14:paraId="255AE215" w14:textId="77777777" w:rsidR="00692E89" w:rsidRPr="00EF0944" w:rsidRDefault="00692E89" w:rsidP="00692E89">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Hyperlink"/>
          </w:rPr>
          <w:t>https://www.nber.org/digest/jul10/evidence-effects-nurses-strikes</w:t>
        </w:r>
      </w:hyperlink>
      <w:r>
        <w:t xml:space="preserve"> (Researcher at National Bureau of Economic Research)</w:t>
      </w:r>
    </w:p>
    <w:p w14:paraId="2AA00923" w14:textId="77777777" w:rsidR="00692E89" w:rsidRPr="00592349" w:rsidRDefault="00692E89" w:rsidP="00692E89">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588B3E75" w14:textId="77777777" w:rsidR="00692E89" w:rsidRDefault="00692E89" w:rsidP="00692E89">
      <w:pPr>
        <w:pStyle w:val="Heading4"/>
      </w:pPr>
      <w:r>
        <w:t xml:space="preserve">Hospitals are the critical </w:t>
      </w:r>
      <w:r>
        <w:rPr>
          <w:u w:val="single"/>
        </w:rPr>
        <w:t>internal link</w:t>
      </w:r>
      <w:r>
        <w:t xml:space="preserve"> for pandemic preparedness.</w:t>
      </w:r>
    </w:p>
    <w:p w14:paraId="70E7F7ED" w14:textId="77777777" w:rsidR="00692E89" w:rsidRPr="00EF0944" w:rsidRDefault="00692E89" w:rsidP="00692E89">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0E1F2EBF" w14:textId="77777777" w:rsidR="00692E89" w:rsidRPr="00C01178" w:rsidRDefault="00692E89" w:rsidP="00692E89">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5D50FB60" w14:textId="77777777" w:rsidR="00692E89" w:rsidRDefault="00692E89" w:rsidP="00692E89">
      <w:pPr>
        <w:pStyle w:val="Heading4"/>
      </w:pPr>
      <w:r>
        <w:t>New Pandemics are deadlier and faster are coming – COVID is just the beginning</w:t>
      </w:r>
    </w:p>
    <w:p w14:paraId="06C86F3D" w14:textId="77777777" w:rsidR="00692E89" w:rsidRPr="006D3786" w:rsidRDefault="00692E89" w:rsidP="00692E89">
      <w:r w:rsidRPr="006D3786">
        <w:rPr>
          <w:rStyle w:val="Style13ptBold"/>
        </w:rPr>
        <w:t>Antonelli 20</w:t>
      </w:r>
      <w:r>
        <w:t xml:space="preserve"> </w:t>
      </w:r>
      <w:r w:rsidRPr="006D3786">
        <w:t>Ashley Fuoco Antonelli 5-15-2020</w:t>
      </w:r>
      <w:r>
        <w:t xml:space="preserve"> </w:t>
      </w:r>
      <w:hyperlink r:id="rId10"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52603713" w14:textId="77777777" w:rsidR="00692E89" w:rsidRPr="00435BA1" w:rsidRDefault="00692E89" w:rsidP="00692E89">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502DAB6B" w14:textId="77777777" w:rsidR="00692E89" w:rsidRDefault="00692E89" w:rsidP="00692E89">
      <w:pPr>
        <w:pStyle w:val="Heading4"/>
      </w:pPr>
      <w:r>
        <w:t>Future pandemics will cause extinction – it only takes one ‘super-spreader’ – US prevention is key</w:t>
      </w:r>
    </w:p>
    <w:p w14:paraId="031607B5" w14:textId="77777777" w:rsidR="00692E89" w:rsidRDefault="00692E89" w:rsidP="00692E89">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w:t>
      </w:r>
    </w:p>
    <w:p w14:paraId="000CA61B" w14:textId="4C2A5A07" w:rsidR="00D40326" w:rsidRPr="00692E89" w:rsidRDefault="00692E89" w:rsidP="00D40326">
      <w:pPr>
        <w:rPr>
          <w:sz w:val="16"/>
        </w:rPr>
      </w:pPr>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 xml:space="preserve">aggressive </w:t>
      </w:r>
      <w:proofErr w:type="gramStart"/>
      <w:r w:rsidRPr="00C01178">
        <w:rPr>
          <w:rStyle w:val="StyleUnderline"/>
          <w:sz w:val="24"/>
          <w:highlight w:val="green"/>
        </w:rPr>
        <w:t>strains</w:t>
      </w:r>
      <w:proofErr w:type="gramEnd"/>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past experience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Even a system that seems stable, 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bookmarkEnd w:id="0"/>
    <w:p w14:paraId="62287554" w14:textId="77777777" w:rsidR="00971431" w:rsidRPr="00C85146" w:rsidRDefault="00971431" w:rsidP="0020033E">
      <w:pPr>
        <w:pStyle w:val="Heading4"/>
      </w:pPr>
    </w:p>
    <w:sectPr w:rsidR="00971431" w:rsidRPr="00C851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0"/>
  </w:num>
  <w:num w:numId="15">
    <w:abstractNumId w:val="14"/>
  </w:num>
  <w:num w:numId="16">
    <w:abstractNumId w:val="21"/>
  </w:num>
  <w:num w:numId="17">
    <w:abstractNumId w:val="17"/>
  </w:num>
  <w:num w:numId="18">
    <w:abstractNumId w:val="18"/>
  </w:num>
  <w:num w:numId="19">
    <w:abstractNumId w:val="15"/>
  </w:num>
  <w:num w:numId="20">
    <w:abstractNumId w:val="19"/>
  </w:num>
  <w:num w:numId="21">
    <w:abstractNumId w:val="2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44597"/>
    <w:rsid w:val="00050F0B"/>
    <w:rsid w:val="000555B5"/>
    <w:rsid w:val="0008487B"/>
    <w:rsid w:val="00097857"/>
    <w:rsid w:val="00100833"/>
    <w:rsid w:val="00104529"/>
    <w:rsid w:val="00105942"/>
    <w:rsid w:val="00107396"/>
    <w:rsid w:val="00113B79"/>
    <w:rsid w:val="00126A0D"/>
    <w:rsid w:val="00144A4C"/>
    <w:rsid w:val="00176AB0"/>
    <w:rsid w:val="00177B7D"/>
    <w:rsid w:val="0018322D"/>
    <w:rsid w:val="001A2E8A"/>
    <w:rsid w:val="001A5547"/>
    <w:rsid w:val="001B5776"/>
    <w:rsid w:val="001C2C50"/>
    <w:rsid w:val="001C768D"/>
    <w:rsid w:val="001D342C"/>
    <w:rsid w:val="001E527A"/>
    <w:rsid w:val="001F2868"/>
    <w:rsid w:val="001F6817"/>
    <w:rsid w:val="001F78CE"/>
    <w:rsid w:val="0020033E"/>
    <w:rsid w:val="00212BDA"/>
    <w:rsid w:val="002143C8"/>
    <w:rsid w:val="00237D3E"/>
    <w:rsid w:val="00244B18"/>
    <w:rsid w:val="00245000"/>
    <w:rsid w:val="00251FC7"/>
    <w:rsid w:val="00264773"/>
    <w:rsid w:val="00270485"/>
    <w:rsid w:val="00275E91"/>
    <w:rsid w:val="002855A7"/>
    <w:rsid w:val="00286E73"/>
    <w:rsid w:val="00292555"/>
    <w:rsid w:val="002A7A04"/>
    <w:rsid w:val="002B146A"/>
    <w:rsid w:val="002B5E17"/>
    <w:rsid w:val="003019E9"/>
    <w:rsid w:val="003060B2"/>
    <w:rsid w:val="00315690"/>
    <w:rsid w:val="00316B75"/>
    <w:rsid w:val="00325646"/>
    <w:rsid w:val="00333B52"/>
    <w:rsid w:val="003460F2"/>
    <w:rsid w:val="00363493"/>
    <w:rsid w:val="00380A4E"/>
    <w:rsid w:val="0038158C"/>
    <w:rsid w:val="003902BA"/>
    <w:rsid w:val="003A09E2"/>
    <w:rsid w:val="003E3F54"/>
    <w:rsid w:val="003E53BE"/>
    <w:rsid w:val="00407037"/>
    <w:rsid w:val="00426F35"/>
    <w:rsid w:val="00435D66"/>
    <w:rsid w:val="0045234B"/>
    <w:rsid w:val="004605D6"/>
    <w:rsid w:val="004A0FE3"/>
    <w:rsid w:val="004C60E8"/>
    <w:rsid w:val="004D73F8"/>
    <w:rsid w:val="004E3579"/>
    <w:rsid w:val="004E728B"/>
    <w:rsid w:val="004F39E0"/>
    <w:rsid w:val="0050053F"/>
    <w:rsid w:val="00511547"/>
    <w:rsid w:val="00516985"/>
    <w:rsid w:val="00537BD5"/>
    <w:rsid w:val="005436E6"/>
    <w:rsid w:val="005469AB"/>
    <w:rsid w:val="00555405"/>
    <w:rsid w:val="005607E4"/>
    <w:rsid w:val="0057268A"/>
    <w:rsid w:val="00586466"/>
    <w:rsid w:val="005B1A0E"/>
    <w:rsid w:val="005C5E93"/>
    <w:rsid w:val="005D2912"/>
    <w:rsid w:val="005F11D9"/>
    <w:rsid w:val="005F2280"/>
    <w:rsid w:val="00600D64"/>
    <w:rsid w:val="006065BD"/>
    <w:rsid w:val="00645FA9"/>
    <w:rsid w:val="00647866"/>
    <w:rsid w:val="006603C4"/>
    <w:rsid w:val="00665003"/>
    <w:rsid w:val="00692E89"/>
    <w:rsid w:val="006A2AD0"/>
    <w:rsid w:val="006C2375"/>
    <w:rsid w:val="006D4ECC"/>
    <w:rsid w:val="006E309F"/>
    <w:rsid w:val="006E3A9E"/>
    <w:rsid w:val="007051FB"/>
    <w:rsid w:val="00722258"/>
    <w:rsid w:val="007243E5"/>
    <w:rsid w:val="00725087"/>
    <w:rsid w:val="00766EA0"/>
    <w:rsid w:val="0077017D"/>
    <w:rsid w:val="007978FC"/>
    <w:rsid w:val="007A2226"/>
    <w:rsid w:val="007E3F38"/>
    <w:rsid w:val="007F5B66"/>
    <w:rsid w:val="00802343"/>
    <w:rsid w:val="00810FF1"/>
    <w:rsid w:val="008113BA"/>
    <w:rsid w:val="00823A1C"/>
    <w:rsid w:val="00845B9D"/>
    <w:rsid w:val="008539AA"/>
    <w:rsid w:val="00860984"/>
    <w:rsid w:val="008964B6"/>
    <w:rsid w:val="008A5B6C"/>
    <w:rsid w:val="008A73F3"/>
    <w:rsid w:val="008B3ECB"/>
    <w:rsid w:val="008B4E85"/>
    <w:rsid w:val="008C1B2E"/>
    <w:rsid w:val="008D554B"/>
    <w:rsid w:val="00905A60"/>
    <w:rsid w:val="0091627E"/>
    <w:rsid w:val="00934962"/>
    <w:rsid w:val="00942843"/>
    <w:rsid w:val="009470A2"/>
    <w:rsid w:val="0097032B"/>
    <w:rsid w:val="0097057A"/>
    <w:rsid w:val="00971431"/>
    <w:rsid w:val="0098021D"/>
    <w:rsid w:val="009B4017"/>
    <w:rsid w:val="009D2EAD"/>
    <w:rsid w:val="009D54B2"/>
    <w:rsid w:val="009E1922"/>
    <w:rsid w:val="009F7ED2"/>
    <w:rsid w:val="00A93661"/>
    <w:rsid w:val="00A95652"/>
    <w:rsid w:val="00AB7131"/>
    <w:rsid w:val="00AB793C"/>
    <w:rsid w:val="00AC0AB8"/>
    <w:rsid w:val="00AD062F"/>
    <w:rsid w:val="00AE160A"/>
    <w:rsid w:val="00AF6308"/>
    <w:rsid w:val="00B25445"/>
    <w:rsid w:val="00B260E5"/>
    <w:rsid w:val="00B33C6D"/>
    <w:rsid w:val="00B35C84"/>
    <w:rsid w:val="00B44086"/>
    <w:rsid w:val="00B4508F"/>
    <w:rsid w:val="00B55AD5"/>
    <w:rsid w:val="00B55AE3"/>
    <w:rsid w:val="00B8057C"/>
    <w:rsid w:val="00B857B1"/>
    <w:rsid w:val="00B907E3"/>
    <w:rsid w:val="00BA2CD3"/>
    <w:rsid w:val="00BD44F3"/>
    <w:rsid w:val="00BD6238"/>
    <w:rsid w:val="00BF593B"/>
    <w:rsid w:val="00BF773A"/>
    <w:rsid w:val="00BF7E81"/>
    <w:rsid w:val="00C13773"/>
    <w:rsid w:val="00C17CC8"/>
    <w:rsid w:val="00C47C90"/>
    <w:rsid w:val="00C83417"/>
    <w:rsid w:val="00C85146"/>
    <w:rsid w:val="00C9604F"/>
    <w:rsid w:val="00CA19AA"/>
    <w:rsid w:val="00CA4A7D"/>
    <w:rsid w:val="00CA7B6F"/>
    <w:rsid w:val="00CC5298"/>
    <w:rsid w:val="00CD736E"/>
    <w:rsid w:val="00CD798D"/>
    <w:rsid w:val="00CE161E"/>
    <w:rsid w:val="00CF59A8"/>
    <w:rsid w:val="00D307BC"/>
    <w:rsid w:val="00D325A9"/>
    <w:rsid w:val="00D36A8A"/>
    <w:rsid w:val="00D40326"/>
    <w:rsid w:val="00D5591B"/>
    <w:rsid w:val="00D613C7"/>
    <w:rsid w:val="00D61409"/>
    <w:rsid w:val="00D64D4F"/>
    <w:rsid w:val="00D6691E"/>
    <w:rsid w:val="00D71170"/>
    <w:rsid w:val="00D82A46"/>
    <w:rsid w:val="00DA10CA"/>
    <w:rsid w:val="00DA1C92"/>
    <w:rsid w:val="00DA25D4"/>
    <w:rsid w:val="00DA33B0"/>
    <w:rsid w:val="00DA3507"/>
    <w:rsid w:val="00DA6538"/>
    <w:rsid w:val="00DA7457"/>
    <w:rsid w:val="00DF6564"/>
    <w:rsid w:val="00DF6AE8"/>
    <w:rsid w:val="00E00158"/>
    <w:rsid w:val="00E14C95"/>
    <w:rsid w:val="00E15E75"/>
    <w:rsid w:val="00E342C5"/>
    <w:rsid w:val="00E5262C"/>
    <w:rsid w:val="00E5430C"/>
    <w:rsid w:val="00E70677"/>
    <w:rsid w:val="00EC005C"/>
    <w:rsid w:val="00EC14ED"/>
    <w:rsid w:val="00EC26A8"/>
    <w:rsid w:val="00EC421B"/>
    <w:rsid w:val="00EC7DC4"/>
    <w:rsid w:val="00ED30CF"/>
    <w:rsid w:val="00ED4F2F"/>
    <w:rsid w:val="00F176EF"/>
    <w:rsid w:val="00F45E10"/>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033E"/>
    <w:rPr>
      <w:rFonts w:ascii="Calibri" w:hAnsi="Calibri" w:cs="Calibri"/>
    </w:rPr>
  </w:style>
  <w:style w:type="paragraph" w:styleId="Heading1">
    <w:name w:val="heading 1"/>
    <w:aliases w:val="Pocket"/>
    <w:basedOn w:val="Normal"/>
    <w:next w:val="Normal"/>
    <w:link w:val="Heading1Char"/>
    <w:qFormat/>
    <w:rsid w:val="002003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2003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2003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2003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03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033E"/>
  </w:style>
  <w:style w:type="character" w:customStyle="1" w:styleId="Heading1Char">
    <w:name w:val="Heading 1 Char"/>
    <w:aliases w:val="Pocket Char"/>
    <w:basedOn w:val="DefaultParagraphFont"/>
    <w:link w:val="Heading1"/>
    <w:rsid w:val="0020033E"/>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20033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20033E"/>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20033E"/>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20033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033E"/>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20033E"/>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20033E"/>
    <w:rPr>
      <w:color w:val="auto"/>
      <w:u w:val="none"/>
    </w:rPr>
  </w:style>
  <w:style w:type="character" w:styleId="FollowedHyperlink">
    <w:name w:val="FollowedHyperlink"/>
    <w:basedOn w:val="DefaultParagraphFont"/>
    <w:uiPriority w:val="99"/>
    <w:semiHidden/>
    <w:unhideWhenUsed/>
    <w:rsid w:val="0020033E"/>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u.indstate.edu/conant/ecn351/ch11/chapter11.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wardsauto.com/ideaxchange/strikes-hurt-everybod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orldbank.org/en/news/feature/2021/06/08/the-global-economy-on-track-for-strong-but-uneven-growth-as-covid-19-still-weighs" TargetMode="External"/><Relationship Id="rId11" Type="http://schemas.openxmlformats.org/officeDocument/2006/relationships/hyperlink" Target="http://necsi.edu/research/social/pandemics/transition" TargetMode="External"/><Relationship Id="rId5" Type="http://schemas.openxmlformats.org/officeDocument/2006/relationships/webSettings" Target="webSettings.xml"/><Relationship Id="rId10" Type="http://schemas.openxmlformats.org/officeDocument/2006/relationships/hyperlink" Target="https://www.advisory.com/daily-briefing/2020/05/15/weekly-line" TargetMode="External"/><Relationship Id="rId4" Type="http://schemas.openxmlformats.org/officeDocument/2006/relationships/settings" Target="settings.xml"/><Relationship Id="rId9" Type="http://schemas.openxmlformats.org/officeDocument/2006/relationships/hyperlink" Target="https://www.nber.org/digest/jul10/evidence-effects-nurses-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272</TotalTime>
  <Pages>1</Pages>
  <Words>5137</Words>
  <Characters>29284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Mahad Sohail</cp:lastModifiedBy>
  <cp:revision>105</cp:revision>
  <dcterms:created xsi:type="dcterms:W3CDTF">2021-06-24T20:38:00Z</dcterms:created>
  <dcterms:modified xsi:type="dcterms:W3CDTF">2021-11-14T17:23:00Z</dcterms:modified>
</cp:coreProperties>
</file>