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04FCF" w14:textId="486ADDDA" w:rsidR="00B964E8" w:rsidRPr="00742C76" w:rsidRDefault="00B964E8" w:rsidP="00B964E8">
      <w:pPr>
        <w:pStyle w:val="Heading3"/>
        <w:rPr>
          <w:rFonts w:cs="Calibri"/>
        </w:rPr>
      </w:pPr>
      <w:bookmarkStart w:id="0" w:name="_Hlk90721883"/>
      <w:r w:rsidRPr="00742C76">
        <w:rPr>
          <w:rFonts w:cs="Calibri"/>
        </w:rPr>
        <w:t>NC</w:t>
      </w:r>
    </w:p>
    <w:p w14:paraId="20429A0F" w14:textId="77777777" w:rsidR="00B964E8" w:rsidRPr="00742C76" w:rsidRDefault="00B964E8" w:rsidP="00B964E8">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361CED78" w14:textId="77777777" w:rsidR="00B964E8" w:rsidRPr="00742C76" w:rsidRDefault="00B964E8" w:rsidP="00B964E8">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0ECEDB08" w14:textId="77777777" w:rsidR="00B964E8" w:rsidRPr="00742C76" w:rsidRDefault="00B964E8" w:rsidP="00B964E8">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30B56B7E" w14:textId="77777777" w:rsidR="00B964E8" w:rsidRPr="00742C76" w:rsidRDefault="00B964E8" w:rsidP="00B964E8">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3AE99358" w14:textId="77777777" w:rsidR="00B964E8" w:rsidRPr="00742C76" w:rsidRDefault="00B964E8" w:rsidP="00B964E8">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2DC67741" w14:textId="77777777" w:rsidR="00B964E8" w:rsidRPr="00742C76" w:rsidRDefault="00B964E8" w:rsidP="00B964E8">
      <w:pPr>
        <w:pStyle w:val="Heading4"/>
        <w:rPr>
          <w:rFonts w:cs="Calibri"/>
        </w:rPr>
      </w:pPr>
      <w:r w:rsidRPr="00742C76">
        <w:rPr>
          <w:rFonts w:cs="Calibri"/>
        </w:rPr>
        <w:t>Thus, the standard is consistency with liberty. Prefer:</w:t>
      </w:r>
    </w:p>
    <w:p w14:paraId="31D9BBC0" w14:textId="77777777" w:rsidR="00B964E8" w:rsidRPr="00742C76" w:rsidRDefault="00B964E8" w:rsidP="00B964E8">
      <w:pPr>
        <w:pStyle w:val="Heading4"/>
        <w:rPr>
          <w:rFonts w:cs="Calibri"/>
        </w:rPr>
      </w:pPr>
      <w:r w:rsidRPr="00742C76">
        <w:rPr>
          <w:rFonts w:cs="Calibri"/>
        </w:rPr>
        <w:t>1] The state is obligated to prioritize freedom.</w:t>
      </w:r>
    </w:p>
    <w:p w14:paraId="09048500" w14:textId="77777777" w:rsidR="00B964E8" w:rsidRPr="00742C76" w:rsidRDefault="00B964E8" w:rsidP="00B964E8">
      <w:proofErr w:type="spellStart"/>
      <w:r w:rsidRPr="00DC74B1">
        <w:rPr>
          <w:rStyle w:val="Heading4Char"/>
        </w:rPr>
        <w:t>Otteson</w:t>
      </w:r>
      <w:proofErr w:type="spellEnd"/>
      <w:r w:rsidRPr="00DC74B1">
        <w:rPr>
          <w:rStyle w:val="Heading4Char"/>
        </w:rPr>
        <w:t xml:space="preserve"> 09</w:t>
      </w:r>
      <w:r w:rsidRPr="00742C76">
        <w:t xml:space="preserve"> [(James R., professor of philosophy and economics at Yeshiva University) “Kantian Individualism and Political Libertarianism,” The Independent Review, v. 13, n. 3, Winter, </w:t>
      </w:r>
      <w:hyperlink r:id="rId6" w:history="1">
        <w:r w:rsidRPr="00742C76">
          <w:rPr>
            <w:rStyle w:val="Hyperlink"/>
          </w:rPr>
          <w:t>2009</w:t>
        </w:r>
      </w:hyperlink>
      <w:r w:rsidRPr="00742C76">
        <w:t>] TDI</w:t>
      </w:r>
    </w:p>
    <w:p w14:paraId="0D6F1916" w14:textId="77777777" w:rsidR="00B964E8" w:rsidRPr="00742C76" w:rsidRDefault="00B964E8" w:rsidP="00B964E8">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7A220A6D" w14:textId="77777777" w:rsidR="00B964E8" w:rsidRPr="00742C76" w:rsidRDefault="00B964E8" w:rsidP="00B964E8">
      <w:pPr>
        <w:pStyle w:val="Heading4"/>
        <w:rPr>
          <w:rFonts w:cs="Calibri"/>
        </w:rPr>
      </w:pPr>
      <w:r w:rsidRPr="00742C76">
        <w:rPr>
          <w:rFonts w:cs="Calibri"/>
        </w:rPr>
        <w:t>2] Enterprise – we are composed of different practical identities, but reason unifies them and allows us to shift and act upon different enterprises. Consequentialist frameworks cannot produce unified moral actions.</w:t>
      </w:r>
    </w:p>
    <w:p w14:paraId="06F6E299" w14:textId="77777777" w:rsidR="00B964E8" w:rsidRPr="00742C76" w:rsidRDefault="00B964E8" w:rsidP="00B964E8">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485FC9BE" w14:textId="77777777" w:rsidR="00B964E8" w:rsidRPr="00742C76" w:rsidRDefault="00B964E8" w:rsidP="00D1024A">
      <w:pPr>
        <w:pStyle w:val="Heading3"/>
      </w:pPr>
      <w:r w:rsidRPr="00742C76">
        <w:t xml:space="preserve">Contention – </w:t>
      </w:r>
    </w:p>
    <w:p w14:paraId="1DCB66C7" w14:textId="77777777" w:rsidR="00B964E8" w:rsidRPr="00742C76" w:rsidRDefault="00B964E8" w:rsidP="00B964E8">
      <w:pPr>
        <w:pStyle w:val="Heading4"/>
        <w:rPr>
          <w:rFonts w:cs="Calibri"/>
        </w:rPr>
      </w:pPr>
      <w:r w:rsidRPr="00742C76">
        <w:rPr>
          <w:rFonts w:cs="Calibri"/>
        </w:rPr>
        <w:t>1] Libertarianism mandates a market-oriented approach to space—that negates</w:t>
      </w:r>
    </w:p>
    <w:p w14:paraId="1F329139" w14:textId="77777777" w:rsidR="00B964E8" w:rsidRPr="00742C76" w:rsidRDefault="00B964E8" w:rsidP="00B964E8">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7" w:history="1">
        <w:r w:rsidRPr="00742C76">
          <w:rPr>
            <w:rStyle w:val="Hyperlink"/>
            <w:sz w:val="16"/>
            <w:szCs w:val="16"/>
          </w:rPr>
          <w:t>https://abovethelaw.com/2020/01/space-law-can-only-be-libertarian-minded/</w:t>
        </w:r>
      </w:hyperlink>
      <w:r w:rsidRPr="00742C76">
        <w:rPr>
          <w:sz w:val="16"/>
          <w:szCs w:val="16"/>
        </w:rPr>
        <w:t>] TDI</w:t>
      </w:r>
    </w:p>
    <w:p w14:paraId="71FA02A2" w14:textId="77777777" w:rsidR="00B964E8" w:rsidRPr="00742C76" w:rsidRDefault="00B964E8" w:rsidP="00B964E8">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F43F345" w14:textId="77777777" w:rsidR="00B964E8" w:rsidRPr="00742C76" w:rsidRDefault="00B964E8" w:rsidP="00B964E8">
      <w:pPr>
        <w:pStyle w:val="Heading4"/>
        <w:rPr>
          <w:rStyle w:val="StyleUnderline"/>
          <w:rFonts w:cs="Calibri"/>
        </w:rPr>
      </w:pPr>
      <w:r w:rsidRPr="00742C76">
        <w:rPr>
          <w:rStyle w:val="StyleUnderline"/>
          <w:rFonts w:cs="Calibri"/>
        </w:rPr>
        <w:t>2] Property rights in space can be consistent with international law</w:t>
      </w:r>
    </w:p>
    <w:p w14:paraId="0CD85FA2" w14:textId="77777777" w:rsidR="00B964E8" w:rsidRPr="00742C76" w:rsidRDefault="00B964E8" w:rsidP="00B964E8">
      <w:pPr>
        <w:rPr>
          <w:rStyle w:val="StyleUnderline"/>
          <w:sz w:val="16"/>
          <w:szCs w:val="16"/>
        </w:rPr>
      </w:pPr>
      <w:proofErr w:type="spellStart"/>
      <w:r w:rsidRPr="00742C76">
        <w:rPr>
          <w:rStyle w:val="Style13ptBold"/>
        </w:rPr>
        <w:t>Simberg</w:t>
      </w:r>
      <w:proofErr w:type="spellEnd"/>
      <w:r w:rsidRPr="00742C76">
        <w:rPr>
          <w:rStyle w:val="Style13ptBold"/>
        </w:rPr>
        <w:t xml:space="preserve"> 12</w:t>
      </w:r>
      <w:r w:rsidRPr="00742C76">
        <w:rPr>
          <w:rStyle w:val="StyleUnderline"/>
        </w:rPr>
        <w:t xml:space="preserve"> </w:t>
      </w:r>
      <w:r w:rsidRPr="00742C76">
        <w:rPr>
          <w:rStyle w:val="StyleUnderline"/>
          <w:sz w:val="16"/>
          <w:szCs w:val="16"/>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8" w:history="1">
        <w:r w:rsidRPr="00742C76">
          <w:rPr>
            <w:rStyle w:val="Hyperlink"/>
            <w:sz w:val="16"/>
            <w:szCs w:val="16"/>
          </w:rPr>
          <w:t>https://cei.org/wp-content/uploads/2012/04/Rand-Simberg-Homesteading-the-Final-Frontier.pdf</w:t>
        </w:r>
      </w:hyperlink>
      <w:r w:rsidRPr="00742C76">
        <w:rPr>
          <w:rStyle w:val="StyleUnderline"/>
          <w:sz w:val="16"/>
          <w:szCs w:val="16"/>
        </w:rPr>
        <w:t>] TDI</w:t>
      </w:r>
    </w:p>
    <w:p w14:paraId="63D97ADA" w14:textId="77777777" w:rsidR="00B964E8" w:rsidRPr="00742C76" w:rsidRDefault="00B964E8" w:rsidP="00B964E8">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rPr>
        <w:t xml:space="preserve"> In 1969, two years after the treaty went into force, the late distinguished space-law professor, Stephen </w:t>
      </w:r>
      <w:proofErr w:type="spellStart"/>
      <w:r w:rsidRPr="00742C76">
        <w:rPr>
          <w:rStyle w:val="StyleUnderline"/>
          <w:sz w:val="12"/>
        </w:rPr>
        <w:t>Gorove</w:t>
      </w:r>
      <w:proofErr w:type="spellEnd"/>
      <w:r w:rsidRPr="00742C76">
        <w:rPr>
          <w:rStyle w:val="StyleUnderline"/>
          <w:sz w:val="12"/>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rPr>
        <w:t>oon</w:t>
      </w:r>
      <w:proofErr w:type="spellEnd"/>
      <w:r w:rsidRPr="00742C76">
        <w:rPr>
          <w:rStyle w:val="StyleUnderline"/>
          <w:sz w:val="12"/>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294AF575" w14:textId="5F2FE1D4" w:rsidR="00B964E8" w:rsidRDefault="00B964E8" w:rsidP="00B964E8">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8CD8F78" w14:textId="36BEB24C" w:rsidR="00610099" w:rsidRDefault="00610099" w:rsidP="00610099">
      <w:pPr>
        <w:pStyle w:val="Heading2"/>
      </w:pPr>
      <w:r>
        <w:t>2</w:t>
      </w:r>
    </w:p>
    <w:p w14:paraId="198F4D9E" w14:textId="77777777" w:rsidR="00610099" w:rsidRPr="009A0BAF" w:rsidRDefault="00610099" w:rsidP="00610099">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 </w:t>
      </w:r>
    </w:p>
    <w:p w14:paraId="29A17201" w14:textId="1BCBDF1E" w:rsidR="00610099" w:rsidRDefault="00610099" w:rsidP="00610099">
      <w:pPr>
        <w:pStyle w:val="Heading4"/>
        <w:rPr>
          <w:rFonts w:cs="Calibri"/>
        </w:rPr>
      </w:pPr>
      <w:r w:rsidRPr="009A0BAF">
        <w:rPr>
          <w:rFonts w:cs="Calibri"/>
        </w:rPr>
        <w:t>Violation –</w:t>
      </w:r>
      <w:r>
        <w:rPr>
          <w:rFonts w:cs="Calibri"/>
        </w:rPr>
        <w:t xml:space="preserve"> they don’t</w:t>
      </w:r>
      <w:r>
        <w:rPr>
          <w:rFonts w:cs="Calibri"/>
        </w:rPr>
        <w:t>, they debated 5 rounds at “The Dulles Classic” and only disclosed 2 rounds</w:t>
      </w:r>
    </w:p>
    <w:p w14:paraId="26EB5090" w14:textId="7BED0893" w:rsidR="00610099" w:rsidRPr="00610099" w:rsidRDefault="00610099" w:rsidP="00610099">
      <w:r>
        <w:rPr>
          <w:noProof/>
        </w:rPr>
        <w:drawing>
          <wp:inline distT="0" distB="0" distL="0" distR="0" wp14:anchorId="34D658F3" wp14:editId="74D5EDC1">
            <wp:extent cx="3690337" cy="1999690"/>
            <wp:effectExtent l="0" t="0" r="571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8590" cy="2014999"/>
                    </a:xfrm>
                    <a:prstGeom prst="rect">
                      <a:avLst/>
                    </a:prstGeom>
                    <a:noFill/>
                  </pic:spPr>
                </pic:pic>
              </a:graphicData>
            </a:graphic>
          </wp:inline>
        </w:drawing>
      </w:r>
      <w:r>
        <w:rPr>
          <w:noProof/>
        </w:rPr>
        <w:drawing>
          <wp:inline distT="0" distB="0" distL="0" distR="0" wp14:anchorId="284055F0" wp14:editId="019F9D24">
            <wp:extent cx="3439505" cy="2989207"/>
            <wp:effectExtent l="0" t="0" r="889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7915" cy="3013897"/>
                    </a:xfrm>
                    <a:prstGeom prst="rect">
                      <a:avLst/>
                    </a:prstGeom>
                    <a:noFill/>
                  </pic:spPr>
                </pic:pic>
              </a:graphicData>
            </a:graphic>
          </wp:inline>
        </w:drawing>
      </w:r>
      <w:r>
        <w:rPr>
          <w:noProof/>
        </w:rPr>
        <w:drawing>
          <wp:inline distT="0" distB="0" distL="0" distR="0" wp14:anchorId="62128427" wp14:editId="20EAB70B">
            <wp:extent cx="3878596" cy="1972496"/>
            <wp:effectExtent l="0" t="0" r="762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20925" cy="1994023"/>
                    </a:xfrm>
                    <a:prstGeom prst="rect">
                      <a:avLst/>
                    </a:prstGeom>
                    <a:noFill/>
                  </pic:spPr>
                </pic:pic>
              </a:graphicData>
            </a:graphic>
          </wp:inline>
        </w:drawing>
      </w:r>
    </w:p>
    <w:p w14:paraId="319F4E68" w14:textId="77777777" w:rsidR="00610099" w:rsidRPr="009A0BAF" w:rsidRDefault="00610099" w:rsidP="00610099">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478FAE8B" w14:textId="77777777" w:rsidR="00610099" w:rsidRDefault="00610099" w:rsidP="00610099">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6E27DE43" w14:textId="77777777" w:rsidR="00610099" w:rsidRDefault="00610099" w:rsidP="00610099">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of evidence and 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are </w:t>
      </w:r>
      <w:r w:rsidRPr="47CB8AD5">
        <w:rPr>
          <w:b/>
          <w:bCs/>
          <w:sz w:val="26"/>
          <w:szCs w:val="26"/>
          <w:highlight w:val="green"/>
          <w:u w:val="single"/>
        </w:rPr>
        <w:t>capable of opening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0A86B365" w14:textId="77777777" w:rsidR="00610099" w:rsidRPr="009A0BAF" w:rsidRDefault="00610099" w:rsidP="00610099">
      <w:pPr>
        <w:pStyle w:val="Heading4"/>
        <w:rPr>
          <w:rFonts w:cs="Calibri"/>
        </w:rPr>
      </w:pPr>
      <w:r w:rsidRPr="47CB8AD5">
        <w:rPr>
          <w:rFonts w:cs="Calibri"/>
        </w:rPr>
        <w:t xml:space="preserve">2] Evidence ethics – open source is the only way to verify pre-round that cards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6C9CD153" w14:textId="77777777" w:rsidR="00610099" w:rsidRDefault="00610099" w:rsidP="00610099">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r>
        <w:rPr>
          <w:rFonts w:cs="Calibri"/>
        </w:rPr>
        <w:t xml:space="preserve"> </w:t>
      </w:r>
    </w:p>
    <w:p w14:paraId="571760BA" w14:textId="47769D5E" w:rsidR="00610099" w:rsidRDefault="00610099" w:rsidP="00610099">
      <w:pPr>
        <w:pStyle w:val="Heading4"/>
        <w:rPr>
          <w:rFonts w:cs="Calibri"/>
        </w:rPr>
      </w:pPr>
      <w:r>
        <w:rPr>
          <w:rFonts w:cs="Calibri"/>
        </w:rPr>
        <w:t>D] Voter</w:t>
      </w:r>
      <w:r w:rsidR="0071753C">
        <w:rPr>
          <w:rFonts w:cs="Calibri"/>
        </w:rPr>
        <w:t>s</w:t>
      </w:r>
    </w:p>
    <w:p w14:paraId="6B476E72" w14:textId="77777777" w:rsidR="0071753C" w:rsidRDefault="0071753C" w:rsidP="0071753C">
      <w:pPr>
        <w:pStyle w:val="Heading4"/>
      </w:pPr>
      <w:r>
        <w:t>Fairness – all arguments concede the validity of fairness</w:t>
      </w:r>
    </w:p>
    <w:p w14:paraId="2E650014" w14:textId="77777777" w:rsidR="0071753C" w:rsidRDefault="0071753C" w:rsidP="0071753C">
      <w:pPr>
        <w:pStyle w:val="Heading4"/>
      </w:pPr>
      <w:r>
        <w:t>Education – the only reason schools fund debate</w:t>
      </w:r>
    </w:p>
    <w:p w14:paraId="73C0D20F" w14:textId="77777777" w:rsidR="0071753C" w:rsidRPr="00D24030" w:rsidRDefault="0071753C" w:rsidP="0071753C"/>
    <w:p w14:paraId="47477EA3" w14:textId="77777777" w:rsidR="0071753C" w:rsidRPr="00882339" w:rsidRDefault="0071753C" w:rsidP="0071753C">
      <w:pPr>
        <w:pStyle w:val="Heading4"/>
      </w:pPr>
      <w:r w:rsidRPr="00882339">
        <w:rPr>
          <w:rFonts w:cs="Calibri"/>
          <w:color w:val="000000"/>
          <w:szCs w:val="26"/>
        </w:rPr>
        <w:t xml:space="preserve">Competing </w:t>
      </w:r>
      <w:proofErr w:type="spellStart"/>
      <w:r w:rsidRPr="00882339">
        <w:rPr>
          <w:rFonts w:cs="Calibri"/>
          <w:color w:val="000000"/>
          <w:szCs w:val="26"/>
        </w:rPr>
        <w:t>interps</w:t>
      </w:r>
      <w:proofErr w:type="spellEnd"/>
      <w:r w:rsidRPr="00882339">
        <w:rPr>
          <w:rFonts w:cs="Calibri"/>
          <w:color w:val="000000"/>
          <w:szCs w:val="26"/>
        </w:rPr>
        <w:t xml:space="preserve"> on theory – A] disclosing is a yes/no question, you can’t reasonably not disclose B] norm setting – reasonability is arbitrary and invites judge intervention C] reasonability causes a race to the bottom. </w:t>
      </w:r>
    </w:p>
    <w:p w14:paraId="1CD2105A" w14:textId="77777777" w:rsidR="0071753C" w:rsidRPr="00882339" w:rsidRDefault="0071753C" w:rsidP="0071753C"/>
    <w:p w14:paraId="41CA1E11" w14:textId="2520FD16" w:rsidR="0071753C" w:rsidRPr="00882339" w:rsidRDefault="0071753C" w:rsidP="0071753C">
      <w:pPr>
        <w:pStyle w:val="Heading4"/>
      </w:pPr>
      <w:r w:rsidRPr="00882339">
        <w:t xml:space="preserve">Drop the debater – Sets good norms for the debate space, losing this round will make my opponent disclose </w:t>
      </w:r>
      <w:r>
        <w:t>this</w:t>
      </w:r>
      <w:r w:rsidRPr="00882339">
        <w:t xml:space="preserve"> round</w:t>
      </w:r>
      <w:r>
        <w:t xml:space="preserve"> and the next</w:t>
      </w:r>
      <w:r w:rsidRPr="00882339">
        <w:t>, Dropping the argument means dropping their case essentially making it a drop the debater</w:t>
      </w:r>
    </w:p>
    <w:p w14:paraId="01F0560F" w14:textId="77777777" w:rsidR="0071753C" w:rsidRPr="00882339" w:rsidRDefault="0071753C" w:rsidP="0071753C"/>
    <w:p w14:paraId="7C2235CB" w14:textId="6D015A08" w:rsidR="0071753C" w:rsidRDefault="0071753C" w:rsidP="0071753C">
      <w:pPr>
        <w:pStyle w:val="Heading4"/>
        <w:rPr>
          <w:rFonts w:cs="Calibri"/>
          <w:color w:val="000000"/>
          <w:szCs w:val="26"/>
        </w:rPr>
      </w:pPr>
      <w:r w:rsidRPr="00882339">
        <w:rPr>
          <w:rFonts w:cs="Calibri"/>
          <w:color w:val="000000"/>
          <w:szCs w:val="26"/>
        </w:rPr>
        <w:t xml:space="preserve">No RVIs: 1] Encourages theory baiting and chills checking real abuse. 2] Illogical b/c don’t win for being fair and logic is meta-constraint on arguments because it comes lexically prior. </w:t>
      </w:r>
    </w:p>
    <w:p w14:paraId="67E7CD6E" w14:textId="7C094647" w:rsidR="00DC74B1" w:rsidRDefault="00DC74B1" w:rsidP="00DC74B1">
      <w:pPr>
        <w:pStyle w:val="Heading2"/>
      </w:pPr>
      <w:r>
        <w:t>3</w:t>
      </w:r>
    </w:p>
    <w:p w14:paraId="7F57064E" w14:textId="5E208E18" w:rsidR="00B83D71" w:rsidRPr="00B83D71" w:rsidRDefault="00EE3AF4" w:rsidP="003B4C9B">
      <w:pPr>
        <w:pStyle w:val="Heading4"/>
      </w:pPr>
      <w:proofErr w:type="spellStart"/>
      <w:r>
        <w:rPr>
          <w:shd w:val="clear" w:color="auto" w:fill="FFFFFF"/>
        </w:rPr>
        <w:t>travis</w:t>
      </w:r>
      <w:proofErr w:type="spellEnd"/>
      <w:r>
        <w:rPr>
          <w:shd w:val="clear" w:color="auto" w:fill="FFFFFF"/>
        </w:rPr>
        <w:t xml:space="preserve"> connects his music in a way no artist can. There are very few artists where </w:t>
      </w:r>
      <w:r>
        <w:rPr>
          <w:shd w:val="clear" w:color="auto" w:fill="FFFFFF"/>
        </w:rPr>
        <w:t>debaters</w:t>
      </w:r>
      <w:r>
        <w:rPr>
          <w:shd w:val="clear" w:color="auto" w:fill="FFFFFF"/>
        </w:rPr>
        <w:t xml:space="preserve"> can listen to every project without skipping most songs and Travis falls into that category. Literally even in his lowest points (</w:t>
      </w:r>
      <w:proofErr w:type="spellStart"/>
      <w:r>
        <w:rPr>
          <w:shd w:val="clear" w:color="auto" w:fill="FFFFFF"/>
        </w:rPr>
        <w:t>Huncho</w:t>
      </w:r>
      <w:proofErr w:type="spellEnd"/>
      <w:r>
        <w:rPr>
          <w:shd w:val="clear" w:color="auto" w:fill="FFFFFF"/>
        </w:rPr>
        <w:t xml:space="preserve"> Jack </w:t>
      </w:r>
      <w:r>
        <w:rPr>
          <w:shd w:val="clear" w:color="auto" w:fill="FFFFFF"/>
        </w:rPr>
        <w:t>non sense</w:t>
      </w:r>
      <w:r>
        <w:rPr>
          <w:shd w:val="clear" w:color="auto" w:fill="FFFFFF"/>
        </w:rPr>
        <w:t xml:space="preserve">) </w:t>
      </w:r>
      <w:r>
        <w:rPr>
          <w:shd w:val="clear" w:color="auto" w:fill="FFFFFF"/>
        </w:rPr>
        <w:t>one can</w:t>
      </w:r>
      <w:r>
        <w:rPr>
          <w:shd w:val="clear" w:color="auto" w:fill="FFFFFF"/>
        </w:rPr>
        <w:t xml:space="preserve"> still find a way to enjoy his music. His old projects literally have </w:t>
      </w:r>
      <w:r>
        <w:rPr>
          <w:shd w:val="clear" w:color="auto" w:fill="FFFFFF"/>
        </w:rPr>
        <w:t>millions</w:t>
      </w:r>
      <w:r>
        <w:rPr>
          <w:shd w:val="clear" w:color="auto" w:fill="FFFFFF"/>
        </w:rPr>
        <w:t xml:space="preserve"> coming back all the time just to listen to the harmonizing songs like 90210, and many more. He just connects and uses what he has to the best of his ability to make some </w:t>
      </w:r>
      <w:r>
        <w:rPr>
          <w:shd w:val="clear" w:color="auto" w:fill="FFFFFF"/>
        </w:rPr>
        <w:t>fire</w:t>
      </w:r>
      <w:r>
        <w:rPr>
          <w:shd w:val="clear" w:color="auto" w:fill="FFFFFF"/>
        </w:rPr>
        <w:t xml:space="preserve"> music, which is why I think he’s more than good. He’s </w:t>
      </w:r>
      <w:r>
        <w:rPr>
          <w:shd w:val="clear" w:color="auto" w:fill="FFFFFF"/>
        </w:rPr>
        <w:t>a</w:t>
      </w:r>
      <w:r>
        <w:rPr>
          <w:shd w:val="clear" w:color="auto" w:fill="FFFFFF"/>
        </w:rPr>
        <w:t xml:space="preserve"> </w:t>
      </w:r>
      <w:r>
        <w:rPr>
          <w:shd w:val="clear" w:color="auto" w:fill="FFFFFF"/>
        </w:rPr>
        <w:t>visionary</w:t>
      </w:r>
      <w:bookmarkEnd w:id="0"/>
    </w:p>
    <w:sectPr w:rsidR="00B83D71" w:rsidRPr="00B83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964E8"/>
    <w:rsid w:val="000139A3"/>
    <w:rsid w:val="00100833"/>
    <w:rsid w:val="00104529"/>
    <w:rsid w:val="00105942"/>
    <w:rsid w:val="00107396"/>
    <w:rsid w:val="00144A4C"/>
    <w:rsid w:val="00176501"/>
    <w:rsid w:val="00176AB0"/>
    <w:rsid w:val="00177B7D"/>
    <w:rsid w:val="0018322D"/>
    <w:rsid w:val="001B5776"/>
    <w:rsid w:val="001E527A"/>
    <w:rsid w:val="001F78CE"/>
    <w:rsid w:val="00251FC7"/>
    <w:rsid w:val="002855A7"/>
    <w:rsid w:val="00291038"/>
    <w:rsid w:val="002B146A"/>
    <w:rsid w:val="002B5E17"/>
    <w:rsid w:val="00315690"/>
    <w:rsid w:val="00316B75"/>
    <w:rsid w:val="00324E4E"/>
    <w:rsid w:val="00325646"/>
    <w:rsid w:val="003460F2"/>
    <w:rsid w:val="0038158C"/>
    <w:rsid w:val="003902BA"/>
    <w:rsid w:val="003A09E2"/>
    <w:rsid w:val="003B4C9B"/>
    <w:rsid w:val="00407037"/>
    <w:rsid w:val="004605D6"/>
    <w:rsid w:val="004C60E8"/>
    <w:rsid w:val="004E3579"/>
    <w:rsid w:val="004E728B"/>
    <w:rsid w:val="004F39E0"/>
    <w:rsid w:val="00537BD5"/>
    <w:rsid w:val="0057268A"/>
    <w:rsid w:val="005D2912"/>
    <w:rsid w:val="006065BD"/>
    <w:rsid w:val="00610099"/>
    <w:rsid w:val="00645FA9"/>
    <w:rsid w:val="00647866"/>
    <w:rsid w:val="00665003"/>
    <w:rsid w:val="006A2AD0"/>
    <w:rsid w:val="006C2375"/>
    <w:rsid w:val="006D4ECC"/>
    <w:rsid w:val="006F2F3F"/>
    <w:rsid w:val="0071753C"/>
    <w:rsid w:val="00722258"/>
    <w:rsid w:val="007243E5"/>
    <w:rsid w:val="00766EA0"/>
    <w:rsid w:val="007A2226"/>
    <w:rsid w:val="007F5B66"/>
    <w:rsid w:val="00823A1C"/>
    <w:rsid w:val="00845B9D"/>
    <w:rsid w:val="00860984"/>
    <w:rsid w:val="008B3ECB"/>
    <w:rsid w:val="008B4E85"/>
    <w:rsid w:val="008C1B2E"/>
    <w:rsid w:val="0091627E"/>
    <w:rsid w:val="00944B11"/>
    <w:rsid w:val="0097032B"/>
    <w:rsid w:val="009736C1"/>
    <w:rsid w:val="009D2EAD"/>
    <w:rsid w:val="009D54B2"/>
    <w:rsid w:val="009E1922"/>
    <w:rsid w:val="009F7ED2"/>
    <w:rsid w:val="00A93661"/>
    <w:rsid w:val="00A95652"/>
    <w:rsid w:val="00AC0AB8"/>
    <w:rsid w:val="00B33C6D"/>
    <w:rsid w:val="00B4508F"/>
    <w:rsid w:val="00B55AD5"/>
    <w:rsid w:val="00B8057C"/>
    <w:rsid w:val="00B83D71"/>
    <w:rsid w:val="00B964E8"/>
    <w:rsid w:val="00BD6238"/>
    <w:rsid w:val="00BF593B"/>
    <w:rsid w:val="00BF773A"/>
    <w:rsid w:val="00BF7E81"/>
    <w:rsid w:val="00C13773"/>
    <w:rsid w:val="00C17CC8"/>
    <w:rsid w:val="00C24DB4"/>
    <w:rsid w:val="00C2501D"/>
    <w:rsid w:val="00C83417"/>
    <w:rsid w:val="00C9604F"/>
    <w:rsid w:val="00CA19AA"/>
    <w:rsid w:val="00CC5298"/>
    <w:rsid w:val="00CD736E"/>
    <w:rsid w:val="00CD798D"/>
    <w:rsid w:val="00CE161E"/>
    <w:rsid w:val="00CF59A8"/>
    <w:rsid w:val="00D1024A"/>
    <w:rsid w:val="00D325A9"/>
    <w:rsid w:val="00D36A8A"/>
    <w:rsid w:val="00D61409"/>
    <w:rsid w:val="00D6691E"/>
    <w:rsid w:val="00D71170"/>
    <w:rsid w:val="00D73DF6"/>
    <w:rsid w:val="00DA1C92"/>
    <w:rsid w:val="00DA25D4"/>
    <w:rsid w:val="00DA6538"/>
    <w:rsid w:val="00DC74B1"/>
    <w:rsid w:val="00E15E75"/>
    <w:rsid w:val="00E1790D"/>
    <w:rsid w:val="00E5262C"/>
    <w:rsid w:val="00E87F38"/>
    <w:rsid w:val="00EC7DC4"/>
    <w:rsid w:val="00ED30CF"/>
    <w:rsid w:val="00EE3AF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C1E33"/>
  <w15:chartTrackingRefBased/>
  <w15:docId w15:val="{6478EFE8-169F-434D-8D77-B97BA0B9D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64E8"/>
    <w:rPr>
      <w:rFonts w:ascii="Calibri" w:hAnsi="Calibri" w:cs="Calibri"/>
    </w:rPr>
  </w:style>
  <w:style w:type="paragraph" w:styleId="Heading1">
    <w:name w:val="heading 1"/>
    <w:aliases w:val="Pocket"/>
    <w:basedOn w:val="Normal"/>
    <w:next w:val="Normal"/>
    <w:link w:val="Heading1Char"/>
    <w:qFormat/>
    <w:rsid w:val="00B964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64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B964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AG"/>
    <w:basedOn w:val="Normal"/>
    <w:next w:val="Normal"/>
    <w:link w:val="Heading4Char"/>
    <w:uiPriority w:val="3"/>
    <w:unhideWhenUsed/>
    <w:qFormat/>
    <w:rsid w:val="00B964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64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64E8"/>
  </w:style>
  <w:style w:type="character" w:customStyle="1" w:styleId="Heading1Char">
    <w:name w:val="Heading 1 Char"/>
    <w:aliases w:val="Pocket Char"/>
    <w:basedOn w:val="DefaultParagraphFont"/>
    <w:link w:val="Heading1"/>
    <w:rsid w:val="00B964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64E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Heading 3 Char Char1 Char"/>
    <w:basedOn w:val="DefaultParagraphFont"/>
    <w:link w:val="Heading3"/>
    <w:uiPriority w:val="2"/>
    <w:rsid w:val="00B964E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3"/>
    <w:rsid w:val="00B964E8"/>
    <w:rPr>
      <w:rFonts w:ascii="Calibri" w:eastAsiaTheme="majorEastAsia" w:hAnsi="Calibri" w:cstheme="majorBidi"/>
      <w:b/>
      <w:iCs/>
      <w:sz w:val="26"/>
    </w:rPr>
  </w:style>
  <w:style w:type="character" w:styleId="Emphasis">
    <w:name w:val="Emphasis"/>
    <w:basedOn w:val="DefaultParagraphFont"/>
    <w:uiPriority w:val="7"/>
    <w:qFormat/>
    <w:rsid w:val="00B964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B964E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B964E8"/>
    <w:rPr>
      <w:b w:val="0"/>
      <w:sz w:val="22"/>
      <w:u w:val="single"/>
    </w:rPr>
  </w:style>
  <w:style w:type="character" w:styleId="Hyperlink">
    <w:name w:val="Hyperlink"/>
    <w:basedOn w:val="DefaultParagraphFont"/>
    <w:uiPriority w:val="99"/>
    <w:unhideWhenUsed/>
    <w:rsid w:val="00B964E8"/>
    <w:rPr>
      <w:color w:val="auto"/>
      <w:u w:val="none"/>
    </w:rPr>
  </w:style>
  <w:style w:type="character" w:styleId="FollowedHyperlink">
    <w:name w:val="FollowedHyperlink"/>
    <w:basedOn w:val="DefaultParagraphFont"/>
    <w:uiPriority w:val="99"/>
    <w:semiHidden/>
    <w:unhideWhenUsed/>
    <w:rsid w:val="00B964E8"/>
    <w:rPr>
      <w:color w:val="auto"/>
      <w:u w:val="none"/>
    </w:rPr>
  </w:style>
  <w:style w:type="character" w:styleId="UnresolvedMention">
    <w:name w:val="Unresolved Mention"/>
    <w:basedOn w:val="DefaultParagraphFont"/>
    <w:uiPriority w:val="99"/>
    <w:semiHidden/>
    <w:unhideWhenUsed/>
    <w:rsid w:val="006100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i.org/wp-content/uploads/2012/04/Rand-Simberg-Homesteading-the-Final-Frontier.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ECE3-F86A-4455-9A65-5C1D49B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Pages>
  <Words>3824</Words>
  <Characters>21799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5.1.1</cp:keywords>
  <dc:description/>
  <cp:lastModifiedBy>Mahad Sohail</cp:lastModifiedBy>
  <cp:revision>10</cp:revision>
  <dcterms:created xsi:type="dcterms:W3CDTF">2021-12-18T15:19:00Z</dcterms:created>
  <dcterms:modified xsi:type="dcterms:W3CDTF">2021-12-18T17:12:00Z</dcterms:modified>
</cp:coreProperties>
</file>