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C8F8F" w14:textId="77777777" w:rsidR="00340D26" w:rsidRDefault="00340D26" w:rsidP="00340D26">
      <w:pPr>
        <w:pStyle w:val="Heading1"/>
      </w:pPr>
      <w:r>
        <w:t>1AC</w:t>
      </w:r>
    </w:p>
    <w:p w14:paraId="142C0D3C" w14:textId="77777777" w:rsidR="00340D26" w:rsidRPr="0059713B" w:rsidRDefault="00340D26" w:rsidP="00340D26">
      <w:pPr>
        <w:pStyle w:val="Heading3"/>
      </w:pPr>
      <w:r>
        <w:lastRenderedPageBreak/>
        <w:t>1AC – Framing</w:t>
      </w:r>
    </w:p>
    <w:p w14:paraId="790477AF" w14:textId="77777777" w:rsidR="00340D26" w:rsidRDefault="00340D26" w:rsidP="00340D26">
      <w:pPr>
        <w:pStyle w:val="Heading4"/>
        <w:rPr>
          <w:i/>
        </w:rPr>
      </w:pPr>
      <w:r w:rsidRPr="002677ED">
        <w:rPr>
          <w:i/>
        </w:rPr>
        <w:t>Ethics must begin a priori</w:t>
      </w:r>
    </w:p>
    <w:p w14:paraId="3B706852" w14:textId="77777777" w:rsidR="00340D26" w:rsidRPr="00E65A67" w:rsidRDefault="00340D26" w:rsidP="00340D26">
      <w:pPr>
        <w:pStyle w:val="Heading4"/>
        <w:rPr>
          <w:sz w:val="8"/>
        </w:rPr>
      </w:pPr>
      <w:r>
        <w:t>A] Dogmatism Paradox – disregard the 1NC</w:t>
      </w:r>
    </w:p>
    <w:p w14:paraId="625EE57B" w14:textId="77777777" w:rsidR="00340D26" w:rsidRDefault="00340D26" w:rsidP="00340D26">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9" w:history="1">
        <w:r w:rsidRPr="00D20E15">
          <w:rPr>
            <w:rStyle w:val="Hyperlink"/>
          </w:rPr>
          <w:t>https://plato.stanford.edu/entries/epistemic-paradoxes/</w:t>
        </w:r>
      </w:hyperlink>
      <w:r>
        <w:t xml:space="preserve">. </w:t>
      </w:r>
      <w:proofErr w:type="spellStart"/>
      <w:r>
        <w:t>PeteZ</w:t>
      </w:r>
      <w:proofErr w:type="spellEnd"/>
    </w:p>
    <w:p w14:paraId="6D969BC3" w14:textId="77777777" w:rsidR="00340D26" w:rsidRDefault="00340D26" w:rsidP="00340D26">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45E28040" w14:textId="77777777" w:rsidR="00340D26" w:rsidRDefault="00340D26" w:rsidP="00340D26">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5DBE57C0" w14:textId="009CA447" w:rsidR="00340D26" w:rsidRPr="00C546C9" w:rsidRDefault="00340D26" w:rsidP="00340D26">
      <w:pPr>
        <w:pStyle w:val="Heading4"/>
      </w:pPr>
      <w:r>
        <w:rPr>
          <w:u w:val="single"/>
        </w:rPr>
        <w:t>B</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6A39509E" w14:textId="65F6E2F4" w:rsidR="00340D26" w:rsidRDefault="00340D26" w:rsidP="00340D26">
      <w:pPr>
        <w:pStyle w:val="Heading4"/>
      </w:pPr>
      <w:r>
        <w:rPr>
          <w:u w:val="single"/>
        </w:rPr>
        <w:t>C</w:t>
      </w:r>
      <w:r w:rsidRPr="00D853C5">
        <w:rPr>
          <w:u w:val="single"/>
        </w:rPr>
        <w:t xml:space="preserve">] </w:t>
      </w:r>
      <w:r w:rsidRPr="001B30FD">
        <w:rPr>
          <w:u w:val="single"/>
        </w:rPr>
        <w:t>Decision Making Paradox</w:t>
      </w:r>
      <w:r>
        <w:t xml:space="preserve">- in order to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33D69E82" w14:textId="454D8F90" w:rsidR="00340D26" w:rsidRPr="00C546C9" w:rsidRDefault="00340D26" w:rsidP="00340D26">
      <w:pPr>
        <w:pStyle w:val="Heading4"/>
      </w:pPr>
      <w:r>
        <w:rPr>
          <w:u w:val="single"/>
        </w:rPr>
        <w:t>D</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42B73B76" w14:textId="44FF0E32" w:rsidR="00340D26" w:rsidRDefault="00340D26" w:rsidP="00340D26">
      <w:pPr>
        <w:pStyle w:val="Heading4"/>
        <w:rPr>
          <w:rFonts w:cs="Calibri"/>
        </w:rPr>
      </w:pPr>
      <w:r>
        <w:rPr>
          <w:rFonts w:cs="Calibri"/>
        </w:rPr>
        <w:t>E</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7D061CB" w14:textId="5CDD3D3D" w:rsidR="00A3481A" w:rsidRPr="00A3481A" w:rsidRDefault="00A3481A" w:rsidP="00A3481A">
      <w:pPr>
        <w:pStyle w:val="Heading4"/>
      </w:pPr>
      <w:r>
        <w:t>F</w:t>
      </w:r>
      <w:r>
        <w:t xml:space="preserve">] </w:t>
      </w: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0A70ED4B" w14:textId="77777777" w:rsidR="00340D26" w:rsidRDefault="00340D26" w:rsidP="00340D26">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294C1E67" w14:textId="77777777" w:rsidR="00340D26" w:rsidRPr="00C546C9" w:rsidRDefault="00340D26" w:rsidP="00340D26"/>
    <w:p w14:paraId="68372C2F" w14:textId="77777777" w:rsidR="00340D26" w:rsidRDefault="00340D26" w:rsidP="00340D26">
      <w:pPr>
        <w:pStyle w:val="Heading4"/>
      </w:pPr>
      <w:r>
        <w:lastRenderedPageBreak/>
        <w:t>Additionally</w:t>
      </w:r>
      <w:r w:rsidRPr="0088077D">
        <w:t>:</w:t>
      </w:r>
    </w:p>
    <w:p w14:paraId="27A6EDF4" w14:textId="77777777" w:rsidR="00340D26" w:rsidRPr="00EB18FA" w:rsidRDefault="00340D26" w:rsidP="00340D26"/>
    <w:p w14:paraId="4A036C2D" w14:textId="1FA0513F" w:rsidR="00340D26" w:rsidRDefault="00340D26" w:rsidP="00340D26">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64598E83" w14:textId="77777777" w:rsidR="00340D26" w:rsidRPr="00340D26" w:rsidRDefault="00340D26" w:rsidP="00340D26"/>
    <w:p w14:paraId="1E938DBA" w14:textId="77777777" w:rsidR="00340D26" w:rsidRPr="00E80998" w:rsidRDefault="00340D26" w:rsidP="00340D26">
      <w:pPr>
        <w:pStyle w:val="Heading4"/>
      </w:pPr>
      <w:r w:rsidRPr="00E80998">
        <w:t xml:space="preserve">Thus, the standard is consistency with the categorical imperative. </w:t>
      </w:r>
    </w:p>
    <w:p w14:paraId="1DB0E932" w14:textId="77777777" w:rsidR="00340D26" w:rsidRDefault="00340D26" w:rsidP="00340D26">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6EEE7BA" w14:textId="77777777" w:rsidR="00340D26" w:rsidRDefault="00340D26" w:rsidP="00340D26">
      <w:pPr>
        <w:pStyle w:val="Heading4"/>
      </w:pPr>
      <w:r w:rsidRPr="00C423B9">
        <w:rPr>
          <w:u w:val="single"/>
        </w:rPr>
        <w:t>[2]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363C85C4" w14:textId="77777777" w:rsidR="00340D26" w:rsidRDefault="00340D26" w:rsidP="00340D26">
      <w:pPr>
        <w:pStyle w:val="Heading4"/>
        <w:rPr>
          <w:rFonts w:cs="Calibri"/>
        </w:rPr>
      </w:pPr>
      <w:r>
        <w:t xml:space="preserve">[3] </w:t>
      </w:r>
      <w:r w:rsidRPr="008D552A">
        <w:rPr>
          <w:rFonts w:cs="Calibri"/>
        </w:rPr>
        <w:t xml:space="preserve">Interpretation: the neg must </w:t>
      </w:r>
      <w:r>
        <w:rPr>
          <w:rFonts w:cs="Calibri"/>
        </w:rPr>
        <w:t>concede</w:t>
      </w:r>
      <w:r w:rsidRPr="008D552A">
        <w:rPr>
          <w:rFonts w:cs="Calibri"/>
        </w:rPr>
        <w:t xml:space="preserve"> the </w:t>
      </w:r>
      <w:proofErr w:type="spellStart"/>
      <w:r w:rsidRPr="008D552A">
        <w:rPr>
          <w:rFonts w:cs="Calibri"/>
        </w:rPr>
        <w:t>aff</w:t>
      </w:r>
      <w:proofErr w:type="spellEnd"/>
      <w:r w:rsidRPr="008D552A">
        <w:rPr>
          <w:rFonts w:cs="Calibri"/>
        </w:rPr>
        <w:t xml:space="preserve"> framework provided that</w:t>
      </w:r>
      <w:r>
        <w:rPr>
          <w:rFonts w:cs="Calibri"/>
        </w:rPr>
        <w:t xml:space="preserve"> </w:t>
      </w:r>
      <w:r w:rsidRPr="008D552A">
        <w:rPr>
          <w:rFonts w:cs="Calibri"/>
        </w:rPr>
        <w:t xml:space="preserve">the </w:t>
      </w:r>
      <w:proofErr w:type="spellStart"/>
      <w:r w:rsidRPr="008D552A">
        <w:rPr>
          <w:rFonts w:cs="Calibri"/>
        </w:rPr>
        <w:t>aff</w:t>
      </w:r>
      <w:proofErr w:type="spellEnd"/>
      <w:r w:rsidRPr="008D552A">
        <w:rPr>
          <w:rFonts w:cs="Calibri"/>
        </w:rPr>
        <w:t xml:space="preserve"> standard is </w:t>
      </w:r>
      <w:r>
        <w:rPr>
          <w:rFonts w:cs="Calibri"/>
        </w:rPr>
        <w:t>consistency with the categorical imperative.</w:t>
      </w:r>
    </w:p>
    <w:p w14:paraId="4AE476B6" w14:textId="77777777" w:rsidR="00340D26" w:rsidRPr="00DB10F1" w:rsidRDefault="00340D26" w:rsidP="00340D26">
      <w:pPr>
        <w:pStyle w:val="Heading4"/>
      </w:pPr>
      <w:proofErr w:type="gramStart"/>
      <w:r>
        <w:t>Violation’s</w:t>
      </w:r>
      <w:proofErr w:type="gramEnd"/>
      <w:r>
        <w:t xml:space="preserve"> pre-emptive.</w:t>
      </w:r>
    </w:p>
    <w:p w14:paraId="39AAFB09" w14:textId="77777777" w:rsidR="00340D26" w:rsidRPr="000664ED" w:rsidRDefault="00340D26" w:rsidP="00340D26">
      <w:pPr>
        <w:pStyle w:val="Heading4"/>
      </w:pPr>
      <w:r w:rsidRPr="008D552A">
        <w:t xml:space="preserve">Strat skew – neg is reactive and can up-layer the </w:t>
      </w:r>
      <w:proofErr w:type="spellStart"/>
      <w:r w:rsidRPr="008D552A">
        <w:t>aff</w:t>
      </w:r>
      <w:proofErr w:type="spellEnd"/>
      <w:r w:rsidRPr="008D552A">
        <w:t xml:space="preserve"> on moral frameworks, procedurals, and discursive arguments – AFC levels the playing field by forcing the neg to commit to the </w:t>
      </w:r>
      <w:proofErr w:type="spellStart"/>
      <w:r w:rsidRPr="008D552A">
        <w:t>aff</w:t>
      </w:r>
      <w:proofErr w:type="spellEnd"/>
      <w:r w:rsidRPr="008D552A">
        <w:t xml:space="preserve"> on substance, which ensures the AC matters</w:t>
      </w:r>
      <w:r>
        <w:t xml:space="preserve">. </w:t>
      </w:r>
    </w:p>
    <w:p w14:paraId="6F6D56B8" w14:textId="77777777" w:rsidR="00340D26" w:rsidRPr="00505583" w:rsidRDefault="00340D26" w:rsidP="00340D26">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proofErr w:type="gramStart"/>
      <w:r w:rsidRPr="008D552A">
        <w:rPr>
          <w:rFonts w:cs="Calibri"/>
        </w:rPr>
        <w:t>cant</w:t>
      </w:r>
      <w:proofErr w:type="spellEnd"/>
      <w:proofErr w:type="gramEnd"/>
      <w:r w:rsidRPr="008D552A">
        <w:rPr>
          <w:rFonts w:cs="Calibri"/>
        </w:rPr>
        <w:t xml:space="preserve"> be the shell because then they could just choose not to violate it</w:t>
      </w:r>
    </w:p>
    <w:p w14:paraId="50A4B180" w14:textId="77777777" w:rsidR="00340D26" w:rsidRDefault="00340D26" w:rsidP="00340D26">
      <w:pPr>
        <w:pStyle w:val="Heading4"/>
      </w:pPr>
      <w:r>
        <w:t>1AC Theory is DTD—its key to making sure they’re held accountable since they chose to violate it</w:t>
      </w:r>
    </w:p>
    <w:p w14:paraId="593A61A0" w14:textId="77777777" w:rsidR="00340D26" w:rsidRPr="00391519" w:rsidRDefault="00340D26" w:rsidP="00340D26">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p>
    <w:p w14:paraId="2FC02712" w14:textId="77777777" w:rsidR="00340D26" w:rsidRPr="00C05CBA" w:rsidRDefault="00340D26" w:rsidP="00340D26">
      <w:pPr>
        <w:pStyle w:val="Heading3"/>
        <w:spacing w:before="0" w:after="40" w:line="276" w:lineRule="auto"/>
        <w:rPr>
          <w:rFonts w:cs="Calibri"/>
        </w:rPr>
      </w:pPr>
      <w:r w:rsidRPr="00C05CBA">
        <w:rPr>
          <w:rFonts w:cs="Calibri"/>
        </w:rPr>
        <w:lastRenderedPageBreak/>
        <w:t>Advocacy</w:t>
      </w:r>
    </w:p>
    <w:p w14:paraId="79A79F3F" w14:textId="77777777" w:rsidR="00340D26" w:rsidRPr="00304C21" w:rsidRDefault="00340D26" w:rsidP="00340D26">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2E953F8E" w14:textId="77777777" w:rsidR="00340D26" w:rsidRDefault="00340D26" w:rsidP="00340D26">
      <w:r w:rsidRPr="00837244">
        <w:t>To</w:t>
      </w:r>
      <w:r>
        <w:t xml:space="preserve"> clarify we’ll defend implementation and a revision to the Outer Space Treaty that explicitly bans appropriation of outer space by private entities</w:t>
      </w:r>
    </w:p>
    <w:p w14:paraId="2EB3F43E" w14:textId="77777777" w:rsidR="00340D26" w:rsidRPr="00C05CBA" w:rsidRDefault="00340D26" w:rsidP="00340D26">
      <w:pPr>
        <w:pStyle w:val="Heading3"/>
        <w:spacing w:before="0" w:after="40" w:line="276" w:lineRule="auto"/>
        <w:rPr>
          <w:rFonts w:cs="Calibri"/>
        </w:rPr>
      </w:pPr>
      <w:r w:rsidRPr="00C05CBA">
        <w:rPr>
          <w:rFonts w:cs="Calibri"/>
        </w:rPr>
        <w:lastRenderedPageBreak/>
        <w:t>Offense</w:t>
      </w:r>
    </w:p>
    <w:p w14:paraId="48ADB734" w14:textId="77777777" w:rsidR="00340D26" w:rsidRDefault="00340D26" w:rsidP="00340D26">
      <w:pPr>
        <w:pStyle w:val="Heading4"/>
      </w:pPr>
      <w:r>
        <w:t>[1] Privatization is bad</w:t>
      </w:r>
    </w:p>
    <w:p w14:paraId="4B5A2712" w14:textId="77777777" w:rsidR="00340D26" w:rsidRPr="002B55F1" w:rsidRDefault="00340D26" w:rsidP="00340D26">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5C99CDEE" w14:textId="77777777" w:rsidR="00340D26" w:rsidRPr="002B55F1" w:rsidRDefault="00340D26" w:rsidP="00340D26">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10" w:history="1">
        <w:r w:rsidRPr="002B55F1">
          <w:rPr>
            <w:rStyle w:val="Hyperlink"/>
          </w:rPr>
          <w:t>https://www.sciencefocus.com/space/the-unintended-consequences-of-privatising-space/</w:t>
        </w:r>
      </w:hyperlink>
      <w:r w:rsidRPr="002B55F1">
        <w:t xml:space="preserve"> </w:t>
      </w:r>
      <w:r>
        <w:t>SJMS</w:t>
      </w:r>
    </w:p>
    <w:p w14:paraId="137E0EFC" w14:textId="77777777" w:rsidR="00340D26" w:rsidRPr="00386368" w:rsidRDefault="00340D26" w:rsidP="00340D26">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1" w:history="1">
        <w:r w:rsidRPr="002B55F1">
          <w:rPr>
            <w:rStyle w:val="Emphasis"/>
          </w:rPr>
          <w:t>the Moon</w:t>
        </w:r>
      </w:hyperlink>
      <w:r w:rsidRPr="00386368">
        <w:rPr>
          <w:sz w:val="16"/>
        </w:rPr>
        <w:t xml:space="preserve"> or </w:t>
      </w:r>
      <w:hyperlink r:id="rId12"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3"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4"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6611A61F" w14:textId="77777777" w:rsidR="00340D26" w:rsidRDefault="00340D26" w:rsidP="00340D26">
      <w:pPr>
        <w:rPr>
          <w:rFonts w:ascii="Times New Roman" w:hAnsi="Times New Roman" w:cs="Times New Roman"/>
          <w:sz w:val="24"/>
        </w:rPr>
      </w:pPr>
    </w:p>
    <w:p w14:paraId="4E1EE587" w14:textId="77777777" w:rsidR="00340D26" w:rsidRPr="002B55F1" w:rsidRDefault="00340D26" w:rsidP="00340D26">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125845F6" w14:textId="77777777" w:rsidR="00340D26" w:rsidRPr="00CC51B8" w:rsidRDefault="00340D26" w:rsidP="00340D26">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w:t>
      </w:r>
      <w:r w:rsidRPr="00CC51B8">
        <w:lastRenderedPageBreak/>
        <w:t xml:space="preserve">a contributor to, Philanthropy in Democratic Societies (University of Chicago Press, 2016).  </w:t>
      </w:r>
      <w:r>
        <w:t xml:space="preserve">-- </w:t>
      </w:r>
      <w:hyperlink r:id="rId15"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5F80A0A4" w14:textId="77777777" w:rsidR="00340D26" w:rsidRPr="00E402E3" w:rsidRDefault="00340D26" w:rsidP="00340D26">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w:t>
      </w:r>
      <w:r w:rsidRPr="00E402E3">
        <w:rPr>
          <w:rStyle w:val="Emphasis"/>
        </w:rPr>
        <w:lastRenderedPageBreak/>
        <w:t xml:space="preserve">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49FAF35" w14:textId="77777777" w:rsidR="00340D26" w:rsidRDefault="00340D26" w:rsidP="00340D26">
      <w:pPr>
        <w:pStyle w:val="Heading3"/>
      </w:pPr>
      <w:r>
        <w:lastRenderedPageBreak/>
        <w:t xml:space="preserve">1AC – </w:t>
      </w:r>
      <w:proofErr w:type="spellStart"/>
      <w:r>
        <w:t>Underview</w:t>
      </w:r>
      <w:proofErr w:type="spellEnd"/>
    </w:p>
    <w:p w14:paraId="5D117937" w14:textId="77777777" w:rsidR="00340D26" w:rsidRDefault="00340D26" w:rsidP="00340D26">
      <w:pPr>
        <w:pStyle w:val="Heading4"/>
      </w:pPr>
      <w:r>
        <w:t xml:space="preserve">1] The role of the ballot is to determine whether the resolution is a </w:t>
      </w:r>
      <w:r w:rsidRPr="00C909F0">
        <w:rPr>
          <w:u w:val="single"/>
        </w:rPr>
        <w:t>true or false statemen</w:t>
      </w:r>
      <w:r>
        <w:rPr>
          <w:u w:val="single"/>
        </w:rPr>
        <w:t>t</w:t>
      </w:r>
      <w:r w:rsidRPr="00C909F0">
        <w:t xml:space="preserve"> </w:t>
      </w:r>
    </w:p>
    <w:p w14:paraId="02642194" w14:textId="77777777" w:rsidR="00340D26" w:rsidRDefault="00340D26" w:rsidP="00340D26">
      <w:pPr>
        <w:pStyle w:val="Heading4"/>
      </w:pPr>
      <w:proofErr w:type="spellStart"/>
      <w:r>
        <w:t>Aff</w:t>
      </w:r>
      <w:proofErr w:type="spellEnd"/>
      <w:r>
        <w:t xml:space="preserve"> flex – other frameworks </w:t>
      </w:r>
      <w:proofErr w:type="gramStart"/>
      <w:r w:rsidRPr="00C909F0">
        <w:rPr>
          <w:u w:val="single"/>
        </w:rPr>
        <w:t>moots</w:t>
      </w:r>
      <w:proofErr w:type="gramEnd"/>
      <w:r w:rsidRPr="00C909F0">
        <w:rPr>
          <w:u w:val="single"/>
        </w:rPr>
        <w:t xml:space="preserve"> </w:t>
      </w:r>
      <w:r>
        <w:rPr>
          <w:u w:val="single"/>
        </w:rPr>
        <w:t xml:space="preserve">the entire </w:t>
      </w:r>
      <w:proofErr w:type="spellStart"/>
      <w:r>
        <w:rPr>
          <w:u w:val="single"/>
        </w:rPr>
        <w:t>aff</w:t>
      </w:r>
      <w:proofErr w:type="spellEnd"/>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5668E223" w14:textId="77777777" w:rsidR="00340D26" w:rsidRPr="004214E7" w:rsidRDefault="00340D26" w:rsidP="00340D26">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10B83B7A" w14:textId="77777777" w:rsidR="00340D26" w:rsidRDefault="00340D26" w:rsidP="00340D26">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06CE6AE0" w14:textId="77777777" w:rsidR="00340D26" w:rsidRPr="00984A5D" w:rsidRDefault="00340D26" w:rsidP="00340D26">
      <w:pPr>
        <w:pStyle w:val="Heading4"/>
      </w:pPr>
      <w:r>
        <w:t>Most inclusive because other ROBs allow for oppression Olympics allowing personal lives and experiences to factor in decisions.</w:t>
      </w:r>
    </w:p>
    <w:p w14:paraId="37E6C5A7" w14:textId="77777777" w:rsidR="00340D26" w:rsidRDefault="00340D26" w:rsidP="00340D26">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p w14:paraId="2B396CF0" w14:textId="77777777" w:rsidR="00340D26" w:rsidRDefault="00340D26" w:rsidP="00340D26">
      <w:pPr>
        <w:pStyle w:val="Heading4"/>
      </w:pPr>
      <w:r>
        <w:t xml:space="preserve">Logical arguments aren’t justified in a vacuum – they’re in the context of the resolution so we only defend the </w:t>
      </w:r>
      <w:proofErr w:type="spellStart"/>
      <w:r>
        <w:t>resolutional</w:t>
      </w:r>
      <w:proofErr w:type="spellEnd"/>
      <w:r>
        <w:t xml:space="preserve"> application – misapplications are infinitely regressive since every argument can be used to justify something bad so you should frame this debate through specificity </w:t>
      </w:r>
    </w:p>
    <w:p w14:paraId="551501C9" w14:textId="77777777" w:rsidR="00340D26" w:rsidRPr="004214E7" w:rsidRDefault="00340D26" w:rsidP="00340D26"/>
    <w:p w14:paraId="21F26A9E" w14:textId="77777777" w:rsidR="00340D26" w:rsidRDefault="00340D26" w:rsidP="00340D26">
      <w:pPr>
        <w:pStyle w:val="Heading4"/>
      </w:pPr>
      <w:r>
        <w:t xml:space="preserve">2]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roofErr w:type="spellStart"/>
      <w:r w:rsidRPr="00100AB4">
        <w:t>Aff</w:t>
      </w:r>
      <w:proofErr w:type="spellEnd"/>
      <w:r w:rsidRPr="00100AB4">
        <w:t xml:space="preserve"> theory first – it’s a much larger strategic loss because 1min is ¼ of the 1AR vs 1/7 of the 1NC which means there’s more abuse if I’m devoting a larger fraction of time.</w:t>
      </w:r>
    </w:p>
    <w:p w14:paraId="6BF0E6C5" w14:textId="77777777" w:rsidR="00340D26" w:rsidRPr="0084520A" w:rsidRDefault="00340D26" w:rsidP="00340D26"/>
    <w:p w14:paraId="13D1F653" w14:textId="77777777" w:rsidR="00340D26" w:rsidRPr="00135A8E" w:rsidRDefault="00340D26" w:rsidP="00340D26">
      <w:pPr>
        <w:pStyle w:val="Heading4"/>
        <w:rPr>
          <w:rFonts w:cs="Calibri"/>
        </w:rPr>
      </w:pPr>
      <w:r>
        <w:rPr>
          <w:rFonts w:cs="Calibri"/>
        </w:rPr>
        <w:lastRenderedPageBreak/>
        <w:t xml:space="preserve">3] </w:t>
      </w:r>
      <w:r w:rsidRPr="00135A8E">
        <w:rPr>
          <w:rFonts w:cs="Calibri"/>
        </w:rPr>
        <w:t xml:space="preserve">NC Theory – </w:t>
      </w:r>
    </w:p>
    <w:p w14:paraId="78E39136" w14:textId="77777777" w:rsidR="00340D26" w:rsidRPr="00135A8E" w:rsidRDefault="00340D26" w:rsidP="00340D26">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4D46B443" w14:textId="77777777" w:rsidR="00340D26" w:rsidRDefault="00340D26" w:rsidP="00340D26">
      <w:pPr>
        <w:pStyle w:val="Heading4"/>
        <w:rPr>
          <w:rFonts w:cs="Calibri"/>
        </w:rPr>
      </w:pPr>
      <w:r w:rsidRPr="00135A8E">
        <w:rPr>
          <w:rFonts w:cs="Calibri"/>
        </w:rPr>
        <w:t xml:space="preserve">B] Reasonability since the 1AR is too short to effectively win offense against a 6-minute 2nr dump. </w:t>
      </w:r>
    </w:p>
    <w:p w14:paraId="7962117B" w14:textId="54FFE9BC" w:rsidR="009352C5" w:rsidRDefault="00340D26" w:rsidP="009352C5">
      <w:pPr>
        <w:pStyle w:val="Heading4"/>
      </w:pPr>
      <w:r>
        <w:t>C] A</w:t>
      </w:r>
      <w:r w:rsidRPr="00F72822">
        <w:t xml:space="preserve">ffirm means </w:t>
      </w:r>
      <w:r w:rsidRPr="00F72822">
        <w:rPr>
          <w:u w:val="single"/>
        </w:rPr>
        <w:t>to express agreement</w:t>
      </w:r>
      <w:r w:rsidRPr="00F72822">
        <w:rPr>
          <w:vertAlign w:val="superscript"/>
        </w:rPr>
        <w:footnoteReference w:id="3"/>
      </w:r>
      <w:r w:rsidRPr="00F72822">
        <w:t xml:space="preserve"> and you already know I do</w:t>
      </w:r>
      <w:r>
        <w:t>.</w:t>
      </w:r>
    </w:p>
    <w:p w14:paraId="78B6C50F" w14:textId="16B2CE1B" w:rsidR="009352C5" w:rsidRDefault="009352C5" w:rsidP="009352C5"/>
    <w:p w14:paraId="6499ACCF" w14:textId="7B239185" w:rsidR="009352C5" w:rsidRPr="009352C5" w:rsidRDefault="009352C5" w:rsidP="009352C5"/>
    <w:sectPr w:rsidR="009352C5" w:rsidRPr="009352C5" w:rsidSect="00072718">
      <w:pgSz w:w="12240" w:h="15840"/>
      <w:pgMar w:top="1440" w:right="1800" w:bottom="1440"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38FC4" w14:textId="77777777" w:rsidR="00E01BCE" w:rsidRDefault="00E01BCE" w:rsidP="00340D26">
      <w:pPr>
        <w:spacing w:after="0" w:line="240" w:lineRule="auto"/>
      </w:pPr>
      <w:r>
        <w:separator/>
      </w:r>
    </w:p>
  </w:endnote>
  <w:endnote w:type="continuationSeparator" w:id="0">
    <w:p w14:paraId="0A1FCAC0" w14:textId="77777777" w:rsidR="00E01BCE" w:rsidRDefault="00E01BCE" w:rsidP="00340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57A88" w14:textId="77777777" w:rsidR="00E01BCE" w:rsidRDefault="00E01BCE" w:rsidP="00340D26">
      <w:pPr>
        <w:spacing w:after="0" w:line="240" w:lineRule="auto"/>
      </w:pPr>
      <w:r>
        <w:separator/>
      </w:r>
    </w:p>
  </w:footnote>
  <w:footnote w:type="continuationSeparator" w:id="0">
    <w:p w14:paraId="1246553A" w14:textId="77777777" w:rsidR="00E01BCE" w:rsidRDefault="00E01BCE" w:rsidP="00340D26">
      <w:pPr>
        <w:spacing w:after="0" w:line="240" w:lineRule="auto"/>
      </w:pPr>
      <w:r>
        <w:continuationSeparator/>
      </w:r>
    </w:p>
  </w:footnote>
  <w:footnote w:id="1">
    <w:p w14:paraId="1E18851A" w14:textId="77777777" w:rsidR="00340D26" w:rsidRPr="00752E9C" w:rsidRDefault="00340D26" w:rsidP="00340D2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DB6F2C4" w14:textId="77777777" w:rsidR="00340D26" w:rsidRPr="00855FDC" w:rsidRDefault="00340D26" w:rsidP="00340D2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E8C0525" w14:textId="77777777" w:rsidR="00340D26" w:rsidRDefault="00340D26" w:rsidP="00340D26">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30A6"/>
    <w:rsid w:val="000139A3"/>
    <w:rsid w:val="00040B19"/>
    <w:rsid w:val="0007469D"/>
    <w:rsid w:val="00082BF2"/>
    <w:rsid w:val="000B00F7"/>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5776"/>
    <w:rsid w:val="001D6DB7"/>
    <w:rsid w:val="001E527A"/>
    <w:rsid w:val="001F78CE"/>
    <w:rsid w:val="00200752"/>
    <w:rsid w:val="00251FC7"/>
    <w:rsid w:val="002855A7"/>
    <w:rsid w:val="002B146A"/>
    <w:rsid w:val="002B5E17"/>
    <w:rsid w:val="002F2014"/>
    <w:rsid w:val="002F35D4"/>
    <w:rsid w:val="00315690"/>
    <w:rsid w:val="00316B75"/>
    <w:rsid w:val="00325646"/>
    <w:rsid w:val="00340D26"/>
    <w:rsid w:val="00342929"/>
    <w:rsid w:val="003460F2"/>
    <w:rsid w:val="0038158C"/>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61E0A"/>
    <w:rsid w:val="0057268A"/>
    <w:rsid w:val="005839FB"/>
    <w:rsid w:val="005B5158"/>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530A6"/>
    <w:rsid w:val="00766EA0"/>
    <w:rsid w:val="007A2226"/>
    <w:rsid w:val="007E26FD"/>
    <w:rsid w:val="007F5B66"/>
    <w:rsid w:val="00823A1C"/>
    <w:rsid w:val="00845B9D"/>
    <w:rsid w:val="00860984"/>
    <w:rsid w:val="008B3ECB"/>
    <w:rsid w:val="008B4E85"/>
    <w:rsid w:val="008C1B2E"/>
    <w:rsid w:val="0091627E"/>
    <w:rsid w:val="009352C5"/>
    <w:rsid w:val="0097032B"/>
    <w:rsid w:val="009B31E0"/>
    <w:rsid w:val="009D2EAD"/>
    <w:rsid w:val="009D54B2"/>
    <w:rsid w:val="009E1922"/>
    <w:rsid w:val="009F7065"/>
    <w:rsid w:val="009F7ED2"/>
    <w:rsid w:val="00A12AE0"/>
    <w:rsid w:val="00A33354"/>
    <w:rsid w:val="00A3481A"/>
    <w:rsid w:val="00A93661"/>
    <w:rsid w:val="00A95652"/>
    <w:rsid w:val="00AC00E9"/>
    <w:rsid w:val="00AC0AB8"/>
    <w:rsid w:val="00AD5B54"/>
    <w:rsid w:val="00AF398B"/>
    <w:rsid w:val="00B3286F"/>
    <w:rsid w:val="00B33C6D"/>
    <w:rsid w:val="00B4508F"/>
    <w:rsid w:val="00B50071"/>
    <w:rsid w:val="00B55AD5"/>
    <w:rsid w:val="00B65047"/>
    <w:rsid w:val="00B8057C"/>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CF5E85"/>
    <w:rsid w:val="00D32176"/>
    <w:rsid w:val="00D325A9"/>
    <w:rsid w:val="00D36A8A"/>
    <w:rsid w:val="00D41B9B"/>
    <w:rsid w:val="00D44781"/>
    <w:rsid w:val="00D55D55"/>
    <w:rsid w:val="00D61409"/>
    <w:rsid w:val="00D6691E"/>
    <w:rsid w:val="00D71170"/>
    <w:rsid w:val="00DA1C92"/>
    <w:rsid w:val="00DA25D4"/>
    <w:rsid w:val="00DA6538"/>
    <w:rsid w:val="00DD4A1B"/>
    <w:rsid w:val="00DE3AE2"/>
    <w:rsid w:val="00E01BCE"/>
    <w:rsid w:val="00E15E75"/>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3EE8"/>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26C2"/>
  <w15:chartTrackingRefBased/>
  <w15:docId w15:val="{565992F5-03C4-42EF-B568-48491C08A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0D26"/>
    <w:rPr>
      <w:rFonts w:ascii="Calibri" w:hAnsi="Calibri"/>
    </w:rPr>
  </w:style>
  <w:style w:type="paragraph" w:styleId="Heading1">
    <w:name w:val="heading 1"/>
    <w:aliases w:val="Pocket"/>
    <w:basedOn w:val="Normal"/>
    <w:next w:val="Normal"/>
    <w:link w:val="Heading1Char"/>
    <w:qFormat/>
    <w:rsid w:val="007530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30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7530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530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30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0A6"/>
  </w:style>
  <w:style w:type="character" w:customStyle="1" w:styleId="Heading1Char">
    <w:name w:val="Heading 1 Char"/>
    <w:aliases w:val="Pocket Char"/>
    <w:basedOn w:val="DefaultParagraphFont"/>
    <w:link w:val="Heading1"/>
    <w:rsid w:val="007530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30A6"/>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530A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530A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530A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30A6"/>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530A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530A6"/>
    <w:rPr>
      <w:color w:val="auto"/>
      <w:u w:val="none"/>
    </w:rPr>
  </w:style>
  <w:style w:type="character" w:styleId="FollowedHyperlink">
    <w:name w:val="FollowedHyperlink"/>
    <w:basedOn w:val="DefaultParagraphFont"/>
    <w:uiPriority w:val="99"/>
    <w:semiHidden/>
    <w:unhideWhenUsed/>
    <w:rsid w:val="007530A6"/>
    <w:rPr>
      <w:color w:val="auto"/>
      <w:u w:val="none"/>
    </w:rPr>
  </w:style>
  <w:style w:type="paragraph" w:customStyle="1" w:styleId="textbold">
    <w:name w:val="text bold"/>
    <w:basedOn w:val="Normal"/>
    <w:link w:val="Emphasis"/>
    <w:uiPriority w:val="7"/>
    <w:qFormat/>
    <w:rsid w:val="00340D2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40D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340D26"/>
    <w:rPr>
      <w:vertAlign w:val="superscript"/>
    </w:rPr>
  </w:style>
  <w:style w:type="paragraph" w:styleId="FootnoteText">
    <w:name w:val="footnote text"/>
    <w:basedOn w:val="Normal"/>
    <w:link w:val="FootnoteTextChar"/>
    <w:uiPriority w:val="99"/>
    <w:unhideWhenUsed/>
    <w:qFormat/>
    <w:rsid w:val="00340D26"/>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340D2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osa.org/oosa/en/ourwork/spacelaw/treaties/outerspacetreaty.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ciencefocus.com/space/mars-facts-figures-fun-questions-red-planet/"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sciencefocus.com/tag/the-moon/" TargetMode="External"/><Relationship Id="rId5" Type="http://schemas.openxmlformats.org/officeDocument/2006/relationships/settings" Target="settings.xml"/><Relationship Id="rId15" Type="http://schemas.openxmlformats.org/officeDocument/2006/relationships/hyperlink" Target="mailto:cordelli@uchicago.edu" TargetMode="External"/><Relationship Id="rId10" Type="http://schemas.openxmlformats.org/officeDocument/2006/relationships/hyperlink" Target="https://www.sciencefocus.com/space/the-unintended-consequences-of-privatising-space/" TargetMode="External"/><Relationship Id="rId4" Type="http://schemas.openxmlformats.org/officeDocument/2006/relationships/styles" Target="styles.xml"/><Relationship Id="rId9" Type="http://schemas.openxmlformats.org/officeDocument/2006/relationships/hyperlink" Target="https://plato.stanford.edu/entries/epistemic-paradoxes/" TargetMode="External"/><Relationship Id="rId14" Type="http://schemas.openxmlformats.org/officeDocument/2006/relationships/hyperlink" Target="https://spacenews.com/cruz-interested-in-updating-outer-space-treaty-to-support-commercial-space-activiti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159</TotalTime>
  <Pages>9</Pages>
  <Words>2647</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7</cp:revision>
  <dcterms:created xsi:type="dcterms:W3CDTF">2022-01-22T18:27:00Z</dcterms:created>
  <dcterms:modified xsi:type="dcterms:W3CDTF">2022-01-22T21:14:00Z</dcterms:modified>
</cp:coreProperties>
</file>