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1A0A7" w14:textId="3B0B1F83" w:rsidR="00E42E4C" w:rsidRDefault="00CB7575" w:rsidP="0029227D">
      <w:pPr>
        <w:pStyle w:val="Heading1"/>
      </w:pPr>
      <w:r>
        <w:t>GBX Dubs</w:t>
      </w:r>
    </w:p>
    <w:p w14:paraId="20BD0C10" w14:textId="756E5FA6" w:rsidR="00CB7575" w:rsidRDefault="00DB13CD" w:rsidP="00CB7575">
      <w:pPr>
        <w:pStyle w:val="Heading3"/>
      </w:pPr>
      <w:r>
        <w:lastRenderedPageBreak/>
        <w:t>1</w:t>
      </w:r>
    </w:p>
    <w:p w14:paraId="51F5D9D3" w14:textId="77777777" w:rsidR="00332369" w:rsidRDefault="00332369" w:rsidP="00332369">
      <w:pPr>
        <w:pStyle w:val="Heading4"/>
      </w:pPr>
      <w:r>
        <w:t>Interpretation: the affirmative must defend that only just governments ought to recognize the right to strike</w:t>
      </w:r>
    </w:p>
    <w:p w14:paraId="5FB2495E" w14:textId="77777777" w:rsidR="00332369" w:rsidRDefault="00332369" w:rsidP="00332369">
      <w:pPr>
        <w:pStyle w:val="Heading4"/>
      </w:pPr>
      <w:r>
        <w:t>Just governments respect liberties</w:t>
      </w:r>
    </w:p>
    <w:p w14:paraId="55B5938F" w14:textId="77777777" w:rsidR="00332369" w:rsidRPr="00F553B7" w:rsidRDefault="00332369" w:rsidP="00332369">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12A7F3E9" w14:textId="1192EBF3" w:rsidR="00332369" w:rsidRDefault="00332369" w:rsidP="00332369">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128CA">
        <w:rPr>
          <w:rStyle w:val="StyleUnderline"/>
          <w:highlight w:val="green"/>
        </w:rPr>
        <w:t xml:space="preserve">the purpose of a just government is </w:t>
      </w:r>
      <w:r w:rsidRPr="00F553B7">
        <w:rPr>
          <w:rStyle w:val="StyleUnderline"/>
        </w:rPr>
        <w:t xml:space="preserve">not to do good with other people’s money, but </w:t>
      </w:r>
      <w:r w:rsidRPr="009128CA">
        <w:rPr>
          <w:rStyle w:val="StyleUnderline"/>
          <w:highlight w:val="green"/>
        </w:rPr>
        <w:t>to prevent injustice by protecting property and securing liberty.</w:t>
      </w:r>
    </w:p>
    <w:p w14:paraId="5044FF45" w14:textId="77777777" w:rsidR="00332369" w:rsidRDefault="00332369" w:rsidP="00332369">
      <w:pPr>
        <w:pStyle w:val="Heading4"/>
      </w:pPr>
      <w:r w:rsidRPr="005D40E9">
        <w:t>Violation—</w:t>
      </w:r>
      <w:r>
        <w:t>the US and specifically courts</w:t>
      </w:r>
      <w:r w:rsidRPr="005D40E9">
        <w:t xml:space="preserve"> </w:t>
      </w:r>
      <w:r>
        <w:t>are</w:t>
      </w:r>
      <w:r w:rsidRPr="005D40E9">
        <w:t xml:space="preserve"> not just. </w:t>
      </w:r>
    </w:p>
    <w:p w14:paraId="0201DACE" w14:textId="77777777" w:rsidR="00332369" w:rsidRPr="0071296D" w:rsidRDefault="00332369" w:rsidP="00332369">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1654855A" w14:textId="48918472" w:rsidR="00332369" w:rsidRPr="00616CEB" w:rsidRDefault="00332369" w:rsidP="00332369">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128CA">
        <w:rPr>
          <w:rStyle w:val="Emphasis"/>
          <w:highlight w:val="green"/>
        </w:rPr>
        <w:t>African Americans are more likely</w:t>
      </w:r>
      <w:r w:rsidRPr="007B3CE9">
        <w:rPr>
          <w:sz w:val="14"/>
        </w:rPr>
        <w:t xml:space="preserve"> than white Americans </w:t>
      </w:r>
      <w:r w:rsidRPr="009128CA">
        <w:rPr>
          <w:rStyle w:val="Emphasis"/>
          <w:highlight w:val="green"/>
        </w:rPr>
        <w:t>to be arrested</w:t>
      </w:r>
      <w:r w:rsidRPr="007B3CE9">
        <w:rPr>
          <w:sz w:val="14"/>
        </w:rPr>
        <w:t xml:space="preserve">; once arrested, they are more likely to be </w:t>
      </w:r>
      <w:r w:rsidRPr="009128CA">
        <w:rPr>
          <w:rStyle w:val="Emphasis"/>
          <w:highlight w:val="green"/>
        </w:rPr>
        <w:t>convicted</w:t>
      </w:r>
      <w:r w:rsidRPr="007B3CE9">
        <w:rPr>
          <w:sz w:val="14"/>
        </w:rPr>
        <w:t xml:space="preserve">; and once convicted, </w:t>
      </w:r>
      <w:r w:rsidRPr="009128CA">
        <w:rPr>
          <w:rStyle w:val="Emphasis"/>
          <w:highlight w:val="green"/>
        </w:rPr>
        <w:t>and</w:t>
      </w:r>
      <w:r w:rsidRPr="007B3CE9">
        <w:rPr>
          <w:sz w:val="14"/>
        </w:rPr>
        <w:t xml:space="preserve"> they are more likely to </w:t>
      </w:r>
      <w:r w:rsidRPr="009128CA">
        <w:rPr>
          <w:rStyle w:val="Emphasis"/>
          <w:highlight w:val="green"/>
        </w:rPr>
        <w:t>experience lengthy prison sentences</w:t>
      </w:r>
      <w:r w:rsidRPr="007B3CE9">
        <w:rPr>
          <w:sz w:val="14"/>
        </w:rPr>
        <w:t xml:space="preserve">. </w:t>
      </w:r>
      <w:r w:rsidRPr="009128CA">
        <w:rPr>
          <w:rStyle w:val="Emphasis"/>
          <w:highlight w:val="gree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128CA">
        <w:rPr>
          <w:rStyle w:val="Emphasis"/>
          <w:highlight w:val="green"/>
        </w:rPr>
        <w:t>The United States in effect operates two</w:t>
      </w:r>
      <w:r w:rsidRPr="007B3CE9">
        <w:rPr>
          <w:rStyle w:val="Emphasis"/>
        </w:rPr>
        <w:t xml:space="preserve"> </w:t>
      </w:r>
      <w:r w:rsidRPr="007B3CE9">
        <w:rPr>
          <w:sz w:val="14"/>
        </w:rPr>
        <w:t xml:space="preserve">distinct </w:t>
      </w:r>
      <w:r w:rsidRPr="009128CA">
        <w:rPr>
          <w:rStyle w:val="Emphasis"/>
          <w:highlight w:val="green"/>
        </w:rPr>
        <w:t>criminal justice systems: one for wealthy people and another for poor people and people of colo</w:t>
      </w:r>
      <w:r w:rsidRPr="007B3CE9">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sidRPr="007B3CE9">
        <w:rPr>
          <w:rStyle w:val="Emphasis"/>
        </w:rPr>
        <w:t>a number of</w:t>
      </w:r>
      <w:proofErr w:type="gramEnd"/>
      <w:r w:rsidRPr="007B3CE9">
        <w:rPr>
          <w:rStyle w:val="Emphasis"/>
        </w:rPr>
        <w:t xml:space="preserve"> factors</w:t>
      </w:r>
      <w:r w:rsidRPr="007B3CE9">
        <w:rPr>
          <w:sz w:val="14"/>
        </w:rPr>
        <w:t>, each of which contributes to the overrepresentation of such individuals in the system. As former Georgetown Law Professor David Cole states in his book No Equal Justice,</w:t>
      </w:r>
    </w:p>
    <w:p w14:paraId="438C8A9D" w14:textId="77777777" w:rsidR="00332369" w:rsidRDefault="00332369" w:rsidP="00332369">
      <w:pPr>
        <w:pStyle w:val="Heading4"/>
      </w:pPr>
      <w:r>
        <w:lastRenderedPageBreak/>
        <w:t>Prefer –</w:t>
      </w:r>
    </w:p>
    <w:p w14:paraId="01AE765E" w14:textId="797E72C4" w:rsidR="00332369" w:rsidRDefault="00332369" w:rsidP="00332369">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r w:rsidR="000F00E0">
        <w:t xml:space="preserve"> – </w:t>
      </w:r>
      <w:r w:rsidR="000F00E0">
        <w:t xml:space="preserve">they try to justify the US as just which is exclusionary towards minorities and people of color who feel this violence </w:t>
      </w:r>
      <w:proofErr w:type="spellStart"/>
      <w:r w:rsidR="000F00E0">
        <w:t>everyday</w:t>
      </w:r>
      <w:proofErr w:type="spellEnd"/>
      <w:r w:rsidR="000F00E0">
        <w:t xml:space="preserve">. This is supercharged by their reps and performance – they literally try to hide violence </w:t>
      </w:r>
      <w:proofErr w:type="gramStart"/>
      <w:r w:rsidR="000F00E0">
        <w:t>in spite of</w:t>
      </w:r>
      <w:proofErr w:type="gramEnd"/>
      <w:r w:rsidR="000F00E0">
        <w:t xml:space="preserve"> this systematic oppression. Hold the line – accessibility is an antecedent question to any other judge obligation because it’s a </w:t>
      </w:r>
      <w:proofErr w:type="spellStart"/>
      <w:r w:rsidR="000F00E0">
        <w:t>prereq</w:t>
      </w:r>
      <w:proofErr w:type="spellEnd"/>
      <w:r w:rsidR="000F00E0">
        <w:t xml:space="preserve"> to debate and a jurisdictional obligation of educators.</w:t>
      </w:r>
    </w:p>
    <w:p w14:paraId="1CFF92A6" w14:textId="77777777" w:rsidR="00332369" w:rsidRDefault="00332369" w:rsidP="00332369">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13A99B03" w14:textId="77777777" w:rsidR="00332369" w:rsidRDefault="00332369" w:rsidP="00332369">
      <w:pPr>
        <w:pStyle w:val="Heading4"/>
      </w:pPr>
      <w:r>
        <w:t>3] Phil ed – 1AR will claim no government is just but that just means that we defend ideal theory. That’s good –</w:t>
      </w:r>
    </w:p>
    <w:p w14:paraId="6CAC8F1D" w14:textId="77777777" w:rsidR="00332369" w:rsidRDefault="00332369" w:rsidP="00332369">
      <w:pPr>
        <w:pStyle w:val="Heading4"/>
      </w:pPr>
      <w:r>
        <w:t>forces philosophical contestation which can uniquely happen in LD debate whereas you can util debate on any topic</w:t>
      </w:r>
    </w:p>
    <w:p w14:paraId="32FB4140" w14:textId="77777777" w:rsidR="00332369" w:rsidRPr="008C32FC" w:rsidRDefault="00332369" w:rsidP="00332369">
      <w:pPr>
        <w:pStyle w:val="Heading4"/>
      </w:pPr>
      <w:r>
        <w:t>4] TVA – read the aff as a whole res aff, same advantage area</w:t>
      </w:r>
    </w:p>
    <w:p w14:paraId="2FD1D8B4" w14:textId="77777777" w:rsidR="00CB7575" w:rsidRDefault="00CB7575" w:rsidP="00CB7575">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3AA3D1B0" w14:textId="632BF2BD" w:rsidR="00DB13CD" w:rsidRDefault="00DB13CD" w:rsidP="00DB13CD">
      <w:pPr>
        <w:pStyle w:val="Heading3"/>
      </w:pPr>
      <w:r>
        <w:lastRenderedPageBreak/>
        <w:t>2</w:t>
      </w:r>
    </w:p>
    <w:p w14:paraId="39B0213C" w14:textId="77777777" w:rsidR="00DB13CD" w:rsidRDefault="00DB13CD" w:rsidP="00DB13CD">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34F7BB89" w14:textId="77777777" w:rsidR="00DB13CD" w:rsidRDefault="00DB13CD" w:rsidP="00DB13CD">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1EE24E37" w14:textId="77777777" w:rsidR="00DB13CD" w:rsidRDefault="00DB13CD" w:rsidP="00DB13CD">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6BBC876A" w14:textId="12EED620" w:rsidR="00DB13CD" w:rsidRPr="00DB13CD" w:rsidRDefault="00DB13CD" w:rsidP="00DB13CD">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4298D0F5" w14:textId="653EE745" w:rsidR="00CB7575" w:rsidRDefault="00DB13CD" w:rsidP="00CB7575">
      <w:pPr>
        <w:pStyle w:val="Heading3"/>
      </w:pPr>
      <w:r>
        <w:lastRenderedPageBreak/>
        <w:t>3</w:t>
      </w:r>
    </w:p>
    <w:p w14:paraId="5903EAB7" w14:textId="77777777" w:rsidR="00CB7575" w:rsidRPr="00E32B16" w:rsidRDefault="00CB7575" w:rsidP="00CB7575">
      <w:pPr>
        <w:pStyle w:val="Heading4"/>
      </w:pPr>
      <w:r>
        <w:t xml:space="preserve">Presumption and permissibility </w:t>
      </w:r>
      <w:proofErr w:type="gramStart"/>
      <w:r>
        <w:t>negates</w:t>
      </w:r>
      <w:proofErr w:type="gramEnd"/>
      <w:r>
        <w:t xml:space="preserve"> – a) statements are more often false than true since I can prove something false in infinite ways o/w on probability b) real world policies require positive justification before being adopted c) the aff has to prove an obligation which means lack of that obligation negates.</w:t>
      </w:r>
    </w:p>
    <w:p w14:paraId="06504ADF" w14:textId="77777777" w:rsidR="00CB7575" w:rsidRDefault="00CB7575" w:rsidP="00CB7575">
      <w:pPr>
        <w:pStyle w:val="Heading4"/>
      </w:pPr>
      <w:r>
        <w:t xml:space="preserve">I negate: </w:t>
      </w:r>
      <w:r w:rsidRPr="00477325">
        <w:t>A just government ought to recognize an unconditional right of workers to strike.</w:t>
      </w:r>
    </w:p>
    <w:p w14:paraId="5154FF10" w14:textId="77777777" w:rsidR="00CB7575" w:rsidRDefault="00CB7575" w:rsidP="00CB7575">
      <w:pPr>
        <w:pStyle w:val="Heading4"/>
      </w:pPr>
      <w:r>
        <w:t>The resolution specifies that the right to strike must be unconditional—this means it cannot be contingent on any authority or have any exceptions.</w:t>
      </w:r>
    </w:p>
    <w:p w14:paraId="44C9EF8A" w14:textId="77777777" w:rsidR="00CB7575" w:rsidRPr="004B4A84" w:rsidRDefault="00CB7575" w:rsidP="00CB7575">
      <w:proofErr w:type="spellStart"/>
      <w:r w:rsidRPr="004B4A84">
        <w:rPr>
          <w:rStyle w:val="Heading4Char"/>
        </w:rPr>
        <w:t>Magnell</w:t>
      </w:r>
      <w:proofErr w:type="spellEnd"/>
      <w:r w:rsidRPr="004B4A84">
        <w:rPr>
          <w:rStyle w:val="Heading4Char"/>
        </w:rPr>
        <w:t xml:space="preserve"> 11</w:t>
      </w:r>
      <w:r>
        <w:t xml:space="preserve"> </w:t>
      </w:r>
      <w:r w:rsidRPr="00216491">
        <w:t xml:space="preserve">[Thomas </w:t>
      </w:r>
      <w:proofErr w:type="spellStart"/>
      <w:r w:rsidRPr="00216491">
        <w:t>Magnell</w:t>
      </w:r>
      <w:proofErr w:type="spellEnd"/>
      <w:r w:rsidRPr="00216491">
        <w:t xml:space="preserve">, </w:t>
      </w:r>
      <w:r>
        <w:t xml:space="preserve">Quals: </w:t>
      </w:r>
      <w:r w:rsidRPr="00216491">
        <w:t>Philosopher</w:t>
      </w:r>
      <w:r>
        <w:t>,</w:t>
      </w:r>
      <w:r w:rsidRPr="00216491">
        <w:t xml:space="preserve"> Department of Philosophy, Drew University, Madison, NJ, The Correlativity of Rights and Duties, J Value Inquiry (2011) 45:1–12]//BA PB</w:t>
      </w:r>
    </w:p>
    <w:p w14:paraId="11F75C19" w14:textId="77777777" w:rsidR="00CB7575" w:rsidRDefault="00CB7575" w:rsidP="00CB7575">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9128CA">
        <w:rPr>
          <w:rStyle w:val="StyleUnderline"/>
          <w:highlight w:val="green"/>
        </w:rPr>
        <w:t>An</w:t>
      </w:r>
      <w:r w:rsidRPr="00786A32">
        <w:rPr>
          <w:sz w:val="14"/>
        </w:rPr>
        <w:t xml:space="preserve"> </w:t>
      </w:r>
      <w:proofErr w:type="gramStart"/>
      <w:r w:rsidRPr="00786A32">
        <w:rPr>
          <w:sz w:val="14"/>
        </w:rPr>
        <w:t xml:space="preserve">absolutely </w:t>
      </w:r>
      <w:r w:rsidRPr="009128CA">
        <w:rPr>
          <w:rStyle w:val="StyleUnderline"/>
          <w:highlight w:val="green"/>
        </w:rPr>
        <w:t>unconditional</w:t>
      </w:r>
      <w:proofErr w:type="gramEnd"/>
      <w:r w:rsidRPr="009128CA">
        <w:rPr>
          <w:rStyle w:val="StyleUnderline"/>
          <w:highlight w:val="green"/>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9128CA">
        <w:rPr>
          <w:rStyle w:val="StyleUnderline"/>
          <w:highlight w:val="green"/>
        </w:rPr>
        <w:t>common to all</w:t>
      </w:r>
      <w:r w:rsidRPr="00786A32">
        <w:rPr>
          <w:rStyle w:val="StyleUnderline"/>
        </w:rPr>
        <w:t xml:space="preserve"> people, institutions, corporations, societies, and at least some nonhuman animals. </w:t>
      </w:r>
      <w:r w:rsidRPr="009128CA">
        <w:rPr>
          <w:rStyle w:val="StyleUnderline"/>
          <w:highlight w:val="green"/>
        </w:rPr>
        <w:t>They do not need to be acquired</w:t>
      </w:r>
      <w:r w:rsidRPr="00786A32">
        <w:rPr>
          <w:rStyle w:val="StyleUnderline"/>
        </w:rPr>
        <w:t xml:space="preserve">. Because they are held unconditionally, </w:t>
      </w:r>
      <w:r w:rsidRPr="009128CA">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9128CA">
        <w:rPr>
          <w:rStyle w:val="StyleUnderline"/>
          <w:highlight w:val="green"/>
        </w:rPr>
        <w:t>many</w:t>
      </w:r>
      <w:r w:rsidRPr="00786A32">
        <w:rPr>
          <w:rStyle w:val="StyleUnderline"/>
        </w:rPr>
        <w:t xml:space="preserve"> of the </w:t>
      </w:r>
      <w:r w:rsidRPr="009128CA">
        <w:rPr>
          <w:rStyle w:val="StyleUnderline"/>
          <w:highlight w:val="green"/>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9128CA">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9128CA">
        <w:rPr>
          <w:rStyle w:val="StyleUnderline"/>
          <w:highlight w:val="green"/>
        </w:rPr>
        <w:t>however politically popular</w:t>
      </w:r>
      <w:r w:rsidRPr="00786A32">
        <w:rPr>
          <w:rStyle w:val="StyleUnderline"/>
        </w:rPr>
        <w:t xml:space="preserve"> it may be to say that they are. If they are rights in any sense, they </w:t>
      </w:r>
      <w:r w:rsidRPr="009128CA">
        <w:rPr>
          <w:rStyle w:val="StyleUnderline"/>
          <w:highlight w:val="green"/>
        </w:rPr>
        <w:t>are</w:t>
      </w:r>
      <w:r w:rsidRPr="00786A32">
        <w:rPr>
          <w:rStyle w:val="StyleUnderline"/>
        </w:rPr>
        <w:t xml:space="preserve"> civil rights, </w:t>
      </w:r>
      <w:r w:rsidRPr="009128CA">
        <w:rPr>
          <w:rStyle w:val="StyleUnderline"/>
          <w:highlight w:val="green"/>
        </w:rPr>
        <w:t>acquired rights</w:t>
      </w:r>
      <w:r w:rsidRPr="00786A32">
        <w:rPr>
          <w:rStyle w:val="StyleUnderline"/>
        </w:rPr>
        <w:t xml:space="preserve"> that are </w:t>
      </w:r>
      <w:r w:rsidRPr="009128CA">
        <w:rPr>
          <w:rStyle w:val="StyleUnderline"/>
          <w:highlight w:val="green"/>
        </w:rPr>
        <w:t>conferred by</w:t>
      </w:r>
      <w:r w:rsidRPr="00786A32">
        <w:rPr>
          <w:rStyle w:val="StyleUnderline"/>
        </w:rPr>
        <w:t xml:space="preserve"> some </w:t>
      </w:r>
      <w:r w:rsidRPr="009128CA">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9128CA">
        <w:rPr>
          <w:rStyle w:val="StyleUnderline"/>
          <w:highlight w:val="green"/>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9128CA">
        <w:rPr>
          <w:rStyle w:val="StyleUnderline"/>
          <w:highlight w:val="green"/>
        </w:rPr>
        <w:t>are</w:t>
      </w:r>
      <w:r w:rsidRPr="00786A32">
        <w:rPr>
          <w:rStyle w:val="StyleUnderline"/>
        </w:rPr>
        <w:t xml:space="preserve"> acquired rights. Their acquisition is </w:t>
      </w:r>
      <w:r w:rsidRPr="009128CA">
        <w:rPr>
          <w:rStyle w:val="StyleUnderline"/>
          <w:highlight w:val="green"/>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 xml:space="preserve">Someone </w:t>
      </w:r>
      <w:r w:rsidRPr="00786A32">
        <w:rPr>
          <w:rStyle w:val="StyleUnderline"/>
        </w:rPr>
        <w:lastRenderedPageBreak/>
        <w:t>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5994F230" w14:textId="77777777" w:rsidR="00CB7575" w:rsidRDefault="00CB7575" w:rsidP="00CB7575">
      <w:pPr>
        <w:pStyle w:val="Heading4"/>
      </w:pPr>
      <w:r>
        <w:t xml:space="preserve">The right to strike is a conditional right, so viewing it as unconditional is impossible. Fiat doesn’t solve because its intrinsic to the nature of the principle and the aff is a binding policy, not just view X as Y. </w:t>
      </w:r>
    </w:p>
    <w:p w14:paraId="421C03BD" w14:textId="77777777" w:rsidR="00CB7575" w:rsidRDefault="00CB7575" w:rsidP="00CB7575">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non-uniques the aff B] State of nature would just mean people could take the action, not that they have a guaranteed right to do so.</w:t>
      </w:r>
    </w:p>
    <w:p w14:paraId="47C83D81" w14:textId="77777777" w:rsidR="00CB7575" w:rsidRDefault="00CB7575" w:rsidP="00CB7575">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0F36AF1A" w14:textId="74AACFC0" w:rsidR="00CB7575" w:rsidRDefault="00CB7575" w:rsidP="00CB7575">
      <w:pPr>
        <w:pStyle w:val="Heading4"/>
      </w:pPr>
      <w:r>
        <w:t>[3] Unconditional rights cannot conflict with each other, as otherwise neither would be absolute, but the right to strike conflicts with 1] The right to life of those deprived of stuff like medicine, which is fundamental to every human action.</w:t>
      </w:r>
    </w:p>
    <w:p w14:paraId="536030D1" w14:textId="2C11E04D" w:rsidR="00DB13CD" w:rsidRDefault="00DB13CD" w:rsidP="00DB13CD">
      <w:pPr>
        <w:pStyle w:val="Heading3"/>
      </w:pPr>
      <w:r>
        <w:lastRenderedPageBreak/>
        <w:t>4</w:t>
      </w:r>
    </w:p>
    <w:p w14:paraId="2C3DA43C" w14:textId="77777777" w:rsidR="00DB13CD" w:rsidRDefault="00DB13CD" w:rsidP="00DB13CD">
      <w:pPr>
        <w:pStyle w:val="Heading4"/>
      </w:pPr>
      <w:r>
        <w:t xml:space="preserve">Negate – </w:t>
      </w:r>
    </w:p>
    <w:p w14:paraId="53D25143" w14:textId="77777777" w:rsidR="00DB13CD" w:rsidRPr="002753C6" w:rsidRDefault="00DB13CD" w:rsidP="00DB13CD">
      <w:pPr>
        <w:pStyle w:val="Heading4"/>
        <w:rPr>
          <w:rFonts w:eastAsia="Times New Roman"/>
          <w:sz w:val="24"/>
        </w:rPr>
      </w:pPr>
      <w:r w:rsidRPr="002753C6">
        <w:t>1] 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9128CA">
        <w:rPr>
          <w:rFonts w:eastAsia="Times New Roman" w:cs="Calibri"/>
          <w:color w:val="202124"/>
          <w:highlight w:val="gree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9128CA">
        <w:rPr>
          <w:rFonts w:eastAsia="Times New Roman" w:cs="Calibri"/>
          <w:color w:val="202124"/>
          <w:highlight w:val="gree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w:t>
      </w:r>
      <w:proofErr w:type="spellStart"/>
      <w:r w:rsidRPr="002753C6">
        <w:t>rez</w:t>
      </w:r>
      <w:proofErr w:type="spellEnd"/>
      <w:r w:rsidRPr="002753C6">
        <w:t xml:space="preserve"> has already passed.</w:t>
      </w:r>
    </w:p>
    <w:p w14:paraId="46844B69" w14:textId="77777777" w:rsidR="00DB13CD" w:rsidRPr="002753C6" w:rsidRDefault="00DB13CD" w:rsidP="00DB13CD">
      <w:pPr>
        <w:pStyle w:val="Heading4"/>
      </w:pPr>
      <w:r w:rsidRPr="002753C6">
        <w:t>2] of</w:t>
      </w:r>
      <w:r w:rsidRPr="002753C6">
        <w:rPr>
          <w:vertAlign w:val="superscript"/>
        </w:rPr>
        <w:footnoteReference w:id="4"/>
      </w:r>
      <w:r w:rsidRPr="002753C6">
        <w:t xml:space="preserve"> is to </w:t>
      </w:r>
      <w:r w:rsidRPr="002753C6">
        <w:rPr>
          <w:u w:val="single"/>
        </w:rPr>
        <w:t>“</w:t>
      </w:r>
      <w:r w:rsidRPr="009128CA">
        <w:rPr>
          <w:highlight w:val="green"/>
          <w:u w:val="single"/>
        </w:rPr>
        <w:t>express</w:t>
      </w:r>
      <w:r w:rsidRPr="002753C6">
        <w:rPr>
          <w:u w:val="single"/>
        </w:rPr>
        <w:t xml:space="preserve">ing </w:t>
      </w:r>
      <w:r w:rsidRPr="009128CA">
        <w:rPr>
          <w:highlight w:val="green"/>
          <w:u w:val="single"/>
        </w:rPr>
        <w:t>an age</w:t>
      </w:r>
      <w:r w:rsidRPr="002753C6">
        <w:rPr>
          <w:u w:val="single"/>
        </w:rPr>
        <w:t>”</w:t>
      </w:r>
      <w:r w:rsidRPr="002753C6">
        <w:t xml:space="preserve"> but the </w:t>
      </w:r>
      <w:proofErr w:type="spellStart"/>
      <w:r w:rsidRPr="002753C6">
        <w:t>rez</w:t>
      </w:r>
      <w:proofErr w:type="spellEnd"/>
      <w:r w:rsidRPr="002753C6">
        <w:t xml:space="preserve"> doesn’t delineate a length of time.</w:t>
      </w:r>
    </w:p>
    <w:p w14:paraId="5C4DCD57" w14:textId="77777777" w:rsidR="00DB13CD" w:rsidRPr="002753C6" w:rsidRDefault="00DB13CD" w:rsidP="00DB13CD">
      <w:pPr>
        <w:pStyle w:val="Heading4"/>
      </w:pPr>
      <w:r w:rsidRPr="002753C6">
        <w:t xml:space="preserve">3] </w:t>
      </w:r>
      <w:r>
        <w:t>recognize</w:t>
      </w:r>
      <w:r>
        <w:rPr>
          <w:rStyle w:val="FootnoteReference"/>
        </w:rPr>
        <w:footnoteReference w:id="5"/>
      </w:r>
      <w:r>
        <w:t xml:space="preserve"> is to </w:t>
      </w:r>
      <w:r w:rsidRPr="002753C6">
        <w:t>“</w:t>
      </w:r>
      <w:r w:rsidRPr="009833C6">
        <w:rPr>
          <w:b w:val="0"/>
          <w:bCs w:val="0"/>
          <w:u w:val="single"/>
        </w:rPr>
        <w:t xml:space="preserve">Officially </w:t>
      </w:r>
      <w:r w:rsidRPr="009128CA">
        <w:rPr>
          <w:highlight w:val="green"/>
          <w:u w:val="single"/>
        </w:rPr>
        <w:t>regard (a qualification) as valid</w:t>
      </w:r>
      <w:r w:rsidRPr="002753C6">
        <w:rPr>
          <w:u w:val="single"/>
        </w:rPr>
        <w:t xml:space="preserve"> </w:t>
      </w:r>
      <w:r w:rsidRPr="009833C6">
        <w:rPr>
          <w:b w:val="0"/>
          <w:bCs w:val="0"/>
          <w:u w:val="single"/>
        </w:rPr>
        <w:t xml:space="preserve">or </w:t>
      </w:r>
      <w:proofErr w:type="gramStart"/>
      <w:r w:rsidRPr="009833C6">
        <w:rPr>
          <w:b w:val="0"/>
          <w:bCs w:val="0"/>
          <w:u w:val="single"/>
        </w:rPr>
        <w:t>proper</w:t>
      </w:r>
      <w:r>
        <w:rPr>
          <w:u w:val="single"/>
        </w:rPr>
        <w:t>”</w:t>
      </w:r>
      <w:r w:rsidRPr="002753C6">
        <w:t xml:space="preserve">  but</w:t>
      </w:r>
      <w:proofErr w:type="gramEnd"/>
      <w:r w:rsidRPr="002753C6">
        <w:t xml:space="preserve"> a right isn’t a qualification</w:t>
      </w:r>
      <w:r>
        <w:t>.</w:t>
      </w:r>
    </w:p>
    <w:p w14:paraId="2FCB6669" w14:textId="77777777" w:rsidR="00DB13CD" w:rsidRDefault="00DB13CD" w:rsidP="00DB13CD">
      <w:pPr>
        <w:pStyle w:val="Heading4"/>
      </w:pPr>
      <w:r w:rsidRPr="002753C6">
        <w:t>4] to</w:t>
      </w:r>
      <w:r w:rsidRPr="002753C6">
        <w:rPr>
          <w:vertAlign w:val="superscript"/>
        </w:rPr>
        <w:footnoteReference w:id="6"/>
      </w:r>
      <w:r w:rsidRPr="002753C6">
        <w:t xml:space="preserve"> is to </w:t>
      </w:r>
      <w:r w:rsidRPr="002753C6">
        <w:rPr>
          <w:u w:val="single"/>
        </w:rPr>
        <w:t>“</w:t>
      </w:r>
      <w:r w:rsidRPr="009128CA">
        <w:rPr>
          <w:highlight w:val="green"/>
          <w:u w:val="single"/>
        </w:rPr>
        <w:t>express</w:t>
      </w:r>
      <w:r w:rsidRPr="002753C6">
        <w:rPr>
          <w:u w:val="single"/>
        </w:rPr>
        <w:t xml:space="preserve">ing </w:t>
      </w:r>
      <w:r w:rsidRPr="009833C6">
        <w:rPr>
          <w:b w:val="0"/>
          <w:bCs w:val="0"/>
          <w:u w:val="single"/>
        </w:rPr>
        <w:t xml:space="preserve">motion in the </w:t>
      </w:r>
      <w:r w:rsidRPr="009128CA">
        <w:rPr>
          <w:highlight w:val="green"/>
          <w:u w:val="single"/>
        </w:rPr>
        <w:t>direction of (a</w:t>
      </w:r>
      <w:r w:rsidRPr="002753C6">
        <w:rPr>
          <w:u w:val="single"/>
        </w:rPr>
        <w:t xml:space="preserve"> </w:t>
      </w:r>
      <w:r w:rsidRPr="009833C6">
        <w:rPr>
          <w:b w:val="0"/>
          <w:bCs w:val="0"/>
          <w:u w:val="single"/>
        </w:rPr>
        <w:t>particular</w:t>
      </w:r>
      <w:r w:rsidRPr="002753C6">
        <w:rPr>
          <w:u w:val="single"/>
        </w:rPr>
        <w:t xml:space="preserve"> </w:t>
      </w:r>
      <w:r w:rsidRPr="009128CA">
        <w:rPr>
          <w:highlight w:val="green"/>
          <w:u w:val="single"/>
        </w:rPr>
        <w:t>location</w:t>
      </w:r>
      <w:r w:rsidRPr="002753C6">
        <w:rPr>
          <w:u w:val="single"/>
        </w:rPr>
        <w:t>)”</w:t>
      </w:r>
      <w:r w:rsidRPr="002753C6">
        <w:t xml:space="preserve"> but the </w:t>
      </w:r>
      <w:proofErr w:type="spellStart"/>
      <w:r w:rsidRPr="002753C6">
        <w:t>rez</w:t>
      </w:r>
      <w:proofErr w:type="spellEnd"/>
      <w:r w:rsidRPr="002753C6">
        <w:t xml:space="preserve"> doesn’t have a location.</w:t>
      </w:r>
    </w:p>
    <w:p w14:paraId="2924A1E3" w14:textId="77777777" w:rsidR="00DB13CD" w:rsidRPr="002753C6" w:rsidRDefault="00DB13CD" w:rsidP="00DB13CD">
      <w:pPr>
        <w:pStyle w:val="Heading4"/>
      </w:pPr>
      <w:r>
        <w:t>5] right</w:t>
      </w:r>
      <w:r>
        <w:rPr>
          <w:rStyle w:val="FootnoteReference"/>
        </w:rPr>
        <w:footnoteReference w:id="7"/>
      </w:r>
      <w:r>
        <w:t xml:space="preserve"> is to </w:t>
      </w:r>
      <w:r w:rsidRPr="001B7E3D">
        <w:rPr>
          <w:u w:val="single"/>
        </w:rPr>
        <w:t>“</w:t>
      </w:r>
      <w:r w:rsidRPr="009128CA">
        <w:rPr>
          <w:highlight w:val="green"/>
          <w:u w:val="single"/>
        </w:rPr>
        <w:t>conform</w:t>
      </w:r>
      <w:r w:rsidRPr="001B7E3D">
        <w:rPr>
          <w:u w:val="single"/>
        </w:rPr>
        <w:t xml:space="preserve">ing </w:t>
      </w:r>
      <w:r w:rsidRPr="009128CA">
        <w:rPr>
          <w:highlight w:val="green"/>
          <w:u w:val="single"/>
        </w:rPr>
        <w:t>to</w:t>
      </w:r>
      <w:r w:rsidRPr="001B7E3D">
        <w:rPr>
          <w:u w:val="single"/>
        </w:rPr>
        <w:t xml:space="preserve"> </w:t>
      </w:r>
      <w:r w:rsidRPr="009833C6">
        <w:rPr>
          <w:b w:val="0"/>
          <w:bCs w:val="0"/>
          <w:u w:val="single"/>
        </w:rPr>
        <w:t>facts or</w:t>
      </w:r>
      <w:r w:rsidRPr="001B7E3D">
        <w:rPr>
          <w:u w:val="single"/>
        </w:rPr>
        <w:t xml:space="preserve"> </w:t>
      </w:r>
      <w:r w:rsidRPr="009128CA">
        <w:rPr>
          <w:highlight w:val="green"/>
          <w:u w:val="single"/>
        </w:rPr>
        <w:t>truth</w:t>
      </w:r>
      <w:r w:rsidRPr="001B7E3D">
        <w:rPr>
          <w:u w:val="single"/>
        </w:rPr>
        <w:t>”</w:t>
      </w:r>
      <w:r w:rsidRPr="001B7E3D">
        <w:t xml:space="preserve"> </w:t>
      </w:r>
      <w:proofErr w:type="spellStart"/>
      <w:r w:rsidRPr="001B7E3D">
        <w:t>rez</w:t>
      </w:r>
      <w:proofErr w:type="spellEnd"/>
      <w:r w:rsidRPr="001B7E3D">
        <w:t xml:space="preserve"> doesn’t specify what workers are right about.</w:t>
      </w:r>
    </w:p>
    <w:p w14:paraId="7D634FD6" w14:textId="77777777" w:rsidR="00DB13CD" w:rsidRDefault="00DB13CD" w:rsidP="00DB13CD">
      <w:pPr>
        <w:spacing w:after="0" w:line="240" w:lineRule="auto"/>
      </w:pPr>
      <w:r>
        <w:rPr>
          <w:rFonts w:eastAsiaTheme="majorEastAsia" w:cstheme="majorBidi"/>
          <w:b/>
          <w:bCs/>
          <w:sz w:val="26"/>
          <w:szCs w:val="26"/>
        </w:rPr>
        <w:t xml:space="preserve">6] </w:t>
      </w:r>
      <w:r w:rsidRPr="00B56B19">
        <w:rPr>
          <w:rFonts w:eastAsiaTheme="majorEastAsia" w:cstheme="majorBidi"/>
          <w:b/>
          <w:bCs/>
          <w:sz w:val="26"/>
          <w:szCs w:val="26"/>
        </w:rPr>
        <w:t>Strike</w:t>
      </w:r>
      <w:r>
        <w:rPr>
          <w:rStyle w:val="FootnoteReference"/>
          <w:rFonts w:eastAsiaTheme="majorEastAsia" w:cstheme="majorBidi"/>
          <w:b/>
          <w:bCs/>
          <w:sz w:val="26"/>
          <w:szCs w:val="26"/>
        </w:rPr>
        <w:footnoteReference w:id="8"/>
      </w:r>
      <w:r w:rsidRPr="00B56B19">
        <w:rPr>
          <w:rFonts w:eastAsiaTheme="majorEastAsia" w:cstheme="majorBidi"/>
          <w:b/>
          <w:bCs/>
          <w:sz w:val="26"/>
          <w:szCs w:val="26"/>
        </w:rPr>
        <w:t xml:space="preserve"> </w:t>
      </w:r>
      <w:r>
        <w:rPr>
          <w:rFonts w:eastAsiaTheme="majorEastAsia" w:cstheme="majorBidi"/>
          <w:b/>
          <w:bCs/>
          <w:sz w:val="26"/>
          <w:szCs w:val="26"/>
        </w:rPr>
        <w:t xml:space="preserve">is defined </w:t>
      </w:r>
      <w:r w:rsidRPr="009F7BBB">
        <w:rPr>
          <w:rFonts w:eastAsiaTheme="majorEastAsia" w:cstheme="majorBidi"/>
          <w:b/>
          <w:bCs/>
          <w:sz w:val="26"/>
          <w:szCs w:val="26"/>
        </w:rPr>
        <w:t>as</w:t>
      </w:r>
      <w:r w:rsidRPr="009F7BBB">
        <w:t xml:space="preserve"> </w:t>
      </w:r>
      <w:r w:rsidRPr="009128CA">
        <w:rPr>
          <w:rStyle w:val="Heading4Char"/>
          <w:highlight w:val="green"/>
          <w:u w:val="single"/>
        </w:rPr>
        <w:t>to delete something</w:t>
      </w:r>
      <w:r w:rsidRPr="009F7BBB">
        <w:rPr>
          <w:rStyle w:val="Heading4Char"/>
        </w:rPr>
        <w:t xml:space="preserve"> </w:t>
      </w:r>
      <w:proofErr w:type="spellStart"/>
      <w:r>
        <w:rPr>
          <w:rStyle w:val="Heading4Char"/>
        </w:rPr>
        <w:t>rez</w:t>
      </w:r>
      <w:proofErr w:type="spellEnd"/>
      <w:r>
        <w:rPr>
          <w:rStyle w:val="Heading4Char"/>
        </w:rPr>
        <w:t xml:space="preserve"> doesn’t spec what to delete.</w:t>
      </w:r>
    </w:p>
    <w:p w14:paraId="57F0FE7F" w14:textId="7C94E28E" w:rsidR="00DB13CD" w:rsidRPr="00DB13CD" w:rsidRDefault="00DB13CD" w:rsidP="00DB13CD">
      <w:pPr>
        <w:pStyle w:val="Heading4"/>
      </w:pPr>
      <w:r>
        <w:t>7] Workers</w:t>
      </w:r>
      <w:r>
        <w:rPr>
          <w:rStyle w:val="FootnoteReference"/>
        </w:rPr>
        <w:footnoteReference w:id="9"/>
      </w:r>
      <w:r>
        <w:t xml:space="preserve"> is defined as a “</w:t>
      </w:r>
      <w:r w:rsidRPr="009833C6">
        <w:rPr>
          <w:b w:val="0"/>
          <w:bCs w:val="0"/>
          <w:u w:val="single"/>
        </w:rPr>
        <w:t>any of the sexually underdeveloped and usually</w:t>
      </w:r>
      <w:r w:rsidRPr="00B56B19">
        <w:t xml:space="preserve"> </w:t>
      </w:r>
      <w:r w:rsidRPr="009128CA">
        <w:rPr>
          <w:highlight w:val="green"/>
          <w:u w:val="single"/>
        </w:rPr>
        <w:t>sterile members of a colony of social ants</w:t>
      </w:r>
      <w:r w:rsidRPr="009833C6">
        <w:rPr>
          <w:b w:val="0"/>
          <w:bCs w:val="0"/>
          <w:u w:val="single"/>
        </w:rPr>
        <w:t>, bees, wasps, or termites that perform most of the labor and protective duties of the colony</w:t>
      </w:r>
      <w:r>
        <w:t xml:space="preserve">” you can’t give a right to </w:t>
      </w:r>
      <w:proofErr w:type="gramStart"/>
      <w:r>
        <w:t>insects</w:t>
      </w:r>
      <w:proofErr w:type="gramEnd"/>
      <w:r>
        <w:t xml:space="preserve"> nor can we know if they are correct.</w:t>
      </w:r>
    </w:p>
    <w:p w14:paraId="4DD3146E" w14:textId="36DD0B46" w:rsidR="00CB7575" w:rsidRDefault="00CB7575" w:rsidP="00CB7575">
      <w:pPr>
        <w:pStyle w:val="Heading3"/>
      </w:pPr>
      <w:r>
        <w:lastRenderedPageBreak/>
        <w:t>5</w:t>
      </w:r>
    </w:p>
    <w:p w14:paraId="59065166" w14:textId="7C4914A1" w:rsidR="00CB7575" w:rsidRPr="00CB7575" w:rsidRDefault="00CB7575" w:rsidP="00CB7575">
      <w:pPr>
        <w:pStyle w:val="Heading4"/>
      </w:pPr>
      <w:r w:rsidRPr="00EE145D">
        <w:t xml:space="preserve">Reject 1AR Theory </w:t>
      </w:r>
      <w:r>
        <w:t xml:space="preserve">arguments </w:t>
      </w:r>
      <w:r w:rsidRPr="00EE145D">
        <w:t xml:space="preserve">– a)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xml:space="preserve">. </w:t>
      </w:r>
      <w:r w:rsidRPr="00EE145D">
        <w:t xml:space="preserve">b) they have 2 speeches on theory while I have 1 which means they can structurally preempt my answers and respond to them and I can’t do either c) infinite abuse in the context of aff abuse doesn’t make sense since you can read 1ac theory and uplayer with other 1ar offs like Ks d) they have 1 more minute on the theory debate due to a 7-6 skew which o/w since theory is mainly about substance g) </w:t>
      </w:r>
      <w:r>
        <w:t xml:space="preserve">If they get 1ar theory, we get 2nr theory to check back against infinite 1ar abuse and k2 reciprocity both get two speeches to read theory h) </w:t>
      </w:r>
      <w:r w:rsidRPr="00EE145D">
        <w:t>they can blow up dropped arguments in the next speech and I don’t have the chance to frame them out but they can which means only dropped arguments for them are game over.</w:t>
      </w:r>
    </w:p>
    <w:p w14:paraId="23EFD783" w14:textId="3FE8431B" w:rsidR="00CB7575" w:rsidRDefault="00CB7575" w:rsidP="00CB7575">
      <w:pPr>
        <w:pStyle w:val="Heading3"/>
      </w:pPr>
      <w:r>
        <w:lastRenderedPageBreak/>
        <w:t>Framing</w:t>
      </w:r>
    </w:p>
    <w:p w14:paraId="6DD02010" w14:textId="3DF0F216" w:rsidR="00CB7575" w:rsidRDefault="00CB7575" w:rsidP="00CB7575">
      <w:pPr>
        <w:pStyle w:val="Heading4"/>
      </w:pPr>
      <w:r>
        <w:t xml:space="preserve">Util </w:t>
      </w:r>
      <w:r w:rsidR="00DB50C3">
        <w:t xml:space="preserve">is true and </w:t>
      </w:r>
      <w:r>
        <w:t>justifies death good:</w:t>
      </w:r>
    </w:p>
    <w:p w14:paraId="646AED5D" w14:textId="77777777" w:rsidR="00CB7575" w:rsidRPr="00DF4DDF" w:rsidRDefault="00CB7575" w:rsidP="00CB7575">
      <w:pPr>
        <w:pStyle w:val="Heading4"/>
      </w:pPr>
      <w:r>
        <w:t xml:space="preserve">1] Death is a net better state of existence since </w:t>
      </w:r>
      <w:proofErr w:type="spellStart"/>
      <w:r>
        <w:t>existers</w:t>
      </w:r>
      <w:proofErr w:type="spellEnd"/>
      <w:r>
        <w:t xml:space="preserve"> suffer pain and pleasure, but the non-existent don’t feel either. Thus, it follows that non-existence is a net better state since the absence of pain is morally good even if it isn’t </w:t>
      </w:r>
      <w:proofErr w:type="gramStart"/>
      <w:r>
        <w:t>experience</w:t>
      </w:r>
      <w:proofErr w:type="gramEnd"/>
      <w:r>
        <w:t xml:space="preserve"> by anyone while the absence of pleasure is neither good or bad. Even if live can be pleasurable, you still negate since </w:t>
      </w:r>
      <w:proofErr w:type="spellStart"/>
      <w:proofErr w:type="gramStart"/>
      <w:r>
        <w:t>non existence</w:t>
      </w:r>
      <w:proofErr w:type="spellEnd"/>
      <w:proofErr w:type="gramEnd"/>
      <w:r>
        <w:t xml:space="preserve"> is always good while pleasure in life is variable. </w:t>
      </w:r>
    </w:p>
    <w:p w14:paraId="7520E3D2" w14:textId="77777777" w:rsidR="00CB7575" w:rsidRDefault="00CB7575" w:rsidP="00CB7575">
      <w:pPr>
        <w:pStyle w:val="Heading4"/>
        <w:rPr>
          <w:rFonts w:eastAsia="Yu Gothic"/>
        </w:rPr>
      </w:pPr>
      <w:r>
        <w:rPr>
          <w:rFonts w:eastAsia="Yu Gothic"/>
        </w:rPr>
        <w:t>2] An obligation to maximize happiness causes infinite pain since no matter how much happiness one has, there is always a moral obligation to acquire more which A] Prevents that pleasure from being utilized and B] is cruelly optimistic because you are chasing an insatiable desire. Only death offers a final escape.</w:t>
      </w:r>
    </w:p>
    <w:p w14:paraId="09D0E3BB" w14:textId="77777777" w:rsidR="00CB7575" w:rsidRDefault="00CB7575" w:rsidP="00CB7575">
      <w:pPr>
        <w:pStyle w:val="Heading4"/>
      </w:pPr>
      <w:r>
        <w:t>3] Reject aff answers, they are contaminated by psychological bias.</w:t>
      </w:r>
    </w:p>
    <w:p w14:paraId="2DBD3AE7" w14:textId="77777777" w:rsidR="00CB7575" w:rsidRPr="00F65C72" w:rsidRDefault="00CB7575" w:rsidP="00CB7575">
      <w:pPr>
        <w:rPr>
          <w:sz w:val="14"/>
        </w:rPr>
      </w:pPr>
      <w:r w:rsidRPr="00F65C72">
        <w:rPr>
          <w:sz w:val="14"/>
        </w:rPr>
        <w:t xml:space="preserve">David </w:t>
      </w:r>
      <w:r w:rsidRPr="00F65C72">
        <w:rPr>
          <w:rStyle w:val="Style13ptBold"/>
        </w:rPr>
        <w:t>Benatar</w:t>
      </w:r>
      <w:r w:rsidRPr="00F65C72">
        <w:rPr>
          <w:sz w:val="14"/>
        </w:rPr>
        <w:t xml:space="preserve">, Professor of Phil at University of Cape Town, Better Never to Have Been: The Harm of Coming into Existence, pub Oxford University Press, USA, Year: </w:t>
      </w:r>
      <w:r w:rsidRPr="00F65C72">
        <w:rPr>
          <w:rStyle w:val="Style13ptBold"/>
        </w:rPr>
        <w:t>2006</w:t>
      </w:r>
      <w:r w:rsidRPr="00F65C72">
        <w:rPr>
          <w:sz w:val="14"/>
        </w:rPr>
        <w:t>, ISBN: 0199296421 ///AHS PB</w:t>
      </w:r>
    </w:p>
    <w:p w14:paraId="4F896BB6" w14:textId="77777777" w:rsidR="00CB7575" w:rsidRDefault="00CB7575" w:rsidP="00CB7575">
      <w:pPr>
        <w:rPr>
          <w:rStyle w:val="Style13ptBold"/>
        </w:rPr>
      </w:pPr>
      <w:r w:rsidRPr="00DF08F0">
        <w:rPr>
          <w:sz w:val="14"/>
        </w:rPr>
        <w:t xml:space="preserve">Most people deny that their lives, all things considered, are bad (and they certainly deny that their lives are so bad as to make never existing preferable). Indeed, </w:t>
      </w:r>
      <w:r w:rsidRPr="00DF08F0">
        <w:rPr>
          <w:rStyle w:val="Style13ptBold"/>
        </w:rPr>
        <w:t xml:space="preserve">most people think that their lives go quite well. Such widespread blithe self-assessments of well-being, it is often thought, constitute a refutation of the view that life is bad. </w:t>
      </w:r>
      <w:r w:rsidRPr="00DF08F0">
        <w:rPr>
          <w:sz w:val="14"/>
        </w:rPr>
        <w:t xml:space="preserve">How, it is asked, can life be bad if most of those who live it deny that it is? How can it be a harm to come into existence if most of those who have come into existence are pleased that they did? In fact, however, </w:t>
      </w:r>
      <w:r w:rsidRPr="00DF08F0">
        <w:rPr>
          <w:rStyle w:val="Style13ptBold"/>
        </w:rPr>
        <w:t>there is very good reason to doubt that these self-assessments are a reliable indicator of a life’s quality</w:t>
      </w:r>
      <w:r w:rsidRPr="00DF08F0">
        <w:rPr>
          <w:sz w:val="14"/>
        </w:rPr>
        <w:t xml:space="preserve">. There are </w:t>
      </w:r>
      <w:proofErr w:type="gramStart"/>
      <w:r w:rsidRPr="00DF08F0">
        <w:rPr>
          <w:sz w:val="14"/>
        </w:rPr>
        <w:t>a number of</w:t>
      </w:r>
      <w:proofErr w:type="gramEnd"/>
      <w:r w:rsidRPr="00DF08F0">
        <w:rPr>
          <w:sz w:val="14"/>
        </w:rPr>
        <w:t xml:space="preserve"> well-known features of human psychology that can account for the </w:t>
      </w:r>
      <w:proofErr w:type="spellStart"/>
      <w:r w:rsidRPr="00DF08F0">
        <w:rPr>
          <w:sz w:val="14"/>
        </w:rPr>
        <w:t>favourable</w:t>
      </w:r>
      <w:proofErr w:type="spellEnd"/>
      <w:r w:rsidRPr="00DF08F0">
        <w:rPr>
          <w:sz w:val="14"/>
        </w:rPr>
        <w:t xml:space="preserve"> assessment people usually make of their own life’s quality</w:t>
      </w:r>
      <w:r w:rsidRPr="00DF08F0">
        <w:rPr>
          <w:rStyle w:val="Style13ptBold"/>
        </w:rPr>
        <w:t xml:space="preserve">. </w:t>
      </w:r>
      <w:r w:rsidRPr="009128CA">
        <w:rPr>
          <w:rStyle w:val="Emphasis"/>
          <w:highlight w:val="green"/>
        </w:rPr>
        <w:t>It is</w:t>
      </w:r>
      <w:r w:rsidRPr="00BB4026">
        <w:rPr>
          <w:rStyle w:val="Emphasis"/>
        </w:rPr>
        <w:t xml:space="preserve"> these </w:t>
      </w:r>
      <w:r w:rsidRPr="009128CA">
        <w:rPr>
          <w:rStyle w:val="Emphasis"/>
          <w:highlight w:val="green"/>
        </w:rPr>
        <w:t>psychological phenomena rather than</w:t>
      </w:r>
      <w:r w:rsidRPr="00BB4026">
        <w:rPr>
          <w:rStyle w:val="Emphasis"/>
        </w:rPr>
        <w:t xml:space="preserve"> </w:t>
      </w:r>
      <w:r w:rsidRPr="009128CA">
        <w:rPr>
          <w:rStyle w:val="Emphasis"/>
          <w:highlight w:val="green"/>
        </w:rPr>
        <w:t>the actual quality of a life that explain</w:t>
      </w:r>
      <w:r w:rsidRPr="00BB4026">
        <w:rPr>
          <w:rStyle w:val="Emphasis"/>
        </w:rPr>
        <w:t xml:space="preserve"> (the extent of) the </w:t>
      </w:r>
      <w:r w:rsidRPr="009128CA">
        <w:rPr>
          <w:rStyle w:val="Emphasis"/>
          <w:highlight w:val="green"/>
        </w:rPr>
        <w:t>positive assessment</w:t>
      </w:r>
      <w:r w:rsidRPr="00DF08F0">
        <w:rPr>
          <w:sz w:val="14"/>
        </w:rPr>
        <w:t xml:space="preserve">. The first, most general and most influential of these psychological phenomena is what some have called the Pollyanna </w:t>
      </w:r>
      <w:proofErr w:type="gramStart"/>
      <w:r w:rsidRPr="00DF08F0">
        <w:rPr>
          <w:sz w:val="14"/>
        </w:rPr>
        <w:t>Principle,⁷</w:t>
      </w:r>
      <w:proofErr w:type="gramEnd"/>
      <w:r w:rsidRPr="00DF08F0">
        <w:rPr>
          <w:sz w:val="14"/>
        </w:rPr>
        <w:t xml:space="preserve"> a tendency towards optimism.⁸ This manifests in many ways. First, </w:t>
      </w:r>
      <w:r w:rsidRPr="009128CA">
        <w:rPr>
          <w:rStyle w:val="Emphasis"/>
          <w:highlight w:val="green"/>
        </w:rPr>
        <w:t>there is an inclination to recall positive rather than negative experiences</w:t>
      </w:r>
      <w:r w:rsidRPr="00BB4026">
        <w:rPr>
          <w:rStyle w:val="Emphasis"/>
        </w:rPr>
        <w:t>.</w:t>
      </w:r>
      <w:r w:rsidRPr="00DF08F0">
        <w:rPr>
          <w:sz w:val="14"/>
        </w:rPr>
        <w:t xml:space="preserve"> For example, when asked to recall events from throughout their lives, </w:t>
      </w:r>
      <w:r w:rsidRPr="00DF08F0">
        <w:rPr>
          <w:rStyle w:val="Style13ptBold"/>
        </w:rPr>
        <w:t xml:space="preserve">subjects in a number of studies listed a much greater number of positive than negative </w:t>
      </w:r>
      <w:proofErr w:type="gramStart"/>
      <w:r w:rsidRPr="00DF08F0">
        <w:rPr>
          <w:rStyle w:val="Style13ptBold"/>
        </w:rPr>
        <w:t>experiences.⁹</w:t>
      </w:r>
      <w:proofErr w:type="gramEnd"/>
      <w:r w:rsidRPr="00DF08F0">
        <w:rPr>
          <w:rStyle w:val="Style13ptBold"/>
        </w:rPr>
        <w:t xml:space="preserve"> </w:t>
      </w:r>
      <w:r w:rsidRPr="009128CA">
        <w:rPr>
          <w:rStyle w:val="Emphasis"/>
          <w:highlight w:val="green"/>
        </w:rPr>
        <w:t>This</w:t>
      </w:r>
      <w:r w:rsidRPr="00BB4026">
        <w:rPr>
          <w:rStyle w:val="Emphasis"/>
        </w:rPr>
        <w:t xml:space="preserve"> selective recall </w:t>
      </w:r>
      <w:r w:rsidRPr="009128CA">
        <w:rPr>
          <w:rStyle w:val="Emphasis"/>
          <w:highlight w:val="green"/>
        </w:rPr>
        <w:t xml:space="preserve">distorts </w:t>
      </w:r>
      <w:r w:rsidRPr="00BB4026">
        <w:rPr>
          <w:rStyle w:val="Emphasis"/>
        </w:rPr>
        <w:t xml:space="preserve">our judgement of how well our lives have gone so far. It is not only assessments of our past that are biased, but </w:t>
      </w:r>
      <w:r w:rsidRPr="009128CA">
        <w:rPr>
          <w:rStyle w:val="Emphasis"/>
          <w:highlight w:val="green"/>
        </w:rPr>
        <w:t>also our projections</w:t>
      </w:r>
      <w:r w:rsidRPr="00BB4026">
        <w:rPr>
          <w:rStyle w:val="Emphasis"/>
        </w:rPr>
        <w:t xml:space="preserve"> or expectations </w:t>
      </w:r>
      <w:r w:rsidRPr="009128CA">
        <w:rPr>
          <w:rStyle w:val="Emphasis"/>
          <w:highlight w:val="green"/>
        </w:rPr>
        <w:t xml:space="preserve">about the future. We tend to have an exaggerated view of how good things will </w:t>
      </w:r>
      <w:proofErr w:type="gramStart"/>
      <w:r w:rsidRPr="009128CA">
        <w:rPr>
          <w:rStyle w:val="Emphasis"/>
          <w:highlight w:val="green"/>
        </w:rPr>
        <w:t>be</w:t>
      </w:r>
      <w:r w:rsidRPr="00DF08F0">
        <w:rPr>
          <w:rStyle w:val="Style13ptBold"/>
        </w:rPr>
        <w:t>.¹</w:t>
      </w:r>
      <w:proofErr w:type="gramEnd"/>
      <w:r w:rsidRPr="00DF08F0">
        <w:rPr>
          <w:rStyle w:val="Style13ptBold"/>
        </w:rPr>
        <w:t>⁰</w:t>
      </w:r>
      <w:r w:rsidRPr="00DF08F0">
        <w:rPr>
          <w:sz w:val="14"/>
        </w:rPr>
        <w:t xml:space="preserve"> The Pollyannaism typical of recall and projection is also characteristic of subjective judgements about current and overall well-being. Many studies have consistently shown that self-assessments of well-being are markedly skewed toward the positive end of the </w:t>
      </w:r>
      <w:proofErr w:type="gramStart"/>
      <w:r w:rsidRPr="00DF08F0">
        <w:rPr>
          <w:sz w:val="14"/>
        </w:rPr>
        <w:t>spectrum.¹</w:t>
      </w:r>
      <w:proofErr w:type="gramEnd"/>
      <w:r w:rsidRPr="00DF08F0">
        <w:rPr>
          <w:sz w:val="14"/>
        </w:rPr>
        <w:t xml:space="preserve">¹ For instance, </w:t>
      </w:r>
      <w:r w:rsidRPr="00DF08F0">
        <w:rPr>
          <w:rStyle w:val="Style13ptBold"/>
        </w:rPr>
        <w:t>very few people describe themselves as ‘not too happy’. Instead, the overwhelming majority claims to be either ‘pretty happy’ or ‘very happy</w:t>
      </w:r>
      <w:proofErr w:type="gramStart"/>
      <w:r w:rsidRPr="00DF08F0">
        <w:rPr>
          <w:rStyle w:val="Style13ptBold"/>
        </w:rPr>
        <w:t>’.¹</w:t>
      </w:r>
      <w:proofErr w:type="gramEnd"/>
      <w:r w:rsidRPr="00DF08F0">
        <w:rPr>
          <w:rStyle w:val="Style13ptBold"/>
        </w:rPr>
        <w:t xml:space="preserve">² </w:t>
      </w:r>
      <w:r w:rsidRPr="00DF08F0">
        <w:rPr>
          <w:rStyle w:val="Style13ptBold"/>
        </w:rPr>
        <w:lastRenderedPageBreak/>
        <w:t>Indeed, most people believe that they are better off than most others or than the average person</w:t>
      </w:r>
      <w:r w:rsidRPr="00F86D11">
        <w:rPr>
          <w:rStyle w:val="Style13ptBold"/>
        </w:rPr>
        <w:t>.¹³ Most of the factors that plausibly improve the quality of a person’s life do not commensurately influence self-assessments of that quality (where they influence them at all).</w:t>
      </w:r>
      <w:r w:rsidRPr="00F86D11">
        <w:rPr>
          <w:sz w:val="14"/>
        </w:rPr>
        <w:t xml:space="preserve"> For example, although there is a correlation between people’s own rankings of their health and their subjective assessments of well-being, objective assessments of people’s health, judging by physical symptoms, are not as good a predictor of peoples’ subjective evaluations of their well-being.¹⁴ Even among those whose dissatisfaction with their health does lead to lower self-reported well-being, most report levels of satisfaction toward the positive end of the spectrum.¹⁵ Within any given country,¹⁶ the poor are nearly (but not quite) as happy as the rich are. Nor do education and occupation make much (even though they do make some) </w:t>
      </w:r>
      <w:proofErr w:type="gramStart"/>
      <w:r w:rsidRPr="00F86D11">
        <w:rPr>
          <w:sz w:val="14"/>
        </w:rPr>
        <w:t>difference.¹</w:t>
      </w:r>
      <w:proofErr w:type="gramEnd"/>
      <w:r w:rsidRPr="00F86D11">
        <w:rPr>
          <w:sz w:val="14"/>
        </w:rPr>
        <w:t xml:space="preserve">⁷ Although there is some disagreement about how much each of the above and other factors affect subjective assessments of well-being, it is clear that </w:t>
      </w:r>
      <w:r w:rsidRPr="00F86D11">
        <w:rPr>
          <w:rStyle w:val="Style13ptBold"/>
        </w:rPr>
        <w:t>even the sorts of events that one</w:t>
      </w:r>
      <w:r w:rsidRPr="00DF08F0">
        <w:rPr>
          <w:rStyle w:val="Style13ptBold"/>
        </w:rPr>
        <w:t xml:space="preserve"> would have thought would make people ‘very unhappy’ have this effect on only a very small proportion of people.¹⁸</w:t>
      </w:r>
    </w:p>
    <w:p w14:paraId="65F5FD02" w14:textId="77777777" w:rsidR="00CB7575" w:rsidRDefault="00CB7575" w:rsidP="00CB7575">
      <w:pPr>
        <w:pStyle w:val="Heading4"/>
      </w:pPr>
      <w:r>
        <w:t xml:space="preserve">4] Even if killing people is bad, death good outweighs since the pain caused by 8 billion deaths is less than infinite future lives. Additionally, extinction is inevitable, so extinction first doesn’t matter since this debate is just a question of </w:t>
      </w:r>
      <w:proofErr w:type="gramStart"/>
      <w:r>
        <w:t>whether or not</w:t>
      </w:r>
      <w:proofErr w:type="gramEnd"/>
      <w:r>
        <w:t xml:space="preserve"> we should go extinct sooner or later. </w:t>
      </w:r>
    </w:p>
    <w:p w14:paraId="4C634864" w14:textId="7C88281F" w:rsidR="00CB7575" w:rsidRPr="00CB7575" w:rsidRDefault="00CB7575" w:rsidP="00CB7575">
      <w:pPr>
        <w:pStyle w:val="Heading4"/>
      </w:pPr>
      <w:r>
        <w:t xml:space="preserve">5] </w:t>
      </w:r>
      <w:proofErr w:type="gramStart"/>
      <w:r>
        <w:t>Reps</w:t>
      </w:r>
      <w:proofErr w:type="gramEnd"/>
      <w:r>
        <w:t xml:space="preserve"> voters against the NC are a reason to drop the aff since 1] If the NC is violent, I only read it since you read the aff so </w:t>
      </w:r>
      <w:proofErr w:type="spellStart"/>
      <w:r>
        <w:t>its</w:t>
      </w:r>
      <w:proofErr w:type="spellEnd"/>
      <w:r>
        <w:t xml:space="preserve"> your fault and 2] my argument is conditional on util being true, so if death good is morally repugnant that’s a reason since why you should lose since your arguments justify it. </w:t>
      </w:r>
    </w:p>
    <w:p w14:paraId="0282CBC4" w14:textId="2458487B" w:rsidR="00CB7575" w:rsidRPr="00CB7575" w:rsidRDefault="00CB7575" w:rsidP="00CB7575">
      <w:pPr>
        <w:pStyle w:val="Heading3"/>
      </w:pPr>
      <w:r>
        <w:lastRenderedPageBreak/>
        <w:t>Case</w:t>
      </w:r>
    </w:p>
    <w:p w14:paraId="67CF3093" w14:textId="77777777" w:rsidR="00BB4026" w:rsidRDefault="00BB4026" w:rsidP="00BB4026">
      <w:pPr>
        <w:pStyle w:val="Heading4"/>
      </w:pPr>
      <w:r>
        <w:t>ILO is nonbinding and gets rolled back.</w:t>
      </w:r>
    </w:p>
    <w:p w14:paraId="12876EB1" w14:textId="77777777" w:rsidR="00BB4026" w:rsidRPr="00463A35" w:rsidRDefault="00BB4026" w:rsidP="00BB4026">
      <w:r>
        <w:rPr>
          <w:rStyle w:val="Style13ptBold"/>
        </w:rPr>
        <w:t xml:space="preserve">1AC </w:t>
      </w:r>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1" w:history="1">
        <w:r w:rsidRPr="00111F4F">
          <w:rPr>
            <w:rStyle w:val="Hyperlink"/>
          </w:rPr>
          <w:t>https://sci-hub.se/https://doi.org/10.1177/2031952521994412</w:t>
        </w:r>
      </w:hyperlink>
      <w:r>
        <w:t xml:space="preserve">] Justin//Recut </w:t>
      </w:r>
      <w:proofErr w:type="spellStart"/>
      <w:r>
        <w:t>Aanya</w:t>
      </w:r>
      <w:proofErr w:type="spellEnd"/>
    </w:p>
    <w:p w14:paraId="70AE365E" w14:textId="77777777" w:rsidR="00BB4026" w:rsidRDefault="00BB4026" w:rsidP="00BB4026"/>
    <w:p w14:paraId="6668AB95" w14:textId="77777777" w:rsidR="00BB4026" w:rsidRPr="004B1276" w:rsidRDefault="00BB4026" w:rsidP="00BB4026">
      <w:pPr>
        <w:rPr>
          <w:rStyle w:val="StyleUnderline"/>
        </w:rPr>
      </w:pPr>
      <w:r w:rsidRPr="004B1276">
        <w:rPr>
          <w:sz w:val="16"/>
        </w:rPr>
        <w:t xml:space="preserve">In accomplishing their functions, CFA and CEACR necessarily </w:t>
      </w:r>
      <w:proofErr w:type="gramStart"/>
      <w:r w:rsidRPr="004B1276">
        <w:rPr>
          <w:sz w:val="16"/>
        </w:rPr>
        <w:t>have to</w:t>
      </w:r>
      <w:proofErr w:type="gramEnd"/>
      <w:r w:rsidRPr="004B1276">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w:t>
      </w:r>
      <w:r w:rsidRPr="004B1276">
        <w:rPr>
          <w:rStyle w:val="StyleUnderline"/>
        </w:rPr>
        <w:t xml:space="preserve">as </w:t>
      </w:r>
      <w:r w:rsidRPr="009128CA">
        <w:rPr>
          <w:rStyle w:val="StyleUnderline"/>
          <w:highlight w:val="green"/>
        </w:rPr>
        <w:t>supervisory bodies</w:t>
      </w:r>
      <w:r w:rsidRPr="009128CA">
        <w:rPr>
          <w:sz w:val="16"/>
          <w:highlight w:val="green"/>
        </w:rPr>
        <w:t>,</w:t>
      </w:r>
      <w:r w:rsidRPr="004B1276">
        <w:rPr>
          <w:sz w:val="16"/>
        </w:rPr>
        <w:t xml:space="preserve"> which the Governing Body has established and which are not foreseen in the ILO Constitution, both probably </w:t>
      </w:r>
      <w:r w:rsidRPr="009128CA">
        <w:rPr>
          <w:rStyle w:val="StyleUnderline"/>
          <w:highlight w:val="green"/>
        </w:rPr>
        <w:t>do not have</w:t>
      </w:r>
      <w:r w:rsidRPr="004B1276">
        <w:rPr>
          <w:sz w:val="16"/>
        </w:rPr>
        <w:t xml:space="preserve"> the </w:t>
      </w:r>
      <w:r w:rsidRPr="009128CA">
        <w:rPr>
          <w:rStyle w:val="Emphasis"/>
          <w:highlight w:val="green"/>
        </w:rPr>
        <w:t>power to interpret ILO law with binding effect</w:t>
      </w:r>
      <w:proofErr w:type="gramStart"/>
      <w:r w:rsidRPr="009128CA">
        <w:rPr>
          <w:sz w:val="16"/>
          <w:highlight w:val="green"/>
        </w:rPr>
        <w:t>8</w:t>
      </w:r>
      <w:r w:rsidRPr="004B1276">
        <w:rPr>
          <w:sz w:val="16"/>
        </w:rPr>
        <w:t xml:space="preserve"> .</w:t>
      </w:r>
      <w:proofErr w:type="gramEnd"/>
      <w:r w:rsidRPr="004B1276">
        <w:rPr>
          <w:sz w:val="16"/>
        </w:rPr>
        <w:t xml:space="preserve"> This is also the opinion that the CEACR expresses itself in its yearly reports to the ILC when explaining that, “</w:t>
      </w:r>
      <w:r w:rsidRPr="004B1276">
        <w:rPr>
          <w:rStyle w:val="StyleUnderline"/>
        </w:rPr>
        <w:t xml:space="preserve">its </w:t>
      </w:r>
      <w:r w:rsidRPr="009128CA">
        <w:rPr>
          <w:rStyle w:val="StyleUnderline"/>
          <w:highlight w:val="green"/>
        </w:rPr>
        <w:t>opinions and recommendations are</w:t>
      </w:r>
      <w:r w:rsidRPr="004B1276">
        <w:rPr>
          <w:rStyle w:val="StyleUnderline"/>
        </w:rPr>
        <w:t xml:space="preserve"> </w:t>
      </w:r>
      <w:r w:rsidRPr="009128CA">
        <w:rPr>
          <w:rStyle w:val="StyleUnderline"/>
          <w:highlight w:val="green"/>
        </w:rPr>
        <w:t>non-binding”</w:t>
      </w:r>
      <w:r w:rsidRPr="004B1276">
        <w:rPr>
          <w:rStyle w:val="StyleUnderline"/>
        </w:rPr>
        <w:t xml:space="preserve"> </w:t>
      </w:r>
      <w:proofErr w:type="gramStart"/>
      <w:r w:rsidRPr="004B1276">
        <w:rPr>
          <w:sz w:val="16"/>
        </w:rPr>
        <w:t>9 .</w:t>
      </w:r>
      <w:proofErr w:type="gramEnd"/>
      <w:r w:rsidRPr="004B1276">
        <w:rPr>
          <w:sz w:val="16"/>
        </w:rPr>
        <w:t xml:space="preserve"> As a matter of fact, </w:t>
      </w:r>
      <w:r w:rsidRPr="004B1276">
        <w:rPr>
          <w:rStyle w:val="StyleUnderline"/>
        </w:rPr>
        <w:t xml:space="preserve">the </w:t>
      </w:r>
      <w:r w:rsidRPr="009128CA">
        <w:rPr>
          <w:rStyle w:val="StyleUnderline"/>
          <w:highlight w:val="green"/>
        </w:rPr>
        <w:t>Governing Body</w:t>
      </w:r>
      <w:r w:rsidRPr="009128CA">
        <w:rPr>
          <w:sz w:val="16"/>
          <w:highlight w:val="green"/>
        </w:rPr>
        <w:t>,</w:t>
      </w:r>
      <w:r w:rsidRPr="004B1276">
        <w:rPr>
          <w:sz w:val="16"/>
        </w:rPr>
        <w:t xml:space="preserve"> when establishing both Committees, </w:t>
      </w:r>
      <w:r w:rsidRPr="009128CA">
        <w:rPr>
          <w:rStyle w:val="StyleUnderline"/>
          <w:highlight w:val="green"/>
        </w:rPr>
        <w:t>could not delegate</w:t>
      </w:r>
      <w:r w:rsidRPr="004B1276">
        <w:rPr>
          <w:sz w:val="16"/>
        </w:rPr>
        <w:t xml:space="preserve"> to them a power that it has never possessed itself: </w:t>
      </w:r>
      <w:r w:rsidRPr="004B1276">
        <w:rPr>
          <w:rStyle w:val="Emphasis"/>
        </w:rPr>
        <w:t xml:space="preserve">nemo plus </w:t>
      </w:r>
      <w:proofErr w:type="spellStart"/>
      <w:r w:rsidRPr="004B1276">
        <w:rPr>
          <w:rStyle w:val="Emphasis"/>
        </w:rPr>
        <w:t>iuris</w:t>
      </w:r>
      <w:proofErr w:type="spellEnd"/>
      <w:r w:rsidRPr="004B1276">
        <w:rPr>
          <w:rStyle w:val="Emphasis"/>
        </w:rPr>
        <w:t xml:space="preserve"> </w:t>
      </w:r>
      <w:proofErr w:type="spellStart"/>
      <w:r w:rsidRPr="004B1276">
        <w:rPr>
          <w:rStyle w:val="Emphasis"/>
        </w:rPr>
        <w:t>ad</w:t>
      </w:r>
      <w:proofErr w:type="spellEnd"/>
      <w:r w:rsidRPr="004B1276">
        <w:rPr>
          <w:rStyle w:val="Emphasis"/>
        </w:rPr>
        <w:t xml:space="preserve"> </w:t>
      </w:r>
      <w:proofErr w:type="spellStart"/>
      <w:r w:rsidRPr="004B1276">
        <w:rPr>
          <w:rStyle w:val="Emphasis"/>
        </w:rPr>
        <w:t>alium</w:t>
      </w:r>
      <w:proofErr w:type="spellEnd"/>
      <w:r w:rsidRPr="004B1276">
        <w:rPr>
          <w:rStyle w:val="Emphasis"/>
        </w:rPr>
        <w:t xml:space="preserve"> </w:t>
      </w:r>
      <w:proofErr w:type="spellStart"/>
      <w:r w:rsidRPr="004B1276">
        <w:rPr>
          <w:rStyle w:val="Emphasis"/>
        </w:rPr>
        <w:t>transferre</w:t>
      </w:r>
      <w:proofErr w:type="spellEnd"/>
      <w:r w:rsidRPr="004B1276">
        <w:rPr>
          <w:rStyle w:val="Emphasis"/>
        </w:rPr>
        <w:t xml:space="preserve"> </w:t>
      </w:r>
      <w:proofErr w:type="spellStart"/>
      <w:r w:rsidRPr="004B1276">
        <w:rPr>
          <w:rStyle w:val="Emphasis"/>
        </w:rPr>
        <w:t>potest</w:t>
      </w:r>
      <w:proofErr w:type="spellEnd"/>
      <w:r w:rsidRPr="004B1276">
        <w:rPr>
          <w:rStyle w:val="Emphasis"/>
        </w:rPr>
        <w:t xml:space="preserve"> </w:t>
      </w:r>
      <w:proofErr w:type="spellStart"/>
      <w:r w:rsidRPr="004B1276">
        <w:rPr>
          <w:rStyle w:val="Emphasis"/>
        </w:rPr>
        <w:t>quam</w:t>
      </w:r>
      <w:proofErr w:type="spellEnd"/>
      <w:r w:rsidRPr="004B1276">
        <w:rPr>
          <w:rStyle w:val="Emphasis"/>
        </w:rPr>
        <w:t xml:space="preserve"> ipse </w:t>
      </w:r>
      <w:proofErr w:type="spellStart"/>
      <w:r w:rsidRPr="004B1276">
        <w:rPr>
          <w:rStyle w:val="Emphasis"/>
        </w:rPr>
        <w:t>haberet</w:t>
      </w:r>
      <w:proofErr w:type="spellEnd"/>
      <w:r w:rsidRPr="004B1276">
        <w:rPr>
          <w:rStyle w:val="Emphasis"/>
        </w:rPr>
        <w:t xml:space="preserve"> 10</w:t>
      </w:r>
      <w:r w:rsidRPr="004B1276">
        <w:rPr>
          <w:sz w:val="16"/>
        </w:rPr>
        <w:t xml:space="preserve">. According to Article 37(1) of the ILO Constitution, it is within the competence of the International Court of Justice to decide upon “any question or dispute relating to the interpretation of this Constitution or of any subsequent Convention concluded by the Members in pursuance of the provisions of this Constitution.” Furthermore, </w:t>
      </w:r>
      <w:r w:rsidRPr="009128CA">
        <w:rPr>
          <w:rStyle w:val="StyleUnderline"/>
          <w:highlight w:val="green"/>
        </w:rPr>
        <w:t>the ILC has not established</w:t>
      </w:r>
      <w:r w:rsidRPr="004B1276">
        <w:rPr>
          <w:rStyle w:val="StyleUnderline"/>
        </w:rPr>
        <w:t xml:space="preserve"> </w:t>
      </w:r>
      <w:r w:rsidRPr="004B1276">
        <w:rPr>
          <w:sz w:val="16"/>
        </w:rPr>
        <w:t>yet under Article 37(2) of the ILO Constitution an ILO Tribunal,</w:t>
      </w:r>
      <w:r w:rsidRPr="004B1276">
        <w:rPr>
          <w:rStyle w:val="StyleUnderline"/>
        </w:rPr>
        <w:t xml:space="preserve"> competent for </w:t>
      </w:r>
      <w:r w:rsidRPr="009128CA">
        <w:rPr>
          <w:rStyle w:val="StyleUnderline"/>
          <w:highlight w:val="green"/>
        </w:rPr>
        <w:t xml:space="preserve">an authentic interpretation of </w:t>
      </w:r>
      <w:r w:rsidRPr="009128CA">
        <w:rPr>
          <w:rStyle w:val="StyleUnderline"/>
          <w:highlight w:val="green"/>
          <w:u w:val="none"/>
        </w:rPr>
        <w:t>Conventions1</w:t>
      </w:r>
      <w:r w:rsidRPr="004B1276">
        <w:rPr>
          <w:rStyle w:val="StyleUnderline"/>
          <w:u w:val="none"/>
        </w:rPr>
        <w:t>1</w:t>
      </w:r>
      <w:r w:rsidRPr="004B1276">
        <w:rPr>
          <w:rStyle w:val="StyleUnderline"/>
        </w:rPr>
        <w:t>.</w:t>
      </w:r>
    </w:p>
    <w:p w14:paraId="588B61A6" w14:textId="77777777" w:rsidR="00BB4026" w:rsidRDefault="00BB4026" w:rsidP="00BB4026">
      <w:pPr>
        <w:rPr>
          <w:rStyle w:val="StyleUnderline"/>
        </w:rPr>
      </w:pPr>
    </w:p>
    <w:p w14:paraId="762DF412" w14:textId="77777777" w:rsidR="00BB4026" w:rsidRDefault="00BB4026" w:rsidP="00BB4026"/>
    <w:p w14:paraId="5BF93D6A" w14:textId="77777777" w:rsidR="00BB4026" w:rsidRPr="00680F2E" w:rsidRDefault="00BB4026" w:rsidP="00BB4026">
      <w:pPr>
        <w:spacing w:after="0" w:line="240" w:lineRule="auto"/>
      </w:pPr>
      <w:r>
        <w:rPr>
          <w:rFonts w:eastAsiaTheme="majorEastAsia" w:cstheme="majorBidi"/>
          <w:b/>
          <w:bCs/>
          <w:sz w:val="26"/>
          <w:szCs w:val="26"/>
        </w:rPr>
        <w:t xml:space="preserve">Plan causes private sector </w:t>
      </w:r>
      <w:proofErr w:type="spellStart"/>
      <w:r>
        <w:rPr>
          <w:rFonts w:eastAsiaTheme="majorEastAsia" w:cstheme="majorBidi"/>
          <w:b/>
          <w:bCs/>
          <w:sz w:val="26"/>
          <w:szCs w:val="26"/>
        </w:rPr>
        <w:t>lashout</w:t>
      </w:r>
      <w:proofErr w:type="spellEnd"/>
      <w:r>
        <w:rPr>
          <w:rFonts w:eastAsiaTheme="majorEastAsia" w:cstheme="majorBidi"/>
          <w:b/>
          <w:bCs/>
          <w:sz w:val="26"/>
          <w:szCs w:val="26"/>
        </w:rPr>
        <w:t xml:space="preserve"> which decks ILO legitimacy—turns case. </w:t>
      </w:r>
      <w:r w:rsidRPr="00931E39">
        <w:rPr>
          <w:rFonts w:eastAsiaTheme="majorEastAsia" w:cstheme="majorBidi"/>
          <w:b/>
          <w:bCs/>
          <w:sz w:val="26"/>
          <w:szCs w:val="26"/>
        </w:rPr>
        <w:t>Frey 17</w:t>
      </w:r>
      <w:r>
        <w:t xml:space="preserve"> </w:t>
      </w:r>
      <w:r w:rsidRPr="00680F2E">
        <w:t xml:space="preserve">Frey, Diane, Lecturer </w:t>
      </w:r>
      <w:r>
        <w:t xml:space="preserve">in </w:t>
      </w:r>
      <w:r w:rsidRPr="00680F2E">
        <w:t xml:space="preserve">Labor and Employment Studies </w:t>
      </w:r>
      <w:r>
        <w:t xml:space="preserve">at </w:t>
      </w:r>
      <w:r w:rsidRPr="00680F2E">
        <w:t xml:space="preserve">San Francisco State University </w:t>
      </w:r>
      <w:r>
        <w:t xml:space="preserve">and </w:t>
      </w:r>
      <w:r w:rsidRPr="00680F2E">
        <w:t>Harvard University Extension School in Negotiation and Organizational Conflict Resolution</w:t>
      </w:r>
    </w:p>
    <w:p w14:paraId="03B5F47D" w14:textId="77777777" w:rsidR="00BB4026" w:rsidRDefault="00BB4026" w:rsidP="00BB4026">
      <w:r>
        <w:lastRenderedPageBreak/>
        <w:t xml:space="preserve"> </w:t>
      </w:r>
      <w:r w:rsidRPr="00680F2E">
        <w:t xml:space="preserve">(2017). Conflict over Conflict: The Right to Strike in International Law. Global </w:t>
      </w:r>
      <w:proofErr w:type="spellStart"/>
      <w:r w:rsidRPr="00680F2E">
        <w:t>Labour</w:t>
      </w:r>
      <w:proofErr w:type="spellEnd"/>
      <w:r w:rsidRPr="00680F2E">
        <w:t xml:space="preserve"> Journal. 8. 10.15173/</w:t>
      </w:r>
      <w:proofErr w:type="gramStart"/>
      <w:r w:rsidRPr="00680F2E">
        <w:t>glj.v</w:t>
      </w:r>
      <w:proofErr w:type="gramEnd"/>
      <w:r w:rsidRPr="00680F2E">
        <w:t xml:space="preserve">8i1.2649. </w:t>
      </w:r>
    </w:p>
    <w:p w14:paraId="7670FEE1" w14:textId="77777777" w:rsidR="00BB4026" w:rsidRPr="0038330A" w:rsidRDefault="00BB4026" w:rsidP="00BB4026">
      <w:pPr>
        <w:rPr>
          <w:sz w:val="16"/>
        </w:rPr>
      </w:pPr>
      <w:r w:rsidRPr="000E4D27">
        <w:rPr>
          <w:rStyle w:val="StyleUnderline"/>
        </w:rPr>
        <w:t xml:space="preserve">The </w:t>
      </w:r>
      <w:r w:rsidRPr="009128CA">
        <w:rPr>
          <w:rStyle w:val="StyleUnderline"/>
          <w:highlight w:val="green"/>
        </w:rPr>
        <w:t>ILO has been in increasing turmoil</w:t>
      </w:r>
      <w:r w:rsidRPr="0038330A">
        <w:rPr>
          <w:sz w:val="16"/>
        </w:rPr>
        <w:t xml:space="preserve"> since 1989 </w:t>
      </w:r>
      <w:r w:rsidRPr="000E4D27">
        <w:rPr>
          <w:rStyle w:val="StyleUnderline"/>
        </w:rPr>
        <w:t xml:space="preserve">when the </w:t>
      </w:r>
      <w:r w:rsidRPr="009128CA">
        <w:rPr>
          <w:rStyle w:val="StyleUnderline"/>
          <w:highlight w:val="green"/>
        </w:rPr>
        <w:t>employer group,</w:t>
      </w:r>
      <w:r w:rsidRPr="0038330A">
        <w:rPr>
          <w:sz w:val="16"/>
        </w:rPr>
        <w:t xml:space="preserve"> the International </w:t>
      </w:r>
      <w:proofErr w:type="spellStart"/>
      <w:r w:rsidRPr="0038330A">
        <w:rPr>
          <w:sz w:val="16"/>
        </w:rPr>
        <w:t>Organisation</w:t>
      </w:r>
      <w:proofErr w:type="spellEnd"/>
      <w:r w:rsidRPr="0038330A">
        <w:rPr>
          <w:sz w:val="16"/>
        </w:rPr>
        <w:t xml:space="preserve"> of Employers (IOE), </w:t>
      </w:r>
      <w:r w:rsidRPr="009128CA">
        <w:rPr>
          <w:rStyle w:val="StyleUnderline"/>
          <w:highlight w:val="green"/>
        </w:rPr>
        <w:t>began</w:t>
      </w:r>
      <w:r w:rsidRPr="000E4D27">
        <w:rPr>
          <w:rStyle w:val="StyleUnderline"/>
        </w:rPr>
        <w:t xml:space="preserve"> </w:t>
      </w:r>
      <w:r w:rsidRPr="0038330A">
        <w:rPr>
          <w:sz w:val="16"/>
        </w:rPr>
        <w:t xml:space="preserve">systematically </w:t>
      </w:r>
      <w:r w:rsidRPr="009128CA">
        <w:rPr>
          <w:rStyle w:val="StyleUnderline"/>
          <w:highlight w:val="green"/>
        </w:rPr>
        <w:t>claiming there is no right to strike</w:t>
      </w:r>
      <w:r w:rsidRPr="0038330A">
        <w:rPr>
          <w:sz w:val="16"/>
        </w:rPr>
        <w:t xml:space="preserve"> under ILO Conventions (La </w:t>
      </w:r>
      <w:proofErr w:type="spellStart"/>
      <w:r w:rsidRPr="0038330A">
        <w:rPr>
          <w:sz w:val="16"/>
        </w:rPr>
        <w:t>Hovary</w:t>
      </w:r>
      <w:proofErr w:type="spellEnd"/>
      <w:r w:rsidRPr="0038330A">
        <w:rPr>
          <w:sz w:val="16"/>
        </w:rPr>
        <w:t xml:space="preserve">, 2013: 361). Although the specific arguments have evolved, the employer group’s overall claim has been that there is no international right to strike. They base their position on the </w:t>
      </w:r>
      <w:r w:rsidRPr="009128CA">
        <w:rPr>
          <w:rStyle w:val="StyleUnderline"/>
          <w:highlight w:val="green"/>
        </w:rPr>
        <w:t xml:space="preserve">absence of </w:t>
      </w:r>
      <w:r w:rsidRPr="0038330A">
        <w:rPr>
          <w:rStyle w:val="StyleUnderline"/>
        </w:rPr>
        <w:t xml:space="preserve">an </w:t>
      </w:r>
      <w:r w:rsidRPr="009128CA">
        <w:rPr>
          <w:rStyle w:val="StyleUnderline"/>
          <w:highlight w:val="green"/>
        </w:rPr>
        <w:t>explicit provision</w:t>
      </w:r>
      <w:r w:rsidRPr="0038330A">
        <w:rPr>
          <w:sz w:val="16"/>
        </w:rPr>
        <w:t xml:space="preserve"> enumerating the right to strike in Convention No. 87. The Convention provides workers with freedom to join </w:t>
      </w:r>
      <w:proofErr w:type="spellStart"/>
      <w:r w:rsidRPr="0038330A">
        <w:rPr>
          <w:sz w:val="16"/>
        </w:rPr>
        <w:t>organisations</w:t>
      </w:r>
      <w:proofErr w:type="spellEnd"/>
      <w:r w:rsidRPr="0038330A">
        <w:rPr>
          <w:sz w:val="16"/>
        </w:rPr>
        <w:t xml:space="preserve"> of their own choosing and bestows upon those </w:t>
      </w:r>
      <w:proofErr w:type="spellStart"/>
      <w:r w:rsidRPr="0038330A">
        <w:rPr>
          <w:sz w:val="16"/>
        </w:rPr>
        <w:t>organisations</w:t>
      </w:r>
      <w:proofErr w:type="spellEnd"/>
      <w:r w:rsidRPr="0038330A">
        <w:rPr>
          <w:sz w:val="16"/>
        </w:rPr>
        <w:t xml:space="preserve"> the right to </w:t>
      </w:r>
      <w:proofErr w:type="spellStart"/>
      <w:r w:rsidRPr="0038330A">
        <w:rPr>
          <w:sz w:val="16"/>
        </w:rPr>
        <w:t>organise</w:t>
      </w:r>
      <w:proofErr w:type="spellEnd"/>
      <w:r w:rsidRPr="0038330A">
        <w:rPr>
          <w:sz w:val="16"/>
        </w:rPr>
        <w:t xml:space="preserve"> their activities and </w:t>
      </w:r>
      <w:proofErr w:type="spellStart"/>
      <w:r w:rsidRPr="0038330A">
        <w:rPr>
          <w:sz w:val="16"/>
        </w:rPr>
        <w:t>programmes</w:t>
      </w:r>
      <w:proofErr w:type="spellEnd"/>
      <w:r w:rsidRPr="0038330A">
        <w:rPr>
          <w:sz w:val="16"/>
        </w:rPr>
        <w:t xml:space="preserve">. </w:t>
      </w:r>
      <w:r w:rsidRPr="009128CA">
        <w:rPr>
          <w:rStyle w:val="StyleUnderline"/>
          <w:highlight w:val="green"/>
        </w:rPr>
        <w:t>It does not</w:t>
      </w:r>
      <w:r w:rsidRPr="009128CA">
        <w:rPr>
          <w:sz w:val="16"/>
          <w:highlight w:val="green"/>
        </w:rPr>
        <w:t>,</w:t>
      </w:r>
      <w:r w:rsidRPr="0038330A">
        <w:rPr>
          <w:sz w:val="16"/>
        </w:rPr>
        <w:t xml:space="preserve"> however, </w:t>
      </w:r>
      <w:r w:rsidRPr="009128CA">
        <w:rPr>
          <w:rStyle w:val="StyleUnderline"/>
          <w:highlight w:val="green"/>
        </w:rPr>
        <w:t>explicitly name the right</w:t>
      </w:r>
      <w:r w:rsidRPr="0038330A">
        <w:rPr>
          <w:sz w:val="16"/>
        </w:rPr>
        <w:t xml:space="preserve"> to </w:t>
      </w:r>
      <w:r w:rsidRPr="009128CA">
        <w:rPr>
          <w:rStyle w:val="StyleUnderline"/>
          <w:highlight w:val="green"/>
        </w:rPr>
        <w:t xml:space="preserve">strike </w:t>
      </w:r>
      <w:r w:rsidRPr="0038330A">
        <w:rPr>
          <w:rStyle w:val="StyleUnderline"/>
        </w:rPr>
        <w:t>in the text</w:t>
      </w:r>
      <w:r w:rsidRPr="000E4D27">
        <w:rPr>
          <w:rStyle w:val="StyleUnderline"/>
        </w:rPr>
        <w:t xml:space="preserve"> (</w:t>
      </w:r>
      <w:r w:rsidRPr="0038330A">
        <w:rPr>
          <w:sz w:val="16"/>
        </w:rPr>
        <w:t xml:space="preserve">ILO, Undated b; Convention No. 87: articles 2, 3, 8 and 10; </w:t>
      </w:r>
      <w:proofErr w:type="spellStart"/>
      <w:r w:rsidRPr="0038330A">
        <w:rPr>
          <w:sz w:val="16"/>
        </w:rPr>
        <w:t>Bellace</w:t>
      </w:r>
      <w:proofErr w:type="spellEnd"/>
      <w:r w:rsidRPr="0038330A">
        <w:rPr>
          <w:sz w:val="16"/>
        </w:rPr>
        <w:t xml:space="preserve">, 2014a: 30). Further, the employer group argues that one of the ILO’s supervisory bodies, </w:t>
      </w:r>
      <w:r w:rsidRPr="009128CA">
        <w:rPr>
          <w:rStyle w:val="StyleUnderline"/>
          <w:highlight w:val="green"/>
        </w:rPr>
        <w:t>the Committee</w:t>
      </w:r>
      <w:r w:rsidRPr="000E4D27">
        <w:rPr>
          <w:rStyle w:val="StyleUnderline"/>
        </w:rPr>
        <w:t xml:space="preserve"> of Experts, </w:t>
      </w:r>
      <w:r w:rsidRPr="009128CA">
        <w:rPr>
          <w:rStyle w:val="StyleUnderline"/>
          <w:highlight w:val="green"/>
        </w:rPr>
        <w:t>lacks authority</w:t>
      </w:r>
      <w:r w:rsidRPr="000E4D27">
        <w:rPr>
          <w:rStyle w:val="StyleUnderline"/>
        </w:rPr>
        <w:t xml:space="preserve"> </w:t>
      </w:r>
      <w:r w:rsidRPr="009128CA">
        <w:rPr>
          <w:rStyle w:val="StyleUnderline"/>
          <w:highlight w:val="green"/>
        </w:rPr>
        <w:t>to imply</w:t>
      </w:r>
      <w:r w:rsidRPr="000E4D27">
        <w:rPr>
          <w:rStyle w:val="StyleUnderline"/>
        </w:rPr>
        <w:t xml:space="preserve"> the right to strike in</w:t>
      </w:r>
      <w:r w:rsidRPr="0038330A">
        <w:rPr>
          <w:sz w:val="16"/>
        </w:rPr>
        <w:t xml:space="preserve"> Convention No. 87 because “</w:t>
      </w:r>
      <w:r w:rsidRPr="009128CA">
        <w:rPr>
          <w:rStyle w:val="StyleUnderline"/>
          <w:highlight w:val="green"/>
        </w:rPr>
        <w:t>only the I</w:t>
      </w:r>
      <w:r w:rsidRPr="0038330A">
        <w:rPr>
          <w:rStyle w:val="StyleUnderline"/>
        </w:rPr>
        <w:t xml:space="preserve">nternational </w:t>
      </w:r>
      <w:r w:rsidRPr="009128CA">
        <w:rPr>
          <w:rStyle w:val="StyleUnderline"/>
          <w:highlight w:val="green"/>
        </w:rPr>
        <w:t>C</w:t>
      </w:r>
      <w:r w:rsidRPr="0038330A">
        <w:rPr>
          <w:rStyle w:val="StyleUnderline"/>
        </w:rPr>
        <w:t xml:space="preserve">ourt of </w:t>
      </w:r>
      <w:r w:rsidRPr="009128CA">
        <w:rPr>
          <w:rStyle w:val="StyleUnderline"/>
          <w:highlight w:val="green"/>
        </w:rPr>
        <w:t>J</w:t>
      </w:r>
      <w:r w:rsidRPr="0038330A">
        <w:rPr>
          <w:rStyle w:val="StyleUnderline"/>
        </w:rPr>
        <w:t xml:space="preserve">ustice </w:t>
      </w:r>
      <w:r w:rsidRPr="009128CA">
        <w:rPr>
          <w:rStyle w:val="StyleUnderline"/>
          <w:highlight w:val="green"/>
        </w:rPr>
        <w:t>can give authoritative interpretations</w:t>
      </w:r>
      <w:r w:rsidRPr="0038330A">
        <w:rPr>
          <w:rStyle w:val="StyleUnderline"/>
        </w:rPr>
        <w:t xml:space="preserve"> of ILO Conventions” (</w:t>
      </w:r>
      <w:r w:rsidRPr="0038330A">
        <w:rPr>
          <w:sz w:val="16"/>
        </w:rPr>
        <w:t xml:space="preserve">IOE, 2013: 7). Worker representatives have responded that the right to strike has rightfully been considered as part of ILO Conventions on Freedom of Association without interruption since 1948, including by employer members who have served on the tripartite Committee on Freedom of Association (ITUC, 2014b: 17). According to worker representatives, the attack on the right to strike is part of a larger effort to undermine the authority of the ILO to monitor and enforce </w:t>
      </w:r>
      <w:proofErr w:type="spellStart"/>
      <w:r w:rsidRPr="0038330A">
        <w:rPr>
          <w:sz w:val="16"/>
        </w:rPr>
        <w:t>labour</w:t>
      </w:r>
      <w:proofErr w:type="spellEnd"/>
      <w:r w:rsidRPr="0038330A">
        <w:rPr>
          <w:sz w:val="16"/>
        </w:rPr>
        <w:t xml:space="preserve"> standards and to turn hard </w:t>
      </w:r>
      <w:proofErr w:type="spellStart"/>
      <w:r w:rsidRPr="0038330A">
        <w:rPr>
          <w:sz w:val="16"/>
        </w:rPr>
        <w:t>labour</w:t>
      </w:r>
      <w:proofErr w:type="spellEnd"/>
      <w:r w:rsidRPr="0038330A">
        <w:rPr>
          <w:sz w:val="16"/>
        </w:rPr>
        <w:t xml:space="preserve"> standards law into soft law (Hofmann, 2014: 1; ITUC, 2014b: 8). The </w:t>
      </w:r>
      <w:r w:rsidRPr="0038330A">
        <w:rPr>
          <w:rStyle w:val="StyleUnderline"/>
        </w:rPr>
        <w:t>origins of the employer group’s</w:t>
      </w:r>
      <w:r w:rsidRPr="0038330A">
        <w:rPr>
          <w:sz w:val="16"/>
        </w:rPr>
        <w:t xml:space="preserve"> </w:t>
      </w:r>
      <w:r w:rsidRPr="0038330A">
        <w:rPr>
          <w:rStyle w:val="StyleUnderline"/>
        </w:rPr>
        <w:t>opposition</w:t>
      </w:r>
      <w:r w:rsidRPr="0038330A">
        <w:rPr>
          <w:sz w:val="16"/>
        </w:rPr>
        <w:t xml:space="preserve"> to recognition of the right to strike have been attributed to </w:t>
      </w:r>
      <w:r w:rsidRPr="009128CA">
        <w:rPr>
          <w:rStyle w:val="StyleUnderline"/>
          <w:highlight w:val="green"/>
        </w:rPr>
        <w:t>several</w:t>
      </w:r>
      <w:r w:rsidRPr="0038330A">
        <w:rPr>
          <w:rStyle w:val="StyleUnderline"/>
        </w:rPr>
        <w:t xml:space="preserve"> </w:t>
      </w:r>
      <w:r w:rsidRPr="0038330A">
        <w:rPr>
          <w:sz w:val="16"/>
        </w:rPr>
        <w:t xml:space="preserve">related </w:t>
      </w:r>
      <w:r w:rsidRPr="009128CA">
        <w:rPr>
          <w:rStyle w:val="StyleUnderline"/>
          <w:highlight w:val="green"/>
        </w:rPr>
        <w:t>factors</w:t>
      </w:r>
      <w:r w:rsidRPr="0038330A">
        <w:rPr>
          <w:rStyle w:val="StyleUnderline"/>
        </w:rPr>
        <w:t xml:space="preserve"> </w:t>
      </w:r>
      <w:r w:rsidRPr="0038330A">
        <w:rPr>
          <w:sz w:val="16"/>
        </w:rPr>
        <w:t xml:space="preserve">such as the end of the </w:t>
      </w:r>
      <w:r w:rsidRPr="0038330A">
        <w:rPr>
          <w:rStyle w:val="StyleUnderline"/>
        </w:rPr>
        <w:t>Cold War,</w:t>
      </w:r>
      <w:r w:rsidRPr="0038330A">
        <w:rPr>
          <w:sz w:val="16"/>
        </w:rPr>
        <w:t xml:space="preserve"> the </w:t>
      </w:r>
      <w:r w:rsidRPr="009128CA">
        <w:rPr>
          <w:rStyle w:val="StyleUnderline"/>
          <w:highlight w:val="green"/>
        </w:rPr>
        <w:t>ascendency of</w:t>
      </w:r>
      <w:r w:rsidRPr="009128CA">
        <w:rPr>
          <w:sz w:val="16"/>
          <w:highlight w:val="green"/>
        </w:rPr>
        <w:t xml:space="preserve"> </w:t>
      </w:r>
      <w:r w:rsidRPr="009128CA">
        <w:rPr>
          <w:rStyle w:val="StyleUnderline"/>
          <w:highlight w:val="green"/>
        </w:rPr>
        <w:t>employer</w:t>
      </w:r>
      <w:r w:rsidRPr="0038330A">
        <w:rPr>
          <w:rStyle w:val="StyleUnderline"/>
        </w:rPr>
        <w:t xml:space="preserve"> power </w:t>
      </w:r>
      <w:r w:rsidRPr="0038330A">
        <w:rPr>
          <w:sz w:val="16"/>
        </w:rPr>
        <w:t xml:space="preserve">relative to </w:t>
      </w:r>
      <w:proofErr w:type="spellStart"/>
      <w:r w:rsidRPr="0038330A">
        <w:rPr>
          <w:sz w:val="16"/>
        </w:rPr>
        <w:t>labour</w:t>
      </w:r>
      <w:proofErr w:type="spellEnd"/>
      <w:r w:rsidRPr="0038330A">
        <w:rPr>
          <w:sz w:val="16"/>
        </w:rPr>
        <w:t xml:space="preserve">, and the </w:t>
      </w:r>
      <w:r w:rsidRPr="009128CA">
        <w:rPr>
          <w:rStyle w:val="StyleUnderline"/>
          <w:highlight w:val="green"/>
        </w:rPr>
        <w:t>increasing influence</w:t>
      </w:r>
      <w:r w:rsidRPr="0038330A">
        <w:rPr>
          <w:rStyle w:val="StyleUnderline"/>
        </w:rPr>
        <w:t xml:space="preserve"> of</w:t>
      </w:r>
      <w:r w:rsidRPr="0038330A">
        <w:rPr>
          <w:sz w:val="16"/>
        </w:rPr>
        <w:t xml:space="preserve"> ILO non-binding </w:t>
      </w:r>
      <w:r w:rsidRPr="009128CA">
        <w:rPr>
          <w:rStyle w:val="StyleUnderline"/>
          <w:highlight w:val="green"/>
        </w:rPr>
        <w:t>pronouncements in domestic policy</w:t>
      </w:r>
      <w:r w:rsidRPr="009128CA">
        <w:rPr>
          <w:sz w:val="16"/>
          <w:highlight w:val="green"/>
        </w:rPr>
        <w:t>,</w:t>
      </w:r>
      <w:r w:rsidRPr="0038330A">
        <w:rPr>
          <w:sz w:val="16"/>
        </w:rPr>
        <w:t xml:space="preserve"> as well as </w:t>
      </w:r>
      <w:r w:rsidRPr="0038330A">
        <w:rPr>
          <w:rStyle w:val="StyleUnderline"/>
        </w:rPr>
        <w:t xml:space="preserve">regional and domestic </w:t>
      </w:r>
      <w:r w:rsidRPr="009128CA">
        <w:rPr>
          <w:rStyle w:val="StyleUnderline"/>
          <w:highlight w:val="green"/>
        </w:rPr>
        <w:t>court decisions</w:t>
      </w:r>
      <w:r w:rsidRPr="0038330A">
        <w:rPr>
          <w:sz w:val="16"/>
        </w:rPr>
        <w:t xml:space="preserve"> (La </w:t>
      </w:r>
      <w:proofErr w:type="spellStart"/>
      <w:r w:rsidRPr="0038330A">
        <w:rPr>
          <w:sz w:val="16"/>
        </w:rPr>
        <w:t>Hovary</w:t>
      </w:r>
      <w:proofErr w:type="spellEnd"/>
      <w:r w:rsidRPr="0038330A">
        <w:rPr>
          <w:sz w:val="16"/>
        </w:rPr>
        <w:t xml:space="preserve">, 2013: 365). Indeed, ILO standards on the right to strike have influenced </w:t>
      </w:r>
      <w:r w:rsidRPr="0038330A">
        <w:rPr>
          <w:rStyle w:val="StyleUnderline"/>
        </w:rPr>
        <w:t>soft laws</w:t>
      </w:r>
      <w:r w:rsidRPr="0038330A">
        <w:rPr>
          <w:sz w:val="16"/>
        </w:rPr>
        <w:t xml:space="preserve"> such as the OECD guidelines for Multinational Enterprises and the UN Guiding Principles for Business and Human Rights (Van de Heijden, 2013: 3; </w:t>
      </w:r>
      <w:proofErr w:type="spellStart"/>
      <w:r w:rsidRPr="0038330A">
        <w:rPr>
          <w:sz w:val="16"/>
        </w:rPr>
        <w:t>Bellace</w:t>
      </w:r>
      <w:proofErr w:type="spellEnd"/>
      <w:r w:rsidRPr="0038330A">
        <w:rPr>
          <w:sz w:val="16"/>
        </w:rPr>
        <w:t xml:space="preserve">, 2014a: 59). ILO standards have also influenced court decisions including the recent Supreme Court decision in Canada reaffirming the right to strike (Saskatchewan Federation of </w:t>
      </w:r>
      <w:proofErr w:type="spellStart"/>
      <w:r w:rsidRPr="0038330A">
        <w:rPr>
          <w:sz w:val="16"/>
        </w:rPr>
        <w:t>Labour</w:t>
      </w:r>
      <w:proofErr w:type="spellEnd"/>
      <w:r w:rsidRPr="0038330A">
        <w:rPr>
          <w:sz w:val="16"/>
        </w:rPr>
        <w:t xml:space="preserve"> v Saskatchewan, 2015, SCC 4: ¶67). The employer </w:t>
      </w:r>
      <w:proofErr w:type="gramStart"/>
      <w:r w:rsidRPr="0038330A">
        <w:rPr>
          <w:sz w:val="16"/>
        </w:rPr>
        <w:t>group</w:t>
      </w:r>
      <w:proofErr w:type="gramEnd"/>
      <w:r w:rsidRPr="0038330A">
        <w:rPr>
          <w:sz w:val="16"/>
        </w:rPr>
        <w:t xml:space="preserve"> therefore, directly challenges the ILO’s legitimacy and influence.</w:t>
      </w:r>
    </w:p>
    <w:p w14:paraId="67EEE2AA" w14:textId="77777777" w:rsidR="00BB4026" w:rsidRPr="004B1276" w:rsidRDefault="00BB4026" w:rsidP="00BB4026">
      <w:pPr>
        <w:rPr>
          <w:rStyle w:val="StyleUnderline"/>
        </w:rPr>
      </w:pPr>
    </w:p>
    <w:p w14:paraId="6BA3D963" w14:textId="77777777" w:rsidR="00BB4026" w:rsidRDefault="00BB4026" w:rsidP="00BB4026"/>
    <w:p w14:paraId="07D7AD58" w14:textId="77777777" w:rsidR="00BB4026" w:rsidRDefault="00BB4026" w:rsidP="00BB4026"/>
    <w:p w14:paraId="7821BE8A" w14:textId="77777777" w:rsidR="00BB4026" w:rsidRDefault="00BB4026" w:rsidP="00BB4026">
      <w:pPr>
        <w:pStyle w:val="Heading4"/>
      </w:pPr>
      <w:r>
        <w:t>Court decisions are subject to extreme Congressional scrutiny – ensures backlash</w:t>
      </w:r>
    </w:p>
    <w:p w14:paraId="4197AF77" w14:textId="77777777" w:rsidR="00BB4026" w:rsidRPr="00963B89" w:rsidRDefault="00BB4026" w:rsidP="00BB4026">
      <w:pPr>
        <w:rPr>
          <w:sz w:val="14"/>
        </w:rPr>
      </w:pPr>
      <w:r>
        <w:rPr>
          <w:b/>
        </w:rPr>
        <w:t xml:space="preserve">Miller 09 </w:t>
      </w:r>
      <w:r w:rsidRPr="00963B89">
        <w:rPr>
          <w:sz w:val="14"/>
        </w:rPr>
        <w:t xml:space="preserve">[Mark - Professor of Political </w:t>
      </w:r>
      <w:proofErr w:type="gramStart"/>
      <w:r w:rsidRPr="00963B89">
        <w:rPr>
          <w:sz w:val="14"/>
        </w:rPr>
        <w:t>Science,  Adjunct</w:t>
      </w:r>
      <w:proofErr w:type="gramEnd"/>
      <w:r w:rsidRPr="00963B89">
        <w:rPr>
          <w:sz w:val="14"/>
        </w:rPr>
        <w:t xml:space="preserve"> Professor of History, Director of Law and Society Program, at Clark University, ‘Constitutionalism and Democracy : View of the Courts from the Hill : Interactions Between Congress and the Federal Judiciary.” University of Virginia Press, 2009, </w:t>
      </w:r>
      <w:proofErr w:type="spellStart"/>
      <w:r w:rsidRPr="00963B89">
        <w:rPr>
          <w:sz w:val="14"/>
        </w:rPr>
        <w:t>proquest</w:t>
      </w:r>
      <w:proofErr w:type="spellEnd"/>
      <w:r w:rsidRPr="00963B89">
        <w:rPr>
          <w:sz w:val="14"/>
        </w:rPr>
        <w:t xml:space="preserve">] </w:t>
      </w:r>
      <w:proofErr w:type="spellStart"/>
      <w:r w:rsidRPr="00963B89">
        <w:rPr>
          <w:sz w:val="14"/>
        </w:rPr>
        <w:t>Bschulz</w:t>
      </w:r>
      <w:proofErr w:type="spellEnd"/>
      <w:r w:rsidRPr="00963B89">
        <w:rPr>
          <w:sz w:val="14"/>
        </w:rPr>
        <w:t xml:space="preserve"> 12</w:t>
      </w:r>
    </w:p>
    <w:p w14:paraId="73334178" w14:textId="77777777" w:rsidR="00BB4026" w:rsidRPr="00963B89" w:rsidRDefault="00BB4026" w:rsidP="00BB4026">
      <w:pPr>
        <w:rPr>
          <w:sz w:val="14"/>
        </w:rPr>
      </w:pPr>
      <w:proofErr w:type="spellStart"/>
      <w:r w:rsidRPr="006A0115">
        <w:rPr>
          <w:rStyle w:val="StyleUnderline"/>
        </w:rPr>
        <w:t>Pickerill</w:t>
      </w:r>
      <w:proofErr w:type="spellEnd"/>
      <w:r w:rsidRPr="006A0115">
        <w:rPr>
          <w:rStyle w:val="StyleUnderline"/>
        </w:rPr>
        <w:t xml:space="preserve"> has found that </w:t>
      </w:r>
      <w:r w:rsidRPr="009128CA">
        <w:rPr>
          <w:rStyle w:val="StyleUnderline"/>
          <w:highlight w:val="green"/>
        </w:rPr>
        <w:t>Congress pays a great deal of attention to constitutionally based judicial decision</w:t>
      </w:r>
      <w:r w:rsidRPr="009128CA">
        <w:rPr>
          <w:sz w:val="14"/>
          <w:highlight w:val="green"/>
        </w:rPr>
        <w:t>s</w:t>
      </w:r>
      <w:r w:rsidRPr="00963B89">
        <w:rPr>
          <w:sz w:val="14"/>
        </w:rPr>
        <w:t>, at least those from the Supreme Court. Congress may not devote much time to constitutional issues in its initial debates on legislation (</w:t>
      </w:r>
      <w:proofErr w:type="spellStart"/>
      <w:r w:rsidRPr="00963B89">
        <w:rPr>
          <w:sz w:val="14"/>
        </w:rPr>
        <w:t>Pickerill</w:t>
      </w:r>
      <w:proofErr w:type="spellEnd"/>
      <w:r w:rsidRPr="00963B89">
        <w:rPr>
          <w:sz w:val="14"/>
        </w:rPr>
        <w:t xml:space="preserve"> 2004, 67), but </w:t>
      </w:r>
      <w:r w:rsidRPr="009128CA">
        <w:rPr>
          <w:rStyle w:val="StyleUnderline"/>
          <w:highlight w:val="green"/>
        </w:rPr>
        <w:t>it does respond when</w:t>
      </w:r>
      <w:r w:rsidRPr="006A0115">
        <w:rPr>
          <w:rStyle w:val="StyleUnderline"/>
        </w:rPr>
        <w:t xml:space="preserve"> the </w:t>
      </w:r>
      <w:r w:rsidRPr="009128CA">
        <w:rPr>
          <w:rStyle w:val="StyleUnderline"/>
          <w:highlight w:val="green"/>
        </w:rPr>
        <w:t>courts declare congressional actions</w:t>
      </w:r>
      <w:r w:rsidRPr="006A0115">
        <w:rPr>
          <w:rStyle w:val="StyleUnderline"/>
        </w:rPr>
        <w:t xml:space="preserve"> to be </w:t>
      </w:r>
      <w:r w:rsidRPr="009128CA">
        <w:rPr>
          <w:rStyle w:val="StyleUnderline"/>
          <w:highlight w:val="green"/>
        </w:rPr>
        <w:t>unconstitutional</w:t>
      </w:r>
      <w:r w:rsidRPr="00362F4E">
        <w:rPr>
          <w:sz w:val="14"/>
        </w:rPr>
        <w:t xml:space="preserve">. As </w:t>
      </w:r>
      <w:proofErr w:type="spellStart"/>
      <w:r w:rsidRPr="00362F4E">
        <w:rPr>
          <w:sz w:val="14"/>
        </w:rPr>
        <w:t>Pickerill</w:t>
      </w:r>
      <w:proofErr w:type="spellEnd"/>
      <w:r w:rsidRPr="00963B89">
        <w:rPr>
          <w:sz w:val="14"/>
        </w:rPr>
        <w:t xml:space="preserve"> notes, </w:t>
      </w:r>
      <w:r w:rsidRPr="006A0115">
        <w:rPr>
          <w:rStyle w:val="Emphasis"/>
        </w:rPr>
        <w:t>“</w:t>
      </w:r>
      <w:r w:rsidRPr="009128CA">
        <w:rPr>
          <w:rStyle w:val="Emphasis"/>
          <w:highlight w:val="green"/>
        </w:rPr>
        <w:t>Congress is highly responsive to Supreme Court decisions</w:t>
      </w:r>
      <w:r w:rsidRPr="009128CA">
        <w:rPr>
          <w:rStyle w:val="StyleUnderline"/>
          <w:highlight w:val="green"/>
        </w:rPr>
        <w:t xml:space="preserve"> </w:t>
      </w:r>
      <w:r w:rsidRPr="00362F4E">
        <w:rPr>
          <w:rStyle w:val="StyleUnderline"/>
        </w:rPr>
        <w:t>striking federal statutes; that is,</w:t>
      </w:r>
      <w:r w:rsidRPr="009128CA">
        <w:rPr>
          <w:rStyle w:val="StyleUnderline"/>
          <w:highlight w:val="green"/>
        </w:rPr>
        <w:t xml:space="preserve"> </w:t>
      </w:r>
      <w:r w:rsidRPr="009128CA">
        <w:rPr>
          <w:rStyle w:val="Emphasis"/>
          <w:highlight w:val="green"/>
        </w:rPr>
        <w:t xml:space="preserve">Congress usually responds formally to the Supreme Court by repassing the </w:t>
      </w:r>
      <w:r w:rsidRPr="009128CA">
        <w:rPr>
          <w:rStyle w:val="Emphasis"/>
          <w:highlight w:val="green"/>
        </w:rPr>
        <w:lastRenderedPageBreak/>
        <w:t>statute in modified</w:t>
      </w:r>
      <w:r w:rsidRPr="009648F9">
        <w:rPr>
          <w:rStyle w:val="Emphasis"/>
        </w:rPr>
        <w:t xml:space="preserve"> form, amending the Constitution, or taking other official action”</w:t>
      </w:r>
      <w:r w:rsidRPr="00963B89">
        <w:rPr>
          <w:sz w:val="14"/>
        </w:rPr>
        <w:t xml:space="preserve"> (2004, 7). </w:t>
      </w:r>
      <w:r w:rsidRPr="009648F9">
        <w:rPr>
          <w:rStyle w:val="StyleUnderline"/>
        </w:rPr>
        <w:t>“</w:t>
      </w:r>
      <w:r w:rsidRPr="009128CA">
        <w:rPr>
          <w:rStyle w:val="StyleUnderline"/>
          <w:highlight w:val="green"/>
        </w:rPr>
        <w:t>When it comes to constitutional issues</w:t>
      </w:r>
      <w:r w:rsidRPr="009648F9">
        <w:rPr>
          <w:rStyle w:val="StyleUnderline"/>
        </w:rPr>
        <w:t>,”</w:t>
      </w:r>
      <w:r w:rsidRPr="00963B89">
        <w:rPr>
          <w:sz w:val="14"/>
        </w:rPr>
        <w:t xml:space="preserve"> he concludes, </w:t>
      </w:r>
      <w:r w:rsidRPr="009648F9">
        <w:rPr>
          <w:rStyle w:val="StyleUnderline"/>
        </w:rPr>
        <w:t>“</w:t>
      </w:r>
      <w:r w:rsidRPr="009128CA">
        <w:rPr>
          <w:rStyle w:val="StyleUnderline"/>
          <w:highlight w:val="green"/>
        </w:rPr>
        <w:t>Congress is often a reactive body”</w:t>
      </w:r>
      <w:r w:rsidRPr="00963B89">
        <w:rPr>
          <w:sz w:val="14"/>
        </w:rPr>
        <w:t xml:space="preserve"> (2004, 145). </w:t>
      </w:r>
      <w:r w:rsidRPr="006A0115">
        <w:rPr>
          <w:rStyle w:val="StyleUnderline"/>
        </w:rPr>
        <w:t>Congress is certainly aware of the voice of the courts in the inter-institutional constitutional debate, although the legislative branch may not always yield to the dictates of the judicial branch.</w:t>
      </w:r>
      <w:r w:rsidRPr="00963B89">
        <w:rPr>
          <w:sz w:val="14"/>
        </w:rPr>
        <w:t xml:space="preserve"> </w:t>
      </w:r>
    </w:p>
    <w:p w14:paraId="10637F40" w14:textId="77777777" w:rsidR="00BB4026" w:rsidRPr="00963B89" w:rsidRDefault="00BB4026" w:rsidP="00BB4026">
      <w:pPr>
        <w:rPr>
          <w:sz w:val="14"/>
        </w:rPr>
      </w:pPr>
      <w:r w:rsidRPr="00963B89">
        <w:rPr>
          <w:sz w:val="14"/>
        </w:rPr>
        <w:t xml:space="preserve">The more routine interactions between Congress and the federal courts illustrate that the </w:t>
      </w:r>
      <w:r w:rsidRPr="006A0115">
        <w:rPr>
          <w:rStyle w:val="StyleUnderline"/>
        </w:rPr>
        <w:t>two institutions have very different perspectives and wills. At times, these regular interactions inevitably produce friction and tension between the two institutions.</w:t>
      </w:r>
      <w:r w:rsidRPr="00963B89">
        <w:rPr>
          <w:sz w:val="14"/>
        </w:rPr>
        <w:t xml:space="preserve"> At times, </w:t>
      </w:r>
      <w:r w:rsidRPr="006A0115">
        <w:rPr>
          <w:rStyle w:val="StyleUnderline"/>
        </w:rPr>
        <w:t xml:space="preserve">Congress </w:t>
      </w:r>
      <w:r w:rsidRPr="00943AD3">
        <w:rPr>
          <w:rStyle w:val="StyleUnderline"/>
        </w:rPr>
        <w:t>has attempted to use its institutional powers in the judicial confirmation process and in the budgetary process</w:t>
      </w:r>
      <w:r w:rsidRPr="00963B89">
        <w:rPr>
          <w:sz w:val="14"/>
        </w:rPr>
        <w:t xml:space="preserve">, among others, </w:t>
      </w:r>
      <w:r w:rsidRPr="006A0115">
        <w:rPr>
          <w:rStyle w:val="StyleUnderline"/>
        </w:rPr>
        <w:t>to help shape the direction of judicial decisions</w:t>
      </w:r>
      <w:r w:rsidRPr="00963B89">
        <w:rPr>
          <w:sz w:val="14"/>
        </w:rPr>
        <w:t xml:space="preserve">. At other times, Congress has been more direct in its attempts to guide or alter the scope of judicial decisions. </w:t>
      </w:r>
      <w:r w:rsidRPr="006A0115">
        <w:rPr>
          <w:rStyle w:val="StyleUnderline"/>
        </w:rPr>
        <w:t>Since constitutional interpretation is a continuous dialogue among the political actors in American society, these interactions between Congress and the courts will probably continue well into the future</w:t>
      </w:r>
      <w:r w:rsidRPr="00963B89">
        <w:rPr>
          <w:sz w:val="14"/>
        </w:rPr>
        <w:t xml:space="preserve">. Congress will always attempt to influence the decision making of federal judges, including the justices who sit on the U.S. Supreme Court. While this continuous conversation among the branches of government is certainly healthy, there are limits as to how far Congress should go in its attempts to influence judicial decisions. </w:t>
      </w:r>
      <w:r w:rsidRPr="001A3E5D">
        <w:rPr>
          <w:rStyle w:val="StyleUnderline"/>
        </w:rPr>
        <w:t xml:space="preserve">When Congress goes too far, the majority in Congress may get what they want in the short term, but </w:t>
      </w:r>
      <w:r w:rsidRPr="001A3E5D">
        <w:rPr>
          <w:rStyle w:val="Emphasis"/>
        </w:rPr>
        <w:t>at the expense of the fundamental principle of judicial independence</w:t>
      </w:r>
      <w:r w:rsidRPr="001A3E5D">
        <w:rPr>
          <w:rStyle w:val="StyleUnderline"/>
        </w:rPr>
        <w:t>.</w:t>
      </w:r>
      <w:r w:rsidRPr="00963B89">
        <w:rPr>
          <w:sz w:val="14"/>
        </w:rPr>
        <w:t xml:space="preserve"> Independent federal courts must remain key participants in the ongoing inter-institutional constitutional conversation.</w:t>
      </w:r>
    </w:p>
    <w:p w14:paraId="54156808" w14:textId="77777777" w:rsidR="00BB4026" w:rsidRPr="002067F8" w:rsidRDefault="00BB4026" w:rsidP="00BB4026"/>
    <w:p w14:paraId="5444D412" w14:textId="77777777" w:rsidR="00BB4026" w:rsidRPr="002067F8" w:rsidRDefault="00BB4026" w:rsidP="00BB4026">
      <w:pPr>
        <w:pStyle w:val="Heading4"/>
      </w:pPr>
      <w:r>
        <w:t>Doesn’t matter if it isn’t a thing – justices believe it is and act accordingly.</w:t>
      </w:r>
    </w:p>
    <w:p w14:paraId="6F889638" w14:textId="77777777" w:rsidR="00BB4026" w:rsidRPr="00A82289" w:rsidRDefault="00BB4026" w:rsidP="00BB4026">
      <w:pPr>
        <w:rPr>
          <w:b/>
          <w:bCs/>
          <w:sz w:val="26"/>
        </w:rPr>
      </w:pPr>
      <w:proofErr w:type="spellStart"/>
      <w:r w:rsidRPr="00A82289">
        <w:rPr>
          <w:rStyle w:val="Style13ptBold"/>
        </w:rPr>
        <w:t>Yoo</w:t>
      </w:r>
      <w:proofErr w:type="spellEnd"/>
      <w:r w:rsidRPr="00A82289">
        <w:rPr>
          <w:rStyle w:val="Style13ptBold"/>
        </w:rPr>
        <w:t xml:space="preserve"> </w:t>
      </w:r>
      <w:proofErr w:type="gramStart"/>
      <w:r w:rsidRPr="00A82289">
        <w:rPr>
          <w:rStyle w:val="Style13ptBold"/>
        </w:rPr>
        <w:t xml:space="preserve">4 </w:t>
      </w:r>
      <w:r>
        <w:rPr>
          <w:rStyle w:val="Style13ptBold"/>
        </w:rPr>
        <w:t xml:space="preserve"> </w:t>
      </w:r>
      <w:r w:rsidRPr="004C2C7E">
        <w:t>(</w:t>
      </w:r>
      <w:proofErr w:type="gramEnd"/>
      <w:r w:rsidRPr="004C2C7E">
        <w:t>John C., Professor of Law, University of Texas, Texas LR, November, 83 Tex. L. Rev. 1)</w:t>
      </w:r>
    </w:p>
    <w:p w14:paraId="65F7E0D2" w14:textId="77777777" w:rsidR="00BB4026" w:rsidRPr="00274DED" w:rsidRDefault="00BB4026" w:rsidP="00BB4026">
      <w:r w:rsidRPr="00274DED">
        <w:t xml:space="preserve">n443. This last point is quite controversial. Jesse </w:t>
      </w:r>
      <w:proofErr w:type="spellStart"/>
      <w:r w:rsidRPr="009F5972">
        <w:rPr>
          <w:rStyle w:val="StyleUnderline"/>
        </w:rPr>
        <w:t>Choper</w:t>
      </w:r>
      <w:proofErr w:type="spellEnd"/>
      <w:r w:rsidRPr="009F5972">
        <w:rPr>
          <w:rStyle w:val="StyleUnderline"/>
        </w:rPr>
        <w:t xml:space="preserve"> has argued</w:t>
      </w:r>
      <w:r w:rsidRPr="00274DED">
        <w:t xml:space="preserve">, for example, that "the people's reverence and tolerance is not infinite and </w:t>
      </w:r>
      <w:r w:rsidRPr="009128CA">
        <w:rPr>
          <w:rStyle w:val="StyleUnderline"/>
          <w:highlight w:val="green"/>
        </w:rPr>
        <w:t>the Court's</w:t>
      </w:r>
      <w:r w:rsidRPr="00274DED">
        <w:t xml:space="preserve"> public prestige and </w:t>
      </w:r>
      <w:r w:rsidRPr="00274DED">
        <w:rPr>
          <w:rStyle w:val="term"/>
        </w:rPr>
        <w:t xml:space="preserve">institutional </w:t>
      </w:r>
      <w:r w:rsidRPr="009128CA">
        <w:rPr>
          <w:rStyle w:val="StyleUnderline"/>
          <w:highlight w:val="green"/>
        </w:rPr>
        <w:t>capital is exhaustible</w:t>
      </w:r>
      <w:r w:rsidRPr="009F5972">
        <w:rPr>
          <w:rStyle w:val="StyleUnderline"/>
        </w:rPr>
        <w:t>." The judiciary's ability to strike down laws</w:t>
      </w:r>
      <w:r w:rsidRPr="00274DED">
        <w:t xml:space="preserve"> without incurring severe institutional costs, therefore, "</w:t>
      </w:r>
      <w:r w:rsidRPr="009F5972">
        <w:rPr>
          <w:rStyle w:val="StyleUnderline"/>
        </w:rPr>
        <w:t>is determined by the number and frequency of its attempts to do so, the</w:t>
      </w:r>
      <w:r w:rsidRPr="00274DED">
        <w:t xml:space="preserve"> felt importance of the policies it disapproves, and the perceived substantive correctness of its decisions." </w:t>
      </w:r>
      <w:proofErr w:type="spellStart"/>
      <w:r w:rsidRPr="00274DED">
        <w:t>Choper</w:t>
      </w:r>
      <w:proofErr w:type="spellEnd"/>
      <w:r w:rsidRPr="00274DED">
        <w:t xml:space="preserve">, supra note 35, at 139. </w:t>
      </w:r>
      <w:r w:rsidRPr="009128CA">
        <w:rPr>
          <w:rStyle w:val="StyleUnderline"/>
          <w:highlight w:val="green"/>
        </w:rPr>
        <w:t>Others</w:t>
      </w:r>
      <w:r w:rsidRPr="009F5972">
        <w:rPr>
          <w:rStyle w:val="StyleUnderline"/>
        </w:rPr>
        <w:t>,</w:t>
      </w:r>
      <w:r w:rsidRPr="00274DED">
        <w:t xml:space="preserve"> by contrast, </w:t>
      </w:r>
      <w:r w:rsidRPr="009F5972">
        <w:rPr>
          <w:rStyle w:val="StyleUnderline"/>
        </w:rPr>
        <w:t xml:space="preserve">have </w:t>
      </w:r>
      <w:r w:rsidRPr="009128CA">
        <w:rPr>
          <w:rStyle w:val="StyleUnderline"/>
          <w:highlight w:val="green"/>
        </w:rPr>
        <w:t xml:space="preserve">asserted </w:t>
      </w:r>
      <w:r w:rsidRPr="009F5972">
        <w:rPr>
          <w:rStyle w:val="StyleUnderline"/>
        </w:rPr>
        <w:t xml:space="preserve">that </w:t>
      </w:r>
      <w:r w:rsidRPr="009128CA">
        <w:rPr>
          <w:rStyle w:val="StyleUnderline"/>
          <w:highlight w:val="green"/>
        </w:rPr>
        <w:t>the Court may</w:t>
      </w:r>
      <w:r w:rsidRPr="009128CA">
        <w:rPr>
          <w:highlight w:val="green"/>
        </w:rPr>
        <w:t xml:space="preserve"> </w:t>
      </w:r>
      <w:r w:rsidRPr="00274DED">
        <w:t xml:space="preserve">- at least in some circumstances - </w:t>
      </w:r>
      <w:proofErr w:type="gramStart"/>
      <w:r w:rsidRPr="009F5972">
        <w:rPr>
          <w:rStyle w:val="StyleUnderline"/>
        </w:rPr>
        <w:t xml:space="preserve">actually </w:t>
      </w:r>
      <w:r w:rsidRPr="009128CA">
        <w:rPr>
          <w:rStyle w:val="StyleUnderline"/>
          <w:highlight w:val="green"/>
        </w:rPr>
        <w:t>enhance</w:t>
      </w:r>
      <w:proofErr w:type="gramEnd"/>
      <w:r w:rsidRPr="009128CA">
        <w:rPr>
          <w:rStyle w:val="StyleUnderline"/>
          <w:highlight w:val="green"/>
        </w:rPr>
        <w:t xml:space="preserve"> its legitimacy by </w:t>
      </w:r>
      <w:r w:rsidRPr="009F5972">
        <w:rPr>
          <w:rStyle w:val="StyleUnderline"/>
        </w:rPr>
        <w:t xml:space="preserve">actively </w:t>
      </w:r>
      <w:r w:rsidRPr="009128CA">
        <w:rPr>
          <w:rStyle w:val="StyleUnderline"/>
          <w:highlight w:val="green"/>
        </w:rPr>
        <w:t>confronting the political branches</w:t>
      </w:r>
      <w:r w:rsidRPr="00274DED">
        <w:t xml:space="preserve">. See, e.g., Peter M. Shane, Rights, Remedies and Restraint, </w:t>
      </w:r>
      <w:hyperlink r:id="rId12" w:tgtFrame="_parent" w:history="1">
        <w:r w:rsidRPr="00274DED">
          <w:t>64 Chi.-Kent L. Rev. 531, 546 (1988)</w:t>
        </w:r>
      </w:hyperlink>
      <w:r w:rsidRPr="00274DED">
        <w:t xml:space="preserve"> (suggesting that, in some cases, the </w:t>
      </w:r>
      <w:r w:rsidRPr="00274DED">
        <w:rPr>
          <w:rStyle w:val="term"/>
        </w:rPr>
        <w:t>Court</w:t>
      </w:r>
      <w:r w:rsidRPr="00274DED">
        <w:t xml:space="preserve"> may enhance its legitimacy through opposing the political branches). </w:t>
      </w:r>
      <w:r w:rsidRPr="009128CA">
        <w:rPr>
          <w:rStyle w:val="StyleUnderline"/>
          <w:highlight w:val="green"/>
        </w:rPr>
        <w:t>It would be exceptionally difficult to verify</w:t>
      </w:r>
      <w:r w:rsidRPr="009F5972">
        <w:rPr>
          <w:rStyle w:val="StyleUnderline"/>
        </w:rPr>
        <w:t xml:space="preserve"> either proposition empirically; </w:t>
      </w:r>
      <w:r w:rsidRPr="009128CA">
        <w:rPr>
          <w:rStyle w:val="StyleUnderline"/>
          <w:highlight w:val="green"/>
        </w:rPr>
        <w:t xml:space="preserve">about all that can be said with confidence is that the Court sometimes seems to behave as if it thinks its "institutional capital" is limited in </w:t>
      </w:r>
      <w:r w:rsidRPr="009128CA">
        <w:rPr>
          <w:rStyle w:val="StyleUnderline"/>
          <w:highlight w:val="green"/>
        </w:rPr>
        <w:lastRenderedPageBreak/>
        <w:t>this way, and the notion may at least constrain judicial behavior in this sense</w:t>
      </w:r>
      <w:r w:rsidRPr="009F5972">
        <w:rPr>
          <w:rStyle w:val="StyleUnderline"/>
        </w:rPr>
        <w:t>.</w:t>
      </w:r>
      <w:r w:rsidRPr="00274DED">
        <w:t xml:space="preserve"> See Young, State Sovereign Immunity, supra note 92, at 58-60.</w:t>
      </w:r>
    </w:p>
    <w:p w14:paraId="7178C981" w14:textId="77777777" w:rsidR="00BB4026" w:rsidRDefault="00BB4026" w:rsidP="00BB4026"/>
    <w:p w14:paraId="618DCEC5" w14:textId="77777777" w:rsidR="00CB7575" w:rsidRPr="00CB7575" w:rsidRDefault="00CB7575" w:rsidP="00CB7575"/>
    <w:sectPr w:rsidR="00CB7575" w:rsidRPr="00CB757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4E02C" w14:textId="77777777" w:rsidR="00561C75" w:rsidRDefault="00561C75" w:rsidP="00CB7575">
      <w:pPr>
        <w:spacing w:after="0" w:line="240" w:lineRule="auto"/>
      </w:pPr>
      <w:r>
        <w:separator/>
      </w:r>
    </w:p>
  </w:endnote>
  <w:endnote w:type="continuationSeparator" w:id="0">
    <w:p w14:paraId="771E107A" w14:textId="77777777" w:rsidR="00561C75" w:rsidRDefault="00561C75" w:rsidP="00CB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247A9" w14:textId="77777777" w:rsidR="00561C75" w:rsidRDefault="00561C75" w:rsidP="00CB7575">
      <w:pPr>
        <w:spacing w:after="0" w:line="240" w:lineRule="auto"/>
      </w:pPr>
      <w:r>
        <w:separator/>
      </w:r>
    </w:p>
  </w:footnote>
  <w:footnote w:type="continuationSeparator" w:id="0">
    <w:p w14:paraId="0CB3C589" w14:textId="77777777" w:rsidR="00561C75" w:rsidRDefault="00561C75" w:rsidP="00CB7575">
      <w:pPr>
        <w:spacing w:after="0" w:line="240" w:lineRule="auto"/>
      </w:pPr>
      <w:r>
        <w:continuationSeparator/>
      </w:r>
    </w:p>
  </w:footnote>
  <w:footnote w:id="1">
    <w:p w14:paraId="129FC6DC" w14:textId="77777777" w:rsidR="00DB13CD" w:rsidRPr="00752E9C" w:rsidRDefault="00DB13CD" w:rsidP="00DB13C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69CA83C" w14:textId="77777777" w:rsidR="00DB13CD" w:rsidRPr="00855FDC" w:rsidRDefault="00DB13CD" w:rsidP="00DB13C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05C89EB" w14:textId="77777777" w:rsidR="00DB13CD" w:rsidRDefault="00DB13CD" w:rsidP="00DB13CD">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5923E4F8" w14:textId="77777777" w:rsidR="00DB13CD" w:rsidRDefault="00DB13CD" w:rsidP="00DB13CD">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5113EDD0" w14:textId="77777777" w:rsidR="00DB13CD" w:rsidRDefault="00DB13CD" w:rsidP="00DB13CD">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049717BD" w14:textId="77777777" w:rsidR="00DB13CD" w:rsidRDefault="00DB13CD" w:rsidP="00DB13CD">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3376529A" w14:textId="77777777" w:rsidR="00DB13CD" w:rsidRDefault="00DB13CD" w:rsidP="00DB13CD">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5D4BA679" w14:textId="77777777" w:rsidR="00DB13CD" w:rsidRDefault="00DB13CD" w:rsidP="00DB13CD">
      <w:pPr>
        <w:pStyle w:val="FootnoteText"/>
      </w:pPr>
      <w:r>
        <w:t xml:space="preserve"> </w:t>
      </w:r>
    </w:p>
  </w:footnote>
  <w:footnote w:id="8">
    <w:p w14:paraId="3A3E6991" w14:textId="77777777" w:rsidR="00DB13CD" w:rsidRDefault="00DB13CD" w:rsidP="00DB13CD">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0764B1F3" w14:textId="77777777" w:rsidR="00DB13CD" w:rsidRDefault="00DB13CD" w:rsidP="00DB13CD">
      <w:pPr>
        <w:pStyle w:val="FootnoteText"/>
      </w:pPr>
    </w:p>
  </w:footnote>
  <w:footnote w:id="9">
    <w:p w14:paraId="3D0B7BB0" w14:textId="77777777" w:rsidR="00DB13CD" w:rsidRDefault="00DB13CD" w:rsidP="00DB13CD">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1838"/>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1838"/>
    <w:rsid w:val="000638C1"/>
    <w:rsid w:val="00065FEE"/>
    <w:rsid w:val="00066E3C"/>
    <w:rsid w:val="0007154B"/>
    <w:rsid w:val="00072718"/>
    <w:rsid w:val="0007381E"/>
    <w:rsid w:val="00076094"/>
    <w:rsid w:val="0008785F"/>
    <w:rsid w:val="00090CBE"/>
    <w:rsid w:val="00094B28"/>
    <w:rsid w:val="00094DEC"/>
    <w:rsid w:val="000A2D8A"/>
    <w:rsid w:val="000A68D2"/>
    <w:rsid w:val="000D26A6"/>
    <w:rsid w:val="000D2B90"/>
    <w:rsid w:val="000D6ED8"/>
    <w:rsid w:val="000D717B"/>
    <w:rsid w:val="000F00E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27D"/>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2369"/>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61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0FFF"/>
    <w:rsid w:val="005519C2"/>
    <w:rsid w:val="005523E0"/>
    <w:rsid w:val="0055320F"/>
    <w:rsid w:val="0055699B"/>
    <w:rsid w:val="0056020A"/>
    <w:rsid w:val="00561C75"/>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128CA"/>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402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B75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BBC"/>
    <w:rsid w:val="00D713A1"/>
    <w:rsid w:val="00D77956"/>
    <w:rsid w:val="00D80F0C"/>
    <w:rsid w:val="00D92077"/>
    <w:rsid w:val="00D951E2"/>
    <w:rsid w:val="00D9565A"/>
    <w:rsid w:val="00DB13CD"/>
    <w:rsid w:val="00DB2337"/>
    <w:rsid w:val="00DB50C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CC6"/>
    <w:rsid w:val="00F94060"/>
    <w:rsid w:val="00FA56F6"/>
    <w:rsid w:val="00FA5ED4"/>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EC005"/>
  <w14:defaultImageDpi w14:val="300"/>
  <w15:docId w15:val="{525DB6CE-7D78-9343-8AEC-E1BF076F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18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18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18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18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B T"/>
    <w:basedOn w:val="Normal"/>
    <w:next w:val="Normal"/>
    <w:link w:val="Heading4Char"/>
    <w:uiPriority w:val="9"/>
    <w:unhideWhenUsed/>
    <w:qFormat/>
    <w:rsid w:val="000618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18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838"/>
  </w:style>
  <w:style w:type="character" w:customStyle="1" w:styleId="Heading1Char">
    <w:name w:val="Heading 1 Char"/>
    <w:aliases w:val="Pocket Char"/>
    <w:basedOn w:val="DefaultParagraphFont"/>
    <w:link w:val="Heading1"/>
    <w:uiPriority w:val="9"/>
    <w:rsid w:val="000618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18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183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0618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183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61838"/>
    <w:rPr>
      <w:b/>
      <w:sz w:val="26"/>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06183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6183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061838"/>
    <w:rPr>
      <w:color w:val="auto"/>
      <w:u w:val="none"/>
    </w:rPr>
  </w:style>
  <w:style w:type="paragraph" w:styleId="DocumentMap">
    <w:name w:val="Document Map"/>
    <w:basedOn w:val="Normal"/>
    <w:link w:val="DocumentMapChar"/>
    <w:uiPriority w:val="99"/>
    <w:semiHidden/>
    <w:unhideWhenUsed/>
    <w:rsid w:val="000618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1838"/>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CB7575"/>
    <w:rPr>
      <w:vertAlign w:val="superscript"/>
    </w:rPr>
  </w:style>
  <w:style w:type="paragraph" w:styleId="FootnoteText">
    <w:name w:val="footnote text"/>
    <w:basedOn w:val="Normal"/>
    <w:link w:val="FootnoteTextChar"/>
    <w:uiPriority w:val="99"/>
    <w:unhideWhenUsed/>
    <w:qFormat/>
    <w:rsid w:val="00CB7575"/>
    <w:pPr>
      <w:spacing w:after="0" w:line="240" w:lineRule="auto"/>
    </w:pPr>
    <w:rPr>
      <w:sz w:val="24"/>
    </w:rPr>
  </w:style>
  <w:style w:type="character" w:customStyle="1" w:styleId="FootnoteTextChar">
    <w:name w:val="Footnote Text Char"/>
    <w:basedOn w:val="DefaultParagraphFont"/>
    <w:link w:val="FootnoteText"/>
    <w:uiPriority w:val="99"/>
    <w:rsid w:val="00CB7575"/>
    <w:rPr>
      <w:rFonts w:ascii="Calibri" w:hAnsi="Calibri" w:cs="Calibri"/>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CB7575"/>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32369"/>
    <w:pPr>
      <w:ind w:left="720"/>
      <w:jc w:val="both"/>
    </w:pPr>
    <w:rPr>
      <w:b/>
      <w:iCs/>
      <w:sz w:val="26"/>
      <w:u w:val="single"/>
      <w:bdr w:val="single" w:sz="12" w:space="0" w:color="auto"/>
    </w:rPr>
  </w:style>
  <w:style w:type="paragraph" w:customStyle="1" w:styleId="UnderlinePara">
    <w:name w:val="Underline Para"/>
    <w:basedOn w:val="Normal"/>
    <w:uiPriority w:val="1"/>
    <w:qFormat/>
    <w:rsid w:val="00BB4026"/>
    <w:pPr>
      <w:widowControl w:val="0"/>
      <w:suppressAutoHyphens/>
      <w:spacing w:after="200"/>
      <w:contextualSpacing/>
    </w:pPr>
    <w:rPr>
      <w:rFonts w:asciiTheme="minorHAnsi" w:hAnsiTheme="minorHAnsi" w:cstheme="minorBidi"/>
      <w:b/>
      <w:sz w:val="26"/>
      <w:u w:val="single"/>
    </w:rPr>
  </w:style>
  <w:style w:type="paragraph" w:customStyle="1" w:styleId="CiteSpacing">
    <w:name w:val="Cite Spacing"/>
    <w:basedOn w:val="Normal"/>
    <w:uiPriority w:val="4"/>
    <w:qFormat/>
    <w:rsid w:val="00BB4026"/>
    <w:pPr>
      <w:spacing w:before="60" w:after="60"/>
    </w:pPr>
    <w:rPr>
      <w:rFonts w:eastAsiaTheme="minorHAnsi"/>
      <w:szCs w:val="22"/>
    </w:rPr>
  </w:style>
  <w:style w:type="paragraph" w:customStyle="1" w:styleId="Cards">
    <w:name w:val="Cards"/>
    <w:basedOn w:val="Normal"/>
    <w:next w:val="Normal"/>
    <w:link w:val="CardsChar"/>
    <w:rsid w:val="00BB4026"/>
    <w:pPr>
      <w:spacing w:after="0" w:line="240" w:lineRule="auto"/>
      <w:ind w:left="432" w:right="432"/>
      <w:jc w:val="both"/>
    </w:pPr>
    <w:rPr>
      <w:rFonts w:ascii="Times New Roman" w:eastAsia="Arial Unicode MS" w:hAnsi="Times New Roman" w:cs="Times New Roman"/>
      <w:sz w:val="20"/>
      <w:szCs w:val="20"/>
    </w:rPr>
  </w:style>
  <w:style w:type="character" w:customStyle="1" w:styleId="CardsChar">
    <w:name w:val="Cards Char"/>
    <w:basedOn w:val="DefaultParagraphFont"/>
    <w:link w:val="Cards"/>
    <w:rsid w:val="00BB4026"/>
    <w:rPr>
      <w:rFonts w:ascii="Times New Roman" w:eastAsia="Arial Unicode MS" w:hAnsi="Times New Roman" w:cs="Times New Roman"/>
      <w:sz w:val="20"/>
      <w:szCs w:val="20"/>
    </w:rPr>
  </w:style>
  <w:style w:type="character" w:styleId="UnresolvedMention">
    <w:name w:val="Unresolved Mention"/>
    <w:basedOn w:val="DefaultParagraphFont"/>
    <w:uiPriority w:val="99"/>
    <w:semiHidden/>
    <w:unhideWhenUsed/>
    <w:rsid w:val="00BB4026"/>
    <w:rPr>
      <w:color w:val="605E5C"/>
      <w:shd w:val="clear" w:color="auto" w:fill="E1DFDD"/>
    </w:rPr>
  </w:style>
  <w:style w:type="paragraph" w:styleId="ListParagraph">
    <w:name w:val="List Paragraph"/>
    <w:basedOn w:val="Normal"/>
    <w:uiPriority w:val="34"/>
    <w:qFormat/>
    <w:rsid w:val="00BB4026"/>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BB4026"/>
    <w:pPr>
      <w:autoSpaceDE w:val="0"/>
      <w:autoSpaceDN w:val="0"/>
      <w:adjustRightInd w:val="0"/>
      <w:spacing w:before="480" w:line="254" w:lineRule="auto"/>
      <w:ind w:left="432" w:right="432"/>
      <w:jc w:val="both"/>
    </w:pPr>
    <w:rPr>
      <w:rFonts w:asciiTheme="minorHAnsi" w:hAnsiTheme="minorHAnsi"/>
      <w:u w:val="single"/>
    </w:rPr>
  </w:style>
  <w:style w:type="character" w:customStyle="1" w:styleId="TitleChar">
    <w:name w:val="Title Char"/>
    <w:basedOn w:val="DefaultParagraphFont"/>
    <w:link w:val="Title"/>
    <w:uiPriority w:val="6"/>
    <w:qFormat/>
    <w:rsid w:val="00BB4026"/>
    <w:rPr>
      <w:u w:val="single"/>
    </w:rPr>
  </w:style>
  <w:style w:type="paragraph" w:styleId="Title">
    <w:name w:val="Title"/>
    <w:basedOn w:val="Normal"/>
    <w:link w:val="TitleChar"/>
    <w:uiPriority w:val="6"/>
    <w:qFormat/>
    <w:rsid w:val="00BB4026"/>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BB402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BB402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term">
    <w:name w:val="term"/>
    <w:basedOn w:val="DefaultParagraphFont"/>
    <w:rsid w:val="00BB4026"/>
  </w:style>
  <w:style w:type="paragraph" w:customStyle="1" w:styleId="Nothing">
    <w:name w:val="Nothing"/>
    <w:link w:val="NothingChar"/>
    <w:qFormat/>
    <w:rsid w:val="00BB4026"/>
    <w:rPr>
      <w:rFonts w:ascii="Arial" w:eastAsia="Times New Roman" w:hAnsi="Arial" w:cs="Times New Roman"/>
      <w:sz w:val="20"/>
    </w:rPr>
  </w:style>
  <w:style w:type="character" w:customStyle="1" w:styleId="NothingChar">
    <w:name w:val="Nothing Char"/>
    <w:link w:val="Nothing"/>
    <w:rsid w:val="00BB4026"/>
    <w:rPr>
      <w:rFonts w:ascii="Arial" w:eastAsia="Times New Roman" w:hAnsi="Arial" w:cs="Times New Roman"/>
      <w:sz w:val="20"/>
    </w:rPr>
  </w:style>
  <w:style w:type="character" w:customStyle="1" w:styleId="normaltextrun">
    <w:name w:val="normaltextrun"/>
    <w:basedOn w:val="DefaultParagraphFont"/>
    <w:rsid w:val="00BB4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xis.com/research/buttonTFLink?_m=11cba94a2e0463ed82e517fc38fdbd65&amp;_xfercite=%3ccite%20cc%3d%22USA%22%3e%3c%21%5bCDATA%5b83%20Tex.%20L.%20Rev.%201%5d%5d%3e%3c%2fcite%3e&amp;_butType=3&amp;_butStat=2&amp;_butNum=1258&amp;_butInline=1&amp;_butinfo=%3ccite%20cc%3d%22USA%22%3e%3c%21%5bCDATA%5b64%20Chi.-Kent.%20L.%20Rev.%20531%2cat%20546%5d%5d%3e%3c%2fcite%3e&amp;_fmtstr=FULL&amp;docnum=68&amp;_startdoc=51&amp;wchp=dGLbVzb-zSkAl&amp;_md5=0f60d59f3a3132dcd480986426f03e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177/203195252199441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14</Pages>
  <Words>4437</Words>
  <Characters>25293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13</cp:revision>
  <dcterms:created xsi:type="dcterms:W3CDTF">2021-11-21T23:56:00Z</dcterms:created>
  <dcterms:modified xsi:type="dcterms:W3CDTF">2021-11-22T13:20:00Z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