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5C35F" w14:textId="77777777" w:rsidR="002D6655" w:rsidRDefault="002D6655" w:rsidP="002D6655">
      <w:pPr>
        <w:pStyle w:val="Heading2"/>
      </w:pPr>
      <w:r>
        <w:t>1</w:t>
      </w:r>
    </w:p>
    <w:p w14:paraId="5AA4F9F0" w14:textId="77777777" w:rsidR="002D6655" w:rsidRPr="00F4330B" w:rsidRDefault="002D6655" w:rsidP="002D6655">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061551A5" w14:textId="77777777" w:rsidR="002D6655" w:rsidRPr="001B13D8" w:rsidRDefault="002D6655" w:rsidP="002D6655">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7AE9D82B" w14:textId="77777777" w:rsidR="002D6655" w:rsidRPr="001B13D8" w:rsidRDefault="002D6655" w:rsidP="002D6655">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7816D06B" w14:textId="77777777" w:rsidR="002D6655" w:rsidRPr="001B13D8" w:rsidRDefault="002D6655" w:rsidP="002D6655">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1E46A12B" w14:textId="77777777" w:rsidR="002D6655" w:rsidRDefault="002D6655" w:rsidP="002D6655">
      <w:pPr>
        <w:rPr>
          <w:rFonts w:asciiTheme="minorHAnsi" w:hAnsiTheme="minorHAnsi" w:cstheme="minorHAnsi"/>
          <w:sz w:val="12"/>
          <w:szCs w:val="16"/>
        </w:rPr>
      </w:pPr>
      <w:r w:rsidRPr="001B13D8">
        <w:rPr>
          <w:rFonts w:asciiTheme="minorHAnsi" w:hAnsiTheme="minorHAnsi" w:cstheme="minorHAnsi"/>
          <w:u w:val="single"/>
        </w:rPr>
        <w:t>Definition of the word “</w:t>
      </w:r>
      <w:r w:rsidRPr="006F2B9F">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F2B9F">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F2B9F">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16A1B1AF" w14:textId="77777777" w:rsidR="002D6655" w:rsidRDefault="002D6655" w:rsidP="002D6655">
      <w:pPr>
        <w:pStyle w:val="Heading4"/>
      </w:pPr>
      <w:r>
        <w:t>[</w:t>
      </w:r>
      <w:r w:rsidRPr="006F2B9F">
        <w:rPr>
          <w:highlight w:val="green"/>
        </w:rPr>
        <w:t>4</w:t>
      </w:r>
      <w:r>
        <w:t>] Standards to Prefer:</w:t>
      </w:r>
    </w:p>
    <w:p w14:paraId="764650C2" w14:textId="12D47113" w:rsidR="002D6655" w:rsidRDefault="002D6655" w:rsidP="002D6655">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w:t>
      </w:r>
    </w:p>
    <w:p w14:paraId="7B0299F9" w14:textId="77777777" w:rsidR="0065349E" w:rsidRPr="0065349E" w:rsidRDefault="0065349E" w:rsidP="0065349E"/>
    <w:p w14:paraId="02951845" w14:textId="77777777" w:rsidR="002D6655" w:rsidRDefault="002D6655" w:rsidP="002D6655">
      <w:pPr>
        <w:pStyle w:val="Heading4"/>
      </w:pPr>
      <w:r>
        <w:t xml:space="preserve">Fairness turns the Aff – 1] Solutions to status quo unfairness should not be to remove them for all but work to ensure that fairness in </w:t>
      </w:r>
      <w:r>
        <w:rPr>
          <w:u w:val="single"/>
        </w:rPr>
        <w:t>every instance</w:t>
      </w:r>
      <w:r>
        <w:t xml:space="preserve"> is remedied and 2] An unlimited topic </w:t>
      </w:r>
      <w:r>
        <w:rPr>
          <w:u w:val="single"/>
        </w:rPr>
        <w:t>hurts</w:t>
      </w:r>
      <w:r>
        <w:t xml:space="preserve"> low-income and minority debaters by allowing big schools infinite capacity to break non-T Affs – for people who </w:t>
      </w:r>
      <w:r>
        <w:rPr>
          <w:u w:val="single"/>
        </w:rPr>
        <w:t>can’t afford</w:t>
      </w:r>
      <w:r>
        <w:t xml:space="preserve"> to work on debate full-time due to income concerns, their interp says unless you prep out </w:t>
      </w:r>
      <w:r>
        <w:rPr>
          <w:u w:val="single"/>
        </w:rPr>
        <w:t>every possible Aff</w:t>
      </w:r>
      <w:r>
        <w:t>, you will always lose.</w:t>
      </w:r>
    </w:p>
    <w:p w14:paraId="2CD0B0DC" w14:textId="77777777" w:rsidR="002D6655" w:rsidRDefault="002D6655" w:rsidP="002D6655"/>
    <w:p w14:paraId="5D1DBEB1" w14:textId="77777777" w:rsidR="002D6655" w:rsidRPr="00F520E9" w:rsidRDefault="002D6655" w:rsidP="002D6655">
      <w:pPr>
        <w:pStyle w:val="Heading4"/>
      </w:pPr>
      <w:r w:rsidRPr="00F520E9">
        <w:lastRenderedPageBreak/>
        <w:t xml:space="preserve">Fairness, </w:t>
      </w:r>
      <w:r w:rsidRPr="00F520E9">
        <w:tab/>
      </w:r>
    </w:p>
    <w:p w14:paraId="592963D1" w14:textId="77777777" w:rsidR="002D6655" w:rsidRPr="00F520E9" w:rsidRDefault="002D6655" w:rsidP="002D6655">
      <w:pPr>
        <w:pStyle w:val="Heading4"/>
      </w:pPr>
      <w:r w:rsidRPr="00F520E9">
        <w:t xml:space="preserve">1] </w:t>
      </w:r>
      <w:proofErr w:type="spellStart"/>
      <w:r w:rsidRPr="00F520E9">
        <w:t>its</w:t>
      </w:r>
      <w:proofErr w:type="spellEnd"/>
      <w:r w:rsidRPr="00F520E9">
        <w:t xml:space="preserve"> an independent impact and prior to the aff intrinsically true in the context of a competitive activity, before you feel comfortable voting aff, you should determine the fair basis to adjudicate substance its contradictory to vote on fairness bad you have no obligation to evaluate their arguments or conclude the aff is a good idea, which proves the lack of fairness renders the activity incoherent</w:t>
      </w:r>
    </w:p>
    <w:p w14:paraId="23E728C3" w14:textId="5246D78B" w:rsidR="002D6655" w:rsidRPr="00F520E9" w:rsidRDefault="002D6655" w:rsidP="002D6655">
      <w:pPr>
        <w:pStyle w:val="Heading4"/>
      </w:pPr>
      <w:r w:rsidRPr="00F520E9">
        <w:t xml:space="preserve">2] Scope, it’s the only impact you can solve for, voting for them doesn’t resolve </w:t>
      </w:r>
      <w:proofErr w:type="spellStart"/>
      <w:r w:rsidR="00610B83">
        <w:t>antiasianness</w:t>
      </w:r>
      <w:proofErr w:type="spellEnd"/>
      <w:r w:rsidRPr="00F520E9">
        <w:t xml:space="preserve"> in debate but voting for T remedies procedural inequalities caused by their aff </w:t>
      </w:r>
    </w:p>
    <w:p w14:paraId="76138087" w14:textId="77777777" w:rsidR="002D6655" w:rsidRPr="00F520E9" w:rsidRDefault="002D6655" w:rsidP="002D6655">
      <w:pPr>
        <w:pStyle w:val="Heading4"/>
      </w:pPr>
      <w:r w:rsidRPr="00F520E9">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6536A404" w14:textId="77777777" w:rsidR="002D6655" w:rsidRPr="00A10C56" w:rsidRDefault="002D6655" w:rsidP="002D6655"/>
    <w:p w14:paraId="7C3F19B9" w14:textId="77777777" w:rsidR="002D6655" w:rsidRDefault="002D6655" w:rsidP="002D6655">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1BCABA1B" w14:textId="77777777" w:rsidR="002D6655" w:rsidRPr="00A10C56" w:rsidRDefault="002D6655" w:rsidP="002D6655"/>
    <w:p w14:paraId="4B5266DD" w14:textId="3E412D43" w:rsidR="002D6655" w:rsidRDefault="002D6655" w:rsidP="002D6655">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w:t>
      </w:r>
      <w:proofErr w:type="gramStart"/>
      <w:r>
        <w:t>solves</w:t>
      </w:r>
      <w:proofErr w:type="gramEnd"/>
      <w:r>
        <w:t xml:space="preserve">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65722BCB" w14:textId="6806FD62" w:rsidR="002247A6" w:rsidRDefault="002247A6" w:rsidP="002247A6"/>
    <w:p w14:paraId="28F5AE75" w14:textId="77777777" w:rsidR="002247A6" w:rsidRDefault="002247A6" w:rsidP="002247A6">
      <w:pPr>
        <w:pStyle w:val="Heading4"/>
        <w:spacing w:before="0"/>
        <w:rPr>
          <w:rFonts w:ascii="Times New Roman" w:hAnsi="Times New Roman"/>
        </w:rPr>
      </w:pPr>
      <w:r>
        <w:rPr>
          <w:rFonts w:cs="Calibri"/>
        </w:rPr>
        <w:lastRenderedPageBreak/>
        <w:t>Fiat is not "coercive mimeticism" but a pragmatic engagement with the law that embraces multiple consciousness – that’s to material changes, no matter how small. Independently, affirming the "Asian American" as a static category is bad BUT deconstruction thru pragmatic struggle solves.</w:t>
      </w:r>
    </w:p>
    <w:p w14:paraId="743295A5" w14:textId="77777777" w:rsidR="002247A6" w:rsidRDefault="002247A6" w:rsidP="002247A6">
      <w:pPr>
        <w:pStyle w:val="NormalWeb"/>
        <w:spacing w:before="15" w:after="180"/>
      </w:pPr>
      <w:r>
        <w:rPr>
          <w:rFonts w:ascii="Calibri" w:hAnsi="Calibri" w:cs="Calibri"/>
          <w:b/>
          <w:bCs/>
          <w:sz w:val="26"/>
          <w:szCs w:val="26"/>
        </w:rPr>
        <w:t>Chang, 93</w:t>
      </w:r>
      <w:r>
        <w:rPr>
          <w:rFonts w:ascii="Calibri" w:hAnsi="Calibri" w:cs="Calibri"/>
          <w:sz w:val="22"/>
        </w:rPr>
        <w:t> </w:t>
      </w:r>
      <w:r>
        <w:rPr>
          <w:rFonts w:ascii="Calibri" w:hAnsi="Calibri" w:cs="Calibri"/>
          <w:b/>
          <w:bCs/>
          <w:sz w:val="20"/>
          <w:szCs w:val="20"/>
        </w:rPr>
        <w:t xml:space="preserve">(Robert S. Chang, serves on the advisory board of Berkeley’s Asian American Law, October 1993, accessed on 2-13-2021, </w:t>
      </w:r>
      <w:r>
        <w:rPr>
          <w:rFonts w:ascii="Calibri" w:hAnsi="Calibri" w:cs="Calibri"/>
          <w:b/>
          <w:bCs/>
          <w:i/>
          <w:iCs/>
          <w:sz w:val="22"/>
        </w:rPr>
        <w:t>California Law Review</w:t>
      </w:r>
      <w:r>
        <w:rPr>
          <w:rFonts w:ascii="Calibri" w:hAnsi="Calibri" w:cs="Calibri"/>
          <w:b/>
          <w:bCs/>
          <w:sz w:val="20"/>
          <w:szCs w:val="20"/>
        </w:rPr>
        <w:t xml:space="preserve">, "Toward an Asian American Legal Scholarship: Critical Race Theory, Post-structuralism, and Narrative Space", https://digitalcommons.law.seattleu.edu/faculty/411/) //lex </w:t>
      </w:r>
      <w:proofErr w:type="spellStart"/>
      <w:r>
        <w:rPr>
          <w:rFonts w:ascii="Calibri" w:hAnsi="Calibri" w:cs="Calibri"/>
          <w:b/>
          <w:bCs/>
          <w:sz w:val="20"/>
          <w:szCs w:val="20"/>
        </w:rPr>
        <w:t>dy</w:t>
      </w:r>
      <w:proofErr w:type="spellEnd"/>
    </w:p>
    <w:p w14:paraId="6F33955B" w14:textId="4BC83E0E" w:rsidR="002247A6" w:rsidRPr="002247A6" w:rsidRDefault="002247A6" w:rsidP="002247A6">
      <w:r w:rsidRPr="006D1DD2">
        <w:rPr>
          <w:rStyle w:val="StyleUnderline"/>
        </w:rPr>
        <w:t xml:space="preserve">We see, then, that though there is power in affirming </w:t>
      </w:r>
      <w:r w:rsidRPr="006F2B9F">
        <w:rPr>
          <w:rStyle w:val="Emphasis"/>
          <w:highlight w:val="green"/>
        </w:rPr>
        <w:t>the category Asian American</w:t>
      </w:r>
      <w:r w:rsidRPr="006D1DD2">
        <w:rPr>
          <w:rStyle w:val="StyleUnderline"/>
        </w:rPr>
        <w:t xml:space="preserve">, the category </w:t>
      </w:r>
      <w:r w:rsidRPr="006F2B9F">
        <w:rPr>
          <w:rStyle w:val="Emphasis"/>
          <w:highlight w:val="green"/>
        </w:rPr>
        <w:t>is</w:t>
      </w:r>
      <w:r w:rsidRPr="006D1DD2">
        <w:rPr>
          <w:rStyle w:val="StyleUnderline"/>
        </w:rPr>
        <w:t xml:space="preserve"> also </w:t>
      </w:r>
      <w:r w:rsidRPr="006F2B9F">
        <w:rPr>
          <w:rStyle w:val="Emphasis"/>
          <w:highlight w:val="green"/>
        </w:rPr>
        <w:t>limiting</w:t>
      </w:r>
      <w:r w:rsidRPr="006D1DD2">
        <w:rPr>
          <w:rStyle w:val="StyleUnderline"/>
        </w:rPr>
        <w:t xml:space="preserve">, especially </w:t>
      </w:r>
      <w:r w:rsidRPr="006F2B9F">
        <w:rPr>
          <w:rStyle w:val="Emphasis"/>
          <w:highlight w:val="green"/>
        </w:rPr>
        <w:t>because it remains defined in terms of the dominant group</w:t>
      </w:r>
      <w:r w:rsidRPr="006D1DD2">
        <w:rPr>
          <w:rStyle w:val="StyleUnderline"/>
        </w:rPr>
        <w:t xml:space="preserve">.414 </w:t>
      </w:r>
      <w:r w:rsidRPr="000B72E1">
        <w:rPr>
          <w:rStyle w:val="Emphasis"/>
        </w:rPr>
        <w:t xml:space="preserve">As long as our identity is defined </w:t>
      </w:r>
      <w:proofErr w:type="spellStart"/>
      <w:r w:rsidRPr="000B72E1">
        <w:rPr>
          <w:rStyle w:val="Emphasis"/>
        </w:rPr>
        <w:t>oppositionally</w:t>
      </w:r>
      <w:proofErr w:type="spellEnd"/>
      <w:r w:rsidRPr="000B72E1">
        <w:rPr>
          <w:rStyle w:val="StyleUnderline"/>
        </w:rPr>
        <w:t xml:space="preserve"> or in contradistinction to others, </w:t>
      </w:r>
      <w:r w:rsidRPr="000B72E1">
        <w:rPr>
          <w:rStyle w:val="Emphasis"/>
        </w:rPr>
        <w:t>we are</w:t>
      </w:r>
      <w:r w:rsidRPr="000B72E1">
        <w:rPr>
          <w:rStyle w:val="StyleUnderline"/>
        </w:rPr>
        <w:t xml:space="preserve"> still </w:t>
      </w:r>
      <w:r w:rsidRPr="000B72E1">
        <w:rPr>
          <w:rStyle w:val="Emphasis"/>
        </w:rPr>
        <w:t>enslaved</w:t>
      </w:r>
      <w:r w:rsidRPr="000B72E1">
        <w:rPr>
          <w:rStyle w:val="StyleUnderline"/>
        </w:rPr>
        <w:t xml:space="preserve"> to a degree. That the term "Asian American" can be an oppressive</w:t>
      </w:r>
      <w:r w:rsidRPr="006D1DD2">
        <w:rPr>
          <w:rStyle w:val="StyleUnderline"/>
        </w:rPr>
        <w:t xml:space="preserve"> categorization is the starting point of the third branch of Asian American Legal Scholarship-post-structuralism-which deconstructs the category "Asian American," emancipating us from its limits. Only when we are free of it can we be free to give ourselves our own identity.415</w:t>
      </w:r>
      <w:r>
        <w:t xml:space="preserve"> Only in this way can we be free to embrace our identity rather than having our identity thrust upon us from the outside.416 The question becomes whether Asian American Legal Scholarship can survive this post-structural deconstruction of the category "Asian American."417 </w:t>
      </w:r>
      <w:r w:rsidRPr="006D1DD2">
        <w:rPr>
          <w:rStyle w:val="StyleUnderline"/>
        </w:rPr>
        <w:t xml:space="preserve">If a full post-structural critique deconstructs all categories, including race, then once the category "Asian American" is deconstructed, so the question goes, how can it any longer serve as a useful category? This critique misunderstands deconstruction. Part of the problem lies in the word "deconstruction" which implies a breaking down or breaking apart.418 </w:t>
      </w:r>
      <w:r w:rsidRPr="006F2B9F">
        <w:rPr>
          <w:rStyle w:val="Emphasis"/>
          <w:highlight w:val="green"/>
        </w:rPr>
        <w:t>Deconstruction</w:t>
      </w:r>
      <w:r w:rsidRPr="006D1DD2">
        <w:rPr>
          <w:rStyle w:val="StyleUnderline"/>
        </w:rPr>
        <w:t xml:space="preserve"> does no such </w:t>
      </w:r>
      <w:r w:rsidRPr="00154EC4">
        <w:rPr>
          <w:rStyle w:val="StyleUnderline"/>
        </w:rPr>
        <w:t xml:space="preserve">thing. It </w:t>
      </w:r>
      <w:r w:rsidRPr="006F2B9F">
        <w:rPr>
          <w:rStyle w:val="Emphasis"/>
          <w:highlight w:val="green"/>
        </w:rPr>
        <w:t>reveals things to be historically situated and socially constructed</w:t>
      </w:r>
      <w:r w:rsidRPr="00154EC4">
        <w:rPr>
          <w:rStyle w:val="StyleUnderline"/>
        </w:rPr>
        <w:t>, but this realization in n</w:t>
      </w:r>
      <w:r w:rsidRPr="000B72E1">
        <w:rPr>
          <w:rStyle w:val="StyleUnderline"/>
        </w:rPr>
        <w:t xml:space="preserve">o way changes the current construction of the category except to remove any foundational claims.419 </w:t>
      </w:r>
      <w:r w:rsidRPr="000B72E1">
        <w:rPr>
          <w:rStyle w:val="Emphasis"/>
        </w:rPr>
        <w:t>Deconstruction simply reveals the potential for change</w:t>
      </w:r>
      <w:r w:rsidRPr="000B72E1">
        <w:rPr>
          <w:rStyle w:val="StyleUnderline"/>
        </w:rPr>
        <w:t>; a category could</w:t>
      </w:r>
      <w:r w:rsidRPr="00154EC4">
        <w:rPr>
          <w:rStyle w:val="StyleUnderline"/>
        </w:rPr>
        <w:t xml:space="preserve"> be constructed differently in the future, or perhaps our present could be reconstructed differently by revising or reinterpreting our past.420 To </w:t>
      </w:r>
      <w:r w:rsidRPr="000B72E1">
        <w:rPr>
          <w:rStyle w:val="StyleUnderline"/>
        </w:rPr>
        <w:t xml:space="preserve">reiterate, </w:t>
      </w:r>
      <w:r w:rsidRPr="000B72E1">
        <w:rPr>
          <w:rStyle w:val="Emphasis"/>
        </w:rPr>
        <w:t>in no way does deconstructing</w:t>
      </w:r>
      <w:r w:rsidRPr="000B72E1">
        <w:rPr>
          <w:rStyle w:val="StyleUnderline"/>
        </w:rPr>
        <w:t xml:space="preserve"> the category "</w:t>
      </w:r>
      <w:r w:rsidRPr="000B72E1">
        <w:rPr>
          <w:rStyle w:val="Emphasis"/>
        </w:rPr>
        <w:t>Asian American" change the fact that</w:t>
      </w:r>
      <w:r w:rsidRPr="000B72E1">
        <w:rPr>
          <w:rStyle w:val="StyleUnderline"/>
        </w:rPr>
        <w:t xml:space="preserve"> I</w:t>
      </w:r>
      <w:r w:rsidRPr="00154EC4">
        <w:rPr>
          <w:rStyle w:val="StyleUnderline"/>
        </w:rPr>
        <w:t xml:space="preserve"> am an Asian American. </w:t>
      </w:r>
      <w:r w:rsidRPr="006F2B9F">
        <w:rPr>
          <w:rStyle w:val="Emphasis"/>
          <w:highlight w:val="green"/>
        </w:rPr>
        <w:t>My context has constructed me as Asian American</w:t>
      </w:r>
      <w:r w:rsidRPr="00154EC4">
        <w:rPr>
          <w:rStyle w:val="StyleUnderline"/>
        </w:rPr>
        <w:t xml:space="preserve">. This </w:t>
      </w:r>
      <w:r w:rsidRPr="000B72E1">
        <w:rPr>
          <w:rStyle w:val="Emphasis"/>
        </w:rPr>
        <w:t>understanding of contextual situatedness enables</w:t>
      </w:r>
      <w:r w:rsidRPr="00154EC4">
        <w:rPr>
          <w:rStyle w:val="StyleUnderline"/>
        </w:rPr>
        <w:t xml:space="preserve"> Post-structural </w:t>
      </w:r>
      <w:r w:rsidRPr="006F2B9F">
        <w:rPr>
          <w:rStyle w:val="Emphasis"/>
          <w:highlight w:val="green"/>
        </w:rPr>
        <w:t>Asian American Legal Scholarship</w:t>
      </w:r>
      <w:r w:rsidRPr="000B72E1">
        <w:rPr>
          <w:rStyle w:val="Emphasis"/>
        </w:rPr>
        <w:t xml:space="preserve"> to </w:t>
      </w:r>
      <w:r w:rsidRPr="006F2B9F">
        <w:rPr>
          <w:rStyle w:val="Emphasis"/>
          <w:highlight w:val="green"/>
        </w:rPr>
        <w:t>use multiple consciousness as</w:t>
      </w:r>
      <w:r w:rsidRPr="000B72E1">
        <w:rPr>
          <w:rStyle w:val="Emphasis"/>
        </w:rPr>
        <w:t xml:space="preserve"> a </w:t>
      </w:r>
      <w:r w:rsidRPr="006F2B9F">
        <w:rPr>
          <w:rStyle w:val="Emphasis"/>
          <w:highlight w:val="green"/>
        </w:rPr>
        <w:t>method to</w:t>
      </w:r>
      <w:r w:rsidRPr="000B72E1">
        <w:rPr>
          <w:rStyle w:val="Emphasis"/>
        </w:rPr>
        <w:t xml:space="preserve"> understand and </w:t>
      </w:r>
      <w:r w:rsidRPr="006F2B9F">
        <w:rPr>
          <w:rStyle w:val="Emphasis"/>
          <w:highlight w:val="green"/>
        </w:rPr>
        <w:t>participate</w:t>
      </w:r>
      <w:r w:rsidRPr="00154EC4">
        <w:rPr>
          <w:rStyle w:val="StyleUnderline"/>
        </w:rPr>
        <w:t xml:space="preserve"> in Stages One, Two, and Three without </w:t>
      </w:r>
      <w:r w:rsidRPr="00154EC4">
        <w:rPr>
          <w:rStyle w:val="StyleUnderline"/>
        </w:rPr>
        <w:lastRenderedPageBreak/>
        <w:t>inconsistency.</w:t>
      </w:r>
      <w:r w:rsidRPr="000B72E1">
        <w:rPr>
          <w:rStyle w:val="StyleUnderline"/>
        </w:rPr>
        <w:t xml:space="preserve">421 </w:t>
      </w:r>
      <w:r w:rsidRPr="000B72E1">
        <w:rPr>
          <w:rStyle w:val="Emphasis"/>
        </w:rPr>
        <w:t xml:space="preserve">It </w:t>
      </w:r>
      <w:proofErr w:type="gramStart"/>
      <w:r w:rsidRPr="000B72E1">
        <w:rPr>
          <w:rStyle w:val="Emphasis"/>
        </w:rPr>
        <w:t>is able to</w:t>
      </w:r>
      <w:proofErr w:type="gramEnd"/>
      <w:r w:rsidRPr="000B72E1">
        <w:rPr>
          <w:rStyle w:val="Emphasis"/>
        </w:rPr>
        <w:t xml:space="preserve"> do this </w:t>
      </w:r>
      <w:r w:rsidRPr="006F2B9F">
        <w:rPr>
          <w:rStyle w:val="Emphasis"/>
          <w:highlight w:val="green"/>
        </w:rPr>
        <w:t xml:space="preserve">because it understands law as </w:t>
      </w:r>
      <w:r w:rsidRPr="009C029B">
        <w:rPr>
          <w:rStyle w:val="StyleUnderline"/>
        </w:rPr>
        <w:t>a</w:t>
      </w:r>
      <w:r w:rsidRPr="006F2B9F">
        <w:rPr>
          <w:rStyle w:val="Emphasis"/>
          <w:highlight w:val="green"/>
        </w:rPr>
        <w:t xml:space="preserve"> contextual </w:t>
      </w:r>
      <w:r w:rsidRPr="009C029B">
        <w:rPr>
          <w:rStyle w:val="StyleUnderline"/>
        </w:rPr>
        <w:t xml:space="preserve">practice that has certain </w:t>
      </w:r>
      <w:r w:rsidRPr="000B72E1">
        <w:rPr>
          <w:rStyle w:val="StyleUnderline"/>
        </w:rPr>
        <w:t>rules</w:t>
      </w:r>
      <w:r w:rsidRPr="000B72E1">
        <w:rPr>
          <w:rStyle w:val="Emphasis"/>
        </w:rPr>
        <w:t xml:space="preserve">. Even </w:t>
      </w:r>
      <w:r w:rsidRPr="006F2B9F">
        <w:rPr>
          <w:rStyle w:val="Emphasis"/>
          <w:highlight w:val="green"/>
        </w:rPr>
        <w:t>while it criticizes</w:t>
      </w:r>
      <w:r w:rsidRPr="000B72E1">
        <w:rPr>
          <w:rStyle w:val="Emphasis"/>
        </w:rPr>
        <w:t xml:space="preserve"> and tries to undermine </w:t>
      </w:r>
      <w:r w:rsidRPr="009C029B">
        <w:rPr>
          <w:rStyle w:val="StyleUnderline"/>
        </w:rPr>
        <w:t>those</w:t>
      </w:r>
      <w:r w:rsidRPr="006F2B9F">
        <w:rPr>
          <w:rStyle w:val="Emphasis"/>
          <w:highlight w:val="green"/>
        </w:rPr>
        <w:t xml:space="preserve"> rules, it can engage in</w:t>
      </w:r>
      <w:r w:rsidRPr="000B72E1">
        <w:rPr>
          <w:rStyle w:val="Emphasis"/>
        </w:rPr>
        <w:t xml:space="preserve"> civil rights </w:t>
      </w:r>
      <w:r w:rsidRPr="006F2B9F">
        <w:rPr>
          <w:rStyle w:val="Emphasis"/>
          <w:highlight w:val="green"/>
        </w:rPr>
        <w:t>struggles because it understands that removal of oppression is beneficial, even</w:t>
      </w:r>
      <w:r w:rsidRPr="00154EC4">
        <w:rPr>
          <w:rStyle w:val="StyleUnderline"/>
        </w:rPr>
        <w:t xml:space="preserve"> if it must come </w:t>
      </w:r>
      <w:r w:rsidRPr="006F2B9F">
        <w:rPr>
          <w:rStyle w:val="Emphasis"/>
          <w:highlight w:val="green"/>
        </w:rPr>
        <w:t>in stages</w:t>
      </w:r>
      <w:r w:rsidRPr="00154EC4">
        <w:rPr>
          <w:rStyle w:val="StyleUnderline"/>
        </w:rPr>
        <w:t>. Mari</w:t>
      </w:r>
      <w:r>
        <w:t xml:space="preserve"> Matsuda's article, Voices of America: Accent, Antidiscrimination Law, and a Jurisprudence for the Last Reconstruction, 422 is an example of multiple consciousness at work. </w:t>
      </w:r>
      <w:r w:rsidRPr="00077CB9">
        <w:rPr>
          <w:rStyle w:val="StyleUnderline"/>
        </w:rPr>
        <w:t xml:space="preserve">She says at the end of her article, "I have written to persuade readers of good will to adopt legal rules and ethical positions that promote linguistic pluralism. I have used </w:t>
      </w:r>
      <w:r w:rsidRPr="000B72E1">
        <w:rPr>
          <w:rStyle w:val="StyleUnderline"/>
        </w:rPr>
        <w:t xml:space="preserve">existing </w:t>
      </w:r>
      <w:r w:rsidRPr="000B72E1">
        <w:rPr>
          <w:rStyle w:val="Emphasis"/>
        </w:rPr>
        <w:t>legal doctrine</w:t>
      </w:r>
      <w:r w:rsidRPr="000B72E1">
        <w:rPr>
          <w:rStyle w:val="StyleUnderline"/>
        </w:rPr>
        <w:t xml:space="preserve">, traditional </w:t>
      </w:r>
      <w:r w:rsidRPr="000B72E1">
        <w:rPr>
          <w:rStyle w:val="Emphasis"/>
        </w:rPr>
        <w:t>liberal theory, and new critical theories</w:t>
      </w:r>
      <w:r w:rsidRPr="000B72E1">
        <w:rPr>
          <w:rStyle w:val="StyleUnderline"/>
        </w:rPr>
        <w:t xml:space="preserve"> in this effort."423 She </w:t>
      </w:r>
      <w:r w:rsidRPr="000B72E1">
        <w:rPr>
          <w:rStyle w:val="Emphasis"/>
        </w:rPr>
        <w:t>recognizes the inherent contradictions</w:t>
      </w:r>
      <w:r w:rsidRPr="000B72E1">
        <w:rPr>
          <w:rStyle w:val="StyleUnderline"/>
        </w:rPr>
        <w:t xml:space="preserve">, the internal inconsistencies </w:t>
      </w:r>
      <w:r w:rsidRPr="000B72E1">
        <w:rPr>
          <w:rStyle w:val="Emphasis"/>
        </w:rPr>
        <w:t>of doing all three</w:t>
      </w:r>
      <w:r w:rsidRPr="000B72E1">
        <w:rPr>
          <w:rStyle w:val="StyleUnderline"/>
        </w:rPr>
        <w:t>, yet she is able to</w:t>
      </w:r>
      <w:r w:rsidRPr="009C029B">
        <w:rPr>
          <w:rStyle w:val="StyleUnderline"/>
        </w:rPr>
        <w:t xml:space="preserve"> do it because an </w:t>
      </w:r>
      <w:r w:rsidRPr="006F2B9F">
        <w:rPr>
          <w:rStyle w:val="Emphasis"/>
          <w:highlight w:val="green"/>
        </w:rPr>
        <w:t>Asian American Legal Scholarship</w:t>
      </w:r>
      <w:r w:rsidRPr="009C029B">
        <w:rPr>
          <w:rStyle w:val="StyleUnderline"/>
        </w:rPr>
        <w:t xml:space="preserve"> has a </w:t>
      </w:r>
      <w:r w:rsidRPr="00077CB9">
        <w:rPr>
          <w:rStyle w:val="StyleUnderline"/>
        </w:rPr>
        <w:t xml:space="preserve">pragmatic face. It </w:t>
      </w:r>
      <w:r w:rsidRPr="006F2B9F">
        <w:rPr>
          <w:rStyle w:val="Emphasis"/>
          <w:highlight w:val="green"/>
        </w:rPr>
        <w:t>has a multiple consciousness that can assume various guises.</w:t>
      </w:r>
      <w:r w:rsidRPr="00077CB9">
        <w:rPr>
          <w:rStyle w:val="StyleUnderline"/>
        </w:rPr>
        <w:t xml:space="preserve"> It assumes these guises </w:t>
      </w:r>
      <w:r w:rsidRPr="006F2B9F">
        <w:rPr>
          <w:rStyle w:val="Emphasis"/>
          <w:highlight w:val="green"/>
        </w:rPr>
        <w:t>with a final goal</w:t>
      </w:r>
      <w:r w:rsidRPr="00077CB9">
        <w:rPr>
          <w:rStyle w:val="StyleUnderline"/>
        </w:rPr>
        <w:t xml:space="preserve"> in mind: </w:t>
      </w:r>
      <w:r w:rsidRPr="006F2B9F">
        <w:rPr>
          <w:rStyle w:val="Emphasis"/>
          <w:highlight w:val="green"/>
        </w:rPr>
        <w:t>liberation</w:t>
      </w:r>
      <w:r w:rsidRPr="00077CB9">
        <w:rPr>
          <w:rStyle w:val="StyleUnderline"/>
        </w:rPr>
        <w:t xml:space="preserve">. </w:t>
      </w:r>
      <w:r>
        <w:t>Tremendous diversity exists within the category "Asian American." And tremendous diversity exists among the disempowered. We must remember, though, that it is only through solidarity that we will one day be free to express our diversity.</w:t>
      </w:r>
    </w:p>
    <w:p w14:paraId="334109F2" w14:textId="77777777" w:rsidR="002D6655" w:rsidRDefault="002D6655" w:rsidP="002D6655"/>
    <w:p w14:paraId="47EC16A4" w14:textId="0CF4118A" w:rsidR="002D6655" w:rsidRPr="001B13D8" w:rsidRDefault="002D6655" w:rsidP="002D6655">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sidRPr="006F2B9F">
        <w:rPr>
          <w:rFonts w:asciiTheme="minorHAnsi" w:hAnsiTheme="minorHAnsi" w:cstheme="minorHAnsi"/>
          <w:highlight w:val="green"/>
        </w:rPr>
        <w:t xml:space="preserve">Affirm </w:t>
      </w:r>
      <w:proofErr w:type="gramStart"/>
      <w:r w:rsidRPr="006F2B9F">
        <w:rPr>
          <w:rFonts w:asciiTheme="minorHAnsi" w:hAnsiTheme="minorHAnsi" w:cstheme="minorHAnsi"/>
          <w:highlight w:val="green"/>
        </w:rPr>
        <w:t>a</w:t>
      </w:r>
      <w:proofErr w:type="gramEnd"/>
      <w:r w:rsidRPr="006F2B9F">
        <w:rPr>
          <w:rFonts w:asciiTheme="minorHAnsi" w:hAnsiTheme="minorHAnsi" w:cstheme="minorHAnsi"/>
          <w:highlight w:val="green"/>
        </w:rPr>
        <w:t xml:space="preserve"> </w:t>
      </w:r>
      <w:r>
        <w:rPr>
          <w:rFonts w:asciiTheme="minorHAnsi" w:hAnsiTheme="minorHAnsi" w:cstheme="minorHAnsi"/>
        </w:rPr>
        <w:t xml:space="preserve">unconditional right to strike for </w:t>
      </w:r>
      <w:proofErr w:type="spellStart"/>
      <w:r>
        <w:rPr>
          <w:rFonts w:asciiTheme="minorHAnsi" w:hAnsiTheme="minorHAnsi" w:cstheme="minorHAnsi"/>
        </w:rPr>
        <w:t>asian</w:t>
      </w:r>
      <w:proofErr w:type="spellEnd"/>
      <w:r>
        <w:rPr>
          <w:rFonts w:asciiTheme="minorHAnsi" w:hAnsiTheme="minorHAnsi" w:cstheme="minorHAnsi"/>
        </w:rPr>
        <w:t xml:space="preserve"> people</w:t>
      </w:r>
      <w:r>
        <w:rPr>
          <w:rFonts w:asciiTheme="minorHAnsi" w:hAnsiTheme="minorHAnsi" w:cstheme="minorHAnsi"/>
        </w:rPr>
        <w:t xml:space="preserve"> that attempts to declare radicality with the system, solves all of your offense]</w:t>
      </w:r>
    </w:p>
    <w:p w14:paraId="472D74DC" w14:textId="77777777" w:rsidR="002D6655" w:rsidRPr="00F800C0" w:rsidRDefault="002D6655" w:rsidP="002D6655">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just the substantive burden of the Aff.</w:t>
      </w:r>
    </w:p>
    <w:p w14:paraId="35E8E940" w14:textId="0A518612" w:rsidR="002D6655" w:rsidRDefault="002D6655" w:rsidP="002D6655">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t>
      </w:r>
      <w:proofErr w:type="gramStart"/>
      <w:r>
        <w:t>weren’t able to</w:t>
      </w:r>
      <w:proofErr w:type="gramEnd"/>
      <w:r>
        <w:t xml:space="preserve"> adequately prepare for it.</w:t>
      </w:r>
    </w:p>
    <w:p w14:paraId="74911715" w14:textId="0660D347" w:rsidR="002D6655" w:rsidRDefault="002D6655" w:rsidP="002D6655">
      <w:pPr>
        <w:pStyle w:val="Heading3"/>
      </w:pPr>
      <w:r>
        <w:lastRenderedPageBreak/>
        <w:t>2</w:t>
      </w:r>
    </w:p>
    <w:p w14:paraId="1AB7C844" w14:textId="1CADE650" w:rsidR="006F2B9F" w:rsidRDefault="006F2B9F" w:rsidP="006F2B9F">
      <w:pPr>
        <w:pStyle w:val="Heading4"/>
        <w:rPr>
          <w:rStyle w:val="Style13ptBold"/>
          <w:rFonts w:cs="Calibri"/>
          <w:b/>
        </w:rPr>
      </w:pPr>
      <w:r w:rsidRPr="009B5E04">
        <w:rPr>
          <w:rStyle w:val="Style13ptBold"/>
          <w:rFonts w:cs="Calibri"/>
          <w:b/>
        </w:rPr>
        <w:t xml:space="preserve">A. Interpretation: If the affirmative reads arguments related to </w:t>
      </w:r>
      <w:r>
        <w:rPr>
          <w:rStyle w:val="Style13ptBold"/>
          <w:rFonts w:cs="Calibri"/>
          <w:b/>
        </w:rPr>
        <w:t>anti-</w:t>
      </w:r>
      <w:proofErr w:type="spellStart"/>
      <w:r>
        <w:rPr>
          <w:rStyle w:val="Style13ptBold"/>
          <w:rFonts w:cs="Calibri"/>
          <w:b/>
        </w:rPr>
        <w:t>asian</w:t>
      </w:r>
      <w:proofErr w:type="spellEnd"/>
      <w:r>
        <w:rPr>
          <w:rStyle w:val="Style13ptBold"/>
          <w:rFonts w:cs="Calibri"/>
          <w:b/>
        </w:rPr>
        <w:t xml:space="preserve"> violence</w:t>
      </w:r>
      <w:r w:rsidRPr="009B5E04">
        <w:rPr>
          <w:rStyle w:val="Style13ptBold"/>
          <w:rFonts w:cs="Calibri"/>
          <w:b/>
        </w:rPr>
        <w:t xml:space="preserve"> they must give a content warning before their speech. </w:t>
      </w:r>
    </w:p>
    <w:p w14:paraId="566943DB" w14:textId="77777777" w:rsidR="0065349E" w:rsidRPr="0065349E" w:rsidRDefault="0065349E" w:rsidP="0065349E"/>
    <w:p w14:paraId="5209889A" w14:textId="178A9E9D" w:rsidR="006F2B9F" w:rsidRDefault="006F2B9F" w:rsidP="006F2B9F">
      <w:pPr>
        <w:pStyle w:val="Heading4"/>
        <w:rPr>
          <w:b w:val="0"/>
          <w:bCs w:val="0"/>
          <w:sz w:val="12"/>
        </w:rPr>
      </w:pPr>
      <w:r w:rsidRPr="009B5E04">
        <w:rPr>
          <w:rStyle w:val="Style13ptBold"/>
          <w:rFonts w:cs="Calibri"/>
          <w:b/>
        </w:rPr>
        <w:t xml:space="preserve">These conversations are empirically trauma inducing and warnings are a good idea. </w:t>
      </w:r>
      <w:r w:rsidRPr="009B5E04">
        <w:rPr>
          <w:rStyle w:val="Style13ptBold"/>
          <w:rFonts w:cs="Calibri"/>
          <w:b/>
          <w:u w:val="single"/>
        </w:rPr>
        <w:t>Carter 15,</w:t>
      </w:r>
      <w:r w:rsidRPr="00973DBF">
        <w:t xml:space="preserve"> </w:t>
      </w:r>
      <w:r w:rsidRPr="009B5E04">
        <w:rPr>
          <w:b w:val="0"/>
          <w:bCs w:val="0"/>
          <w:sz w:val="12"/>
          <w:szCs w:val="12"/>
        </w:rPr>
        <w:t>[Angela Carter (Ph.D. Candidate in Feminist Studies, University of Minnesota), "Teaching with Trauma: Trigger Warnings, Feminism, and Disability Pedagogy," Disabilities Studies Quarterly, 2015]</w:t>
      </w:r>
      <w:r w:rsidRPr="00973DBF">
        <w:t xml:space="preserve"> </w:t>
      </w:r>
      <w:r w:rsidRPr="009B5E04">
        <w:rPr>
          <w:b w:val="0"/>
          <w:bCs w:val="0"/>
          <w:sz w:val="12"/>
        </w:rPr>
        <w:t xml:space="preserve">Similarly, in their original petition, </w:t>
      </w:r>
      <w:r w:rsidRPr="006F2B9F">
        <w:rPr>
          <w:highlight w:val="green"/>
          <w:u w:val="single"/>
        </w:rPr>
        <w:t>Oberlin</w:t>
      </w:r>
      <w:r w:rsidRPr="00973DBF">
        <w:rPr>
          <w:u w:val="single"/>
        </w:rPr>
        <w:t xml:space="preserve"> students </w:t>
      </w:r>
      <w:r w:rsidRPr="006F2B9F">
        <w:rPr>
          <w:highlight w:val="green"/>
          <w:u w:val="single"/>
        </w:rPr>
        <w:t>suggested trigger warnings when "issues of privilege and oppression" arise</w:t>
      </w:r>
      <w:r w:rsidRPr="00973DBF">
        <w:rPr>
          <w:u w:val="single"/>
        </w:rPr>
        <w:t xml:space="preserve"> in the classroom</w:t>
      </w:r>
      <w:r w:rsidRPr="009B5E04">
        <w:rPr>
          <w:b w:val="0"/>
          <w:bCs w:val="0"/>
          <w:sz w:val="12"/>
        </w:rPr>
        <w:t xml:space="preserve"> (AAUP). Such suggestions also conflate potential discomfort, or personal injury, with the disabling </w:t>
      </w:r>
      <w:proofErr w:type="spellStart"/>
      <w:r w:rsidRPr="009B5E04">
        <w:rPr>
          <w:b w:val="0"/>
          <w:bCs w:val="0"/>
          <w:sz w:val="12"/>
        </w:rPr>
        <w:t>affects</w:t>
      </w:r>
      <w:proofErr w:type="spellEnd"/>
      <w:r w:rsidRPr="009B5E04">
        <w:rPr>
          <w:b w:val="0"/>
          <w:bCs w:val="0"/>
          <w:sz w:val="12"/>
        </w:rPr>
        <w:t xml:space="preserve"> of trauma and being triggered. However, an opportunity arises when students make these conflations. </w:t>
      </w:r>
      <w:r w:rsidRPr="006F2B9F">
        <w:rPr>
          <w:highlight w:val="green"/>
          <w:u w:val="single"/>
        </w:rPr>
        <w:t>As educators</w:t>
      </w:r>
      <w:r w:rsidRPr="009B5E04">
        <w:rPr>
          <w:b w:val="0"/>
          <w:bCs w:val="0"/>
          <w:sz w:val="12"/>
        </w:rPr>
        <w:t xml:space="preserve">, rather than dismissing trigger warnings outright, </w:t>
      </w:r>
      <w:r w:rsidRPr="006F2B9F">
        <w:rPr>
          <w:highlight w:val="green"/>
          <w:u w:val="single"/>
        </w:rPr>
        <w:t>we could engage students about how systems of oppression work and explain</w:t>
      </w:r>
      <w:r w:rsidRPr="009B5E04">
        <w:rPr>
          <w:b w:val="0"/>
          <w:bCs w:val="0"/>
          <w:sz w:val="12"/>
        </w:rPr>
        <w:t xml:space="preserve"> the difference between pedagogically productive discomfort and </w:t>
      </w:r>
      <w:r w:rsidRPr="00973DBF">
        <w:rPr>
          <w:u w:val="single"/>
        </w:rPr>
        <w:t xml:space="preserve">trigger-induced </w:t>
      </w:r>
      <w:r w:rsidRPr="006F2B9F">
        <w:rPr>
          <w:highlight w:val="green"/>
          <w:u w:val="single"/>
        </w:rPr>
        <w:t>re-traumatization</w:t>
      </w:r>
      <w:r w:rsidRPr="009B5E04">
        <w:rPr>
          <w:b w:val="0"/>
          <w:bCs w:val="0"/>
          <w:sz w:val="12"/>
        </w:rPr>
        <w:t xml:space="preserve">. As educators, we could use this conversation as an opportunity to discuss the use of trigger warnings before the Internet. Historically, trigger </w:t>
      </w:r>
      <w:r w:rsidRPr="006F2B9F">
        <w:rPr>
          <w:highlight w:val="green"/>
          <w:u w:val="single"/>
        </w:rPr>
        <w:t>warnings</w:t>
      </w:r>
      <w:r w:rsidRPr="009B5E04">
        <w:rPr>
          <w:b w:val="0"/>
          <w:bCs w:val="0"/>
          <w:sz w:val="12"/>
        </w:rPr>
        <w:t xml:space="preserve">, Andrea Smith reminds us, began as "a part of a complex of practices" </w:t>
      </w:r>
      <w:r w:rsidRPr="006F2B9F">
        <w:rPr>
          <w:highlight w:val="green"/>
          <w:u w:val="single"/>
        </w:rPr>
        <w:t>within the anti-violence movement work</w:t>
      </w:r>
      <w:r w:rsidRPr="00973DBF">
        <w:rPr>
          <w:u w:val="single"/>
        </w:rPr>
        <w:t xml:space="preserve">ing </w:t>
      </w:r>
      <w:r w:rsidRPr="006F2B9F">
        <w:rPr>
          <w:highlight w:val="green"/>
          <w:u w:val="single"/>
        </w:rPr>
        <w:t>to recognize "that we are not unaffected by the</w:t>
      </w:r>
      <w:r w:rsidRPr="00973DBF">
        <w:rPr>
          <w:u w:val="single"/>
        </w:rPr>
        <w:t xml:space="preserve"> political and </w:t>
      </w:r>
      <w:r w:rsidRPr="006F2B9F">
        <w:rPr>
          <w:highlight w:val="green"/>
          <w:u w:val="single"/>
        </w:rPr>
        <w:t>intellectual work</w:t>
      </w:r>
      <w:r w:rsidRPr="00973DBF">
        <w:rPr>
          <w:u w:val="single"/>
        </w:rPr>
        <w:t xml:space="preserve"> that </w:t>
      </w:r>
      <w:r w:rsidRPr="006F2B9F">
        <w:rPr>
          <w:highlight w:val="green"/>
          <w:u w:val="single"/>
        </w:rPr>
        <w:t>we do</w:t>
      </w:r>
      <w:r w:rsidRPr="00973DBF">
        <w:rPr>
          <w:u w:val="single"/>
        </w:rPr>
        <w:t>"</w:t>
      </w:r>
      <w:r w:rsidRPr="009B5E04">
        <w:rPr>
          <w:b w:val="0"/>
          <w:bCs w:val="0"/>
          <w:sz w:val="12"/>
        </w:rPr>
        <w:t xml:space="preserve"> and that "the labor of healing has to be shared by all" (Smith).</w:t>
      </w:r>
    </w:p>
    <w:p w14:paraId="3BF3B292" w14:textId="77777777" w:rsidR="006F2B9F" w:rsidRPr="006F2B9F" w:rsidRDefault="006F2B9F" w:rsidP="006F2B9F"/>
    <w:p w14:paraId="52CA67EB" w14:textId="06FB2089" w:rsidR="006F2B9F" w:rsidRDefault="006F2B9F" w:rsidP="006F2B9F">
      <w:pPr>
        <w:pStyle w:val="Heading4"/>
        <w:rPr>
          <w:rStyle w:val="Style13ptBold"/>
          <w:rFonts w:cs="Calibri"/>
          <w:b/>
        </w:rPr>
      </w:pPr>
      <w:r w:rsidRPr="009B5E04">
        <w:rPr>
          <w:rStyle w:val="Style13ptBold"/>
          <w:rFonts w:cs="Calibri"/>
          <w:b/>
        </w:rPr>
        <w:t xml:space="preserve">B. Violation: They didn’t give a content warning. </w:t>
      </w:r>
    </w:p>
    <w:p w14:paraId="6B1BEF40" w14:textId="39F6CFBC" w:rsidR="006F2B9F" w:rsidRPr="006F2B9F" w:rsidRDefault="006540E3" w:rsidP="006F2B9F">
      <w:r>
        <w:rPr>
          <w:noProof/>
        </w:rPr>
        <w:drawing>
          <wp:inline distT="0" distB="0" distL="0" distR="0" wp14:anchorId="4C8C2175" wp14:editId="592230AB">
            <wp:extent cx="5486400" cy="986155"/>
            <wp:effectExtent l="0" t="0" r="0" b="4445"/>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1"/>
                    <a:stretch>
                      <a:fillRect/>
                    </a:stretch>
                  </pic:blipFill>
                  <pic:spPr>
                    <a:xfrm>
                      <a:off x="0" y="0"/>
                      <a:ext cx="5486400" cy="986155"/>
                    </a:xfrm>
                    <a:prstGeom prst="rect">
                      <a:avLst/>
                    </a:prstGeom>
                  </pic:spPr>
                </pic:pic>
              </a:graphicData>
            </a:graphic>
          </wp:inline>
        </w:drawing>
      </w:r>
    </w:p>
    <w:p w14:paraId="3A017265" w14:textId="77777777" w:rsidR="006F2B9F" w:rsidRPr="009B5E04" w:rsidRDefault="006F2B9F" w:rsidP="006F2B9F">
      <w:pPr>
        <w:pStyle w:val="Heading4"/>
        <w:rPr>
          <w:rStyle w:val="Style13ptBold"/>
          <w:rFonts w:cs="Calibri"/>
          <w:b/>
        </w:rPr>
      </w:pPr>
      <w:r w:rsidRPr="009B5E04">
        <w:rPr>
          <w:rStyle w:val="Style13ptBold"/>
          <w:rFonts w:cs="Calibri"/>
          <w:b/>
        </w:rPr>
        <w:lastRenderedPageBreak/>
        <w:t xml:space="preserve">C. Standard: </w:t>
      </w:r>
    </w:p>
    <w:p w14:paraId="648E663B" w14:textId="77777777" w:rsidR="006F2B9F" w:rsidRPr="00973DBF" w:rsidRDefault="006F2B9F" w:rsidP="006F2B9F">
      <w:pPr>
        <w:pStyle w:val="Heading4"/>
      </w:pPr>
      <w:r w:rsidRPr="009B5E04">
        <w:rPr>
          <w:rStyle w:val="Style13ptBold"/>
          <w:rFonts w:cs="Calibri"/>
          <w:b/>
        </w:rPr>
        <w:t xml:space="preserve">1. Access – Content warnings for those who suffer from trauma or anxiety are excluded from the conversation without content warnings. </w:t>
      </w:r>
      <w:r w:rsidRPr="009B5E04">
        <w:rPr>
          <w:rStyle w:val="Style13ptBold"/>
          <w:rFonts w:cs="Calibri"/>
          <w:b/>
          <w:u w:val="single"/>
        </w:rPr>
        <w:t>Carter 15,</w:t>
      </w:r>
      <w:r w:rsidRPr="00973DBF">
        <w:t xml:space="preserve"> </w:t>
      </w:r>
      <w:r w:rsidRPr="009B5E04">
        <w:rPr>
          <w:b w:val="0"/>
          <w:bCs w:val="0"/>
          <w:sz w:val="12"/>
          <w:szCs w:val="12"/>
        </w:rPr>
        <w:t xml:space="preserve">[Angela Carter (Ph.D. Candidate in Feminist Studies, University of Minnesota), "Teaching with Trauma: Trigger Warnings, Feminism, and Disability Pedagogy," Disabilities Studies Quarterly, 2015] </w:t>
      </w:r>
      <w:r w:rsidRPr="009B5E04">
        <w:rPr>
          <w:b w:val="0"/>
          <w:bCs w:val="0"/>
          <w:sz w:val="12"/>
        </w:rPr>
        <w:t xml:space="preserve">Given these findings, it is imperative that the debate on trigger warnings focus on the inherent questions of access. However, because of the misuse of "triggered" to reference anything that makes someone uncomfortable, disagreements about the classroom as a "safe space" often divert the conversation away from any real discussion of pedagogy and access in higher education. In his 2012 research, Mark </w:t>
      </w:r>
      <w:proofErr w:type="spellStart"/>
      <w:r w:rsidRPr="009B5E04">
        <w:rPr>
          <w:b w:val="0"/>
          <w:bCs w:val="0"/>
          <w:sz w:val="12"/>
        </w:rPr>
        <w:t>Salzer</w:t>
      </w:r>
      <w:proofErr w:type="spellEnd"/>
      <w:r w:rsidRPr="009B5E04">
        <w:rPr>
          <w:b w:val="0"/>
          <w:bCs w:val="0"/>
          <w:sz w:val="12"/>
        </w:rPr>
        <w:t xml:space="preserve"> found that </w:t>
      </w:r>
      <w:r w:rsidRPr="00973DBF">
        <w:rPr>
          <w:u w:val="single"/>
        </w:rPr>
        <w:t>students with mental illness were more likely to withdraw because of the impact of "perceived sigma and discrimination"</w:t>
      </w:r>
      <w:r w:rsidRPr="009B5E04">
        <w:rPr>
          <w:b w:val="0"/>
          <w:bCs w:val="0"/>
          <w:sz w:val="12"/>
        </w:rPr>
        <w:t xml:space="preserve"> than because of personal struggles with the symptoms or stresses related to their disability (</w:t>
      </w:r>
      <w:proofErr w:type="spellStart"/>
      <w:r w:rsidRPr="009B5E04">
        <w:rPr>
          <w:b w:val="0"/>
          <w:bCs w:val="0"/>
          <w:sz w:val="12"/>
        </w:rPr>
        <w:t>Salzer</w:t>
      </w:r>
      <w:proofErr w:type="spellEnd"/>
      <w:r w:rsidRPr="009B5E04">
        <w:rPr>
          <w:b w:val="0"/>
          <w:bCs w:val="0"/>
          <w:sz w:val="12"/>
        </w:rPr>
        <w:t xml:space="preserve"> 1). Because such students are "often viewed as disruptive, lacking academic skill, prone to violence" they are often socially isolated and left alone to question "how welcome they are on campus" (2). These findings suggest that simply providing information about mental illness and "chiding the audience to treat individuals with mental illness" by noting the available resources, is not an effective approach to decreasing the rate of withdraw for disabled students (6). </w:t>
      </w:r>
      <w:r w:rsidRPr="00973DBF">
        <w:rPr>
          <w:u w:val="single"/>
        </w:rPr>
        <w:t xml:space="preserve">The </w:t>
      </w:r>
      <w:r w:rsidRPr="006F2B9F">
        <w:rPr>
          <w:highlight w:val="green"/>
          <w:u w:val="single"/>
        </w:rPr>
        <w:t>false conflations of access with "safety" allow accommodations to be dismissed, and</w:t>
      </w:r>
      <w:r w:rsidRPr="00973DBF">
        <w:rPr>
          <w:u w:val="single"/>
        </w:rPr>
        <w:t xml:space="preserve"> only serve to further </w:t>
      </w:r>
      <w:r w:rsidRPr="006F2B9F">
        <w:rPr>
          <w:highlight w:val="green"/>
          <w:u w:val="single"/>
        </w:rPr>
        <w:t>marginalize mentally disabled students by telling them they are</w:t>
      </w:r>
      <w:r w:rsidRPr="00973DBF">
        <w:rPr>
          <w:u w:val="single"/>
        </w:rPr>
        <w:t xml:space="preserve"> in fact </w:t>
      </w:r>
      <w:r w:rsidRPr="006F2B9F">
        <w:rPr>
          <w:highlight w:val="green"/>
          <w:u w:val="single"/>
        </w:rPr>
        <w:t>not welcome because their needs disrupt</w:t>
      </w:r>
      <w:r w:rsidRPr="00973DBF">
        <w:rPr>
          <w:u w:val="single"/>
        </w:rPr>
        <w:t xml:space="preserve"> the processes of </w:t>
      </w:r>
      <w:r w:rsidRPr="006F2B9F">
        <w:rPr>
          <w:highlight w:val="green"/>
          <w:u w:val="single"/>
        </w:rPr>
        <w:t>learning</w:t>
      </w:r>
      <w:r w:rsidRPr="009B5E04">
        <w:rPr>
          <w:b w:val="0"/>
          <w:bCs w:val="0"/>
          <w:sz w:val="12"/>
        </w:rPr>
        <w:t xml:space="preserve"> their peers deserve. In the most basic sense, accommodations are not about "safety," but about access to opportunity for a more livable life. When disability is denied because it is not understood or seen, or </w:t>
      </w:r>
      <w:r w:rsidRPr="006F2B9F">
        <w:rPr>
          <w:highlight w:val="green"/>
          <w:u w:val="single"/>
        </w:rPr>
        <w:t>when access is denied</w:t>
      </w:r>
      <w:r w:rsidRPr="00973DBF">
        <w:rPr>
          <w:u w:val="single"/>
        </w:rPr>
        <w:t xml:space="preserve"> because it is inconvenient or complicated, </w:t>
      </w:r>
      <w:r w:rsidRPr="006F2B9F">
        <w:rPr>
          <w:highlight w:val="green"/>
          <w:u w:val="single"/>
        </w:rPr>
        <w:t>humanity is denied</w:t>
      </w:r>
      <w:r w:rsidRPr="009B5E04">
        <w:rPr>
          <w:b w:val="0"/>
          <w:bCs w:val="0"/>
          <w:sz w:val="12"/>
        </w:rPr>
        <w:t xml:space="preserve">. While it is certainly possible to recognize trauma as a mental disability and still be hesitant toward trigger warnings as an accommodation practice,14 the content and tenor of that conversation would be far removed from the outright hostility and rejection that has reverberated most widely. When presented as an access measure, it becomes evident that trigger warnings do not provide a way to "opt out" of anything, nor do they offer protection from the realities of the world. </w:t>
      </w:r>
      <w:r w:rsidRPr="00973DBF">
        <w:rPr>
          <w:u w:val="single"/>
        </w:rPr>
        <w:t xml:space="preserve">Trigger </w:t>
      </w:r>
      <w:r w:rsidRPr="006F2B9F">
        <w:rPr>
          <w:highlight w:val="green"/>
          <w:u w:val="single"/>
        </w:rPr>
        <w:t>warnings provide a way to "opt in" by lessening the power of the shock</w:t>
      </w:r>
      <w:r w:rsidRPr="00973DBF">
        <w:rPr>
          <w:u w:val="single"/>
        </w:rPr>
        <w:t xml:space="preserve"> and the </w:t>
      </w:r>
      <w:proofErr w:type="gramStart"/>
      <w:r w:rsidRPr="00973DBF">
        <w:rPr>
          <w:u w:val="single"/>
        </w:rPr>
        <w:t xml:space="preserve">unexpectedness, </w:t>
      </w:r>
      <w:r w:rsidRPr="006F2B9F">
        <w:rPr>
          <w:highlight w:val="green"/>
          <w:u w:val="single"/>
        </w:rPr>
        <w:t>and</w:t>
      </w:r>
      <w:proofErr w:type="gramEnd"/>
      <w:r w:rsidRPr="006F2B9F">
        <w:rPr>
          <w:highlight w:val="green"/>
          <w:u w:val="single"/>
        </w:rPr>
        <w:t xml:space="preserve"> granting the traumatized individual agency</w:t>
      </w:r>
      <w:r w:rsidRPr="00973DBF">
        <w:rPr>
          <w:u w:val="single"/>
        </w:rPr>
        <w:t xml:space="preserve"> to attend to the affect and effects of their trauma</w:t>
      </w:r>
      <w:r w:rsidRPr="009B5E04">
        <w:rPr>
          <w:b w:val="0"/>
          <w:bCs w:val="0"/>
          <w:sz w:val="12"/>
        </w:rPr>
        <w:t xml:space="preserve">. Traumatized individuals know that trigger warnings will not save us. Such </w:t>
      </w:r>
      <w:r w:rsidRPr="006F2B9F">
        <w:rPr>
          <w:highlight w:val="green"/>
          <w:u w:val="single"/>
        </w:rPr>
        <w:t>warnings simply allow us to do the work we need to do so that we can participate</w:t>
      </w:r>
      <w:r w:rsidRPr="00973DBF">
        <w:rPr>
          <w:u w:val="single"/>
        </w:rPr>
        <w:t xml:space="preserve"> in the conversation or activity. They allow us to enter the conversation</w:t>
      </w:r>
      <w:r w:rsidRPr="009B5E04">
        <w:rPr>
          <w:b w:val="0"/>
          <w:bCs w:val="0"/>
          <w:sz w:val="12"/>
        </w:rPr>
        <w:t xml:space="preserve">, just like automatic doors allow people who use wheelchairs to </w:t>
      </w:r>
      <w:proofErr w:type="gramStart"/>
      <w:r w:rsidRPr="009B5E04">
        <w:rPr>
          <w:b w:val="0"/>
          <w:bCs w:val="0"/>
          <w:sz w:val="12"/>
        </w:rPr>
        <w:t>more easily enter a building</w:t>
      </w:r>
      <w:proofErr w:type="gramEnd"/>
      <w:r w:rsidRPr="009B5E04">
        <w:rPr>
          <w:b w:val="0"/>
          <w:bCs w:val="0"/>
          <w:sz w:val="12"/>
        </w:rPr>
        <w:t>.</w:t>
      </w:r>
    </w:p>
    <w:p w14:paraId="4B95EF48" w14:textId="3E535E41" w:rsidR="006F2B9F" w:rsidRPr="006F2B9F" w:rsidRDefault="006F2B9F" w:rsidP="006F2B9F">
      <w:pPr>
        <w:pStyle w:val="Heading4"/>
      </w:pPr>
      <w:r w:rsidRPr="00973DBF">
        <w:t xml:space="preserve">Voters: Access is an independent voter – a) it’s a prior question to engaging in the space b) it’s a violation of the humanity of the opponent c) we are people before we’re debaters which makes it most intrinsic to the nature of the activity. </w:t>
      </w:r>
    </w:p>
    <w:p w14:paraId="18E15E81" w14:textId="773B99BC" w:rsidR="00250418" w:rsidRPr="00250418" w:rsidRDefault="00250418" w:rsidP="00250418"/>
    <w:sectPr w:rsidR="00250418" w:rsidRPr="0025041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0BBC9" w14:textId="77777777" w:rsidR="003C5EDB" w:rsidRDefault="003C5EDB" w:rsidP="00250418">
      <w:pPr>
        <w:spacing w:after="0" w:line="240" w:lineRule="auto"/>
      </w:pPr>
      <w:r>
        <w:separator/>
      </w:r>
    </w:p>
  </w:endnote>
  <w:endnote w:type="continuationSeparator" w:id="0">
    <w:p w14:paraId="0F294CDB" w14:textId="77777777" w:rsidR="003C5EDB" w:rsidRDefault="003C5EDB" w:rsidP="00250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83891" w14:textId="77777777" w:rsidR="003C5EDB" w:rsidRDefault="003C5EDB" w:rsidP="00250418">
      <w:pPr>
        <w:spacing w:after="0" w:line="240" w:lineRule="auto"/>
      </w:pPr>
      <w:r>
        <w:separator/>
      </w:r>
    </w:p>
  </w:footnote>
  <w:footnote w:type="continuationSeparator" w:id="0">
    <w:p w14:paraId="30B83ECF" w14:textId="77777777" w:rsidR="003C5EDB" w:rsidRDefault="003C5EDB" w:rsidP="002504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0418"/>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7A6"/>
    <w:rsid w:val="0022589F"/>
    <w:rsid w:val="002343FE"/>
    <w:rsid w:val="00235F7B"/>
    <w:rsid w:val="002502CF"/>
    <w:rsid w:val="00250418"/>
    <w:rsid w:val="00267EBB"/>
    <w:rsid w:val="0027023B"/>
    <w:rsid w:val="00272F3F"/>
    <w:rsid w:val="00274EDB"/>
    <w:rsid w:val="0027729E"/>
    <w:rsid w:val="002774E8"/>
    <w:rsid w:val="002843B2"/>
    <w:rsid w:val="00284ED6"/>
    <w:rsid w:val="00290C5A"/>
    <w:rsid w:val="00290C92"/>
    <w:rsid w:val="0029647A"/>
    <w:rsid w:val="00296504"/>
    <w:rsid w:val="002B5511"/>
    <w:rsid w:val="002B7ACF"/>
    <w:rsid w:val="002D586A"/>
    <w:rsid w:val="002D6655"/>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EDB"/>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B83"/>
    <w:rsid w:val="0061383D"/>
    <w:rsid w:val="00614D69"/>
    <w:rsid w:val="00617030"/>
    <w:rsid w:val="00621301"/>
    <w:rsid w:val="0062173F"/>
    <w:rsid w:val="006235FB"/>
    <w:rsid w:val="00626A15"/>
    <w:rsid w:val="006379E9"/>
    <w:rsid w:val="006438CB"/>
    <w:rsid w:val="006529B9"/>
    <w:rsid w:val="0065349E"/>
    <w:rsid w:val="006540E3"/>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2B9F"/>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866"/>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94D4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4B1EC9"/>
  <w14:defaultImageDpi w14:val="300"/>
  <w15:docId w15:val="{A820C2DE-F337-5944-A663-3609FA97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66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04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04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2504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2504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2504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418"/>
  </w:style>
  <w:style w:type="character" w:customStyle="1" w:styleId="Heading1Char">
    <w:name w:val="Heading 1 Char"/>
    <w:aliases w:val="Pocket Char"/>
    <w:basedOn w:val="DefaultParagraphFont"/>
    <w:link w:val="Heading1"/>
    <w:uiPriority w:val="9"/>
    <w:rsid w:val="002504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041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2,Heading 3 Char Char Char,Char Char Char,Text 7 Char,Tags v 2 Char,3: Cite Char,Char1 Char,Char Char Char Char Char Char Char Char Char,Char1 Char + Left:  2.54 cm Char, Char Char,n Char"/>
    <w:basedOn w:val="DefaultParagraphFont"/>
    <w:link w:val="Heading3"/>
    <w:uiPriority w:val="9"/>
    <w:rsid w:val="002504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2504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041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50418"/>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25041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5041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50418"/>
    <w:rPr>
      <w:color w:val="auto"/>
      <w:u w:val="none"/>
    </w:rPr>
  </w:style>
  <w:style w:type="paragraph" w:styleId="DocumentMap">
    <w:name w:val="Document Map"/>
    <w:basedOn w:val="Normal"/>
    <w:link w:val="DocumentMapChar"/>
    <w:uiPriority w:val="99"/>
    <w:semiHidden/>
    <w:unhideWhenUsed/>
    <w:rsid w:val="002504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0418"/>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250418"/>
    <w:rPr>
      <w:vertAlign w:val="superscript"/>
    </w:rPr>
  </w:style>
  <w:style w:type="paragraph" w:customStyle="1" w:styleId="textbold">
    <w:name w:val="text bold"/>
    <w:basedOn w:val="Normal"/>
    <w:link w:val="Emphasis"/>
    <w:autoRedefine/>
    <w:uiPriority w:val="20"/>
    <w:qFormat/>
    <w:rsid w:val="002D6655"/>
    <w:pPr>
      <w:pBdr>
        <w:top w:val="single" w:sz="18" w:space="1" w:color="auto"/>
        <w:left w:val="single" w:sz="18" w:space="4" w:color="auto"/>
        <w:bottom w:val="single" w:sz="18" w:space="1" w:color="auto"/>
        <w:right w:val="single" w:sz="18" w:space="4" w:color="auto"/>
      </w:pBdr>
      <w:ind w:left="720"/>
      <w:jc w:val="both"/>
    </w:pPr>
    <w:rPr>
      <w:b/>
      <w:iCs/>
      <w:sz w:val="26"/>
      <w:u w:val="single"/>
      <w:bdr w:val="single" w:sz="12" w:space="0" w:color="auto"/>
    </w:rPr>
  </w:style>
  <w:style w:type="paragraph" w:customStyle="1" w:styleId="Emphasis1">
    <w:name w:val="Emphasis1"/>
    <w:basedOn w:val="Normal"/>
    <w:uiPriority w:val="20"/>
    <w:qFormat/>
    <w:rsid w:val="002247A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styleId="NormalWeb">
    <w:name w:val="Normal (Web)"/>
    <w:basedOn w:val="Normal"/>
    <w:uiPriority w:val="99"/>
    <w:unhideWhenUsed/>
    <w:rsid w:val="002247A6"/>
    <w:rPr>
      <w:rFonts w:ascii="Times New Roman" w:hAnsi="Times New Roman" w:cs="Times New Roman"/>
      <w:sz w:val="24"/>
    </w:rPr>
  </w:style>
  <w:style w:type="character" w:customStyle="1" w:styleId="underline">
    <w:name w:val="underline"/>
    <w:qFormat/>
    <w:rsid w:val="002247A6"/>
    <w:rPr>
      <w:rFonts w:ascii="Georgia" w:hAnsi="Georgia"/>
      <w:b/>
      <w:u w:val="single"/>
    </w:rPr>
  </w:style>
  <w:style w:type="character" w:customStyle="1" w:styleId="apple-converted-space">
    <w:name w:val="apple-converted-space"/>
    <w:basedOn w:val="DefaultParagraphFont"/>
    <w:rsid w:val="002247A6"/>
  </w:style>
  <w:style w:type="character" w:customStyle="1" w:styleId="TitleChar">
    <w:name w:val="Title Char"/>
    <w:aliases w:val="Bold Underlined Char,UNDERLINE Char,Cites and Cards Char,Block Heading Char,title Char,Read This Char"/>
    <w:basedOn w:val="DefaultParagraphFont"/>
    <w:link w:val="Title"/>
    <w:uiPriority w:val="6"/>
    <w:qFormat/>
    <w:rsid w:val="002247A6"/>
    <w:rPr>
      <w:rFonts w:ascii="Arial" w:hAnsi="Arial"/>
      <w:sz w:val="20"/>
      <w:u w:val="single"/>
    </w:rPr>
  </w:style>
  <w:style w:type="paragraph" w:styleId="Title">
    <w:name w:val="Title"/>
    <w:aliases w:val="Bold Underlined,UNDERLINE,Cites and Cards,Block Heading,title,Read This"/>
    <w:basedOn w:val="Normal"/>
    <w:next w:val="Subtitle"/>
    <w:link w:val="TitleChar"/>
    <w:uiPriority w:val="6"/>
    <w:qFormat/>
    <w:rsid w:val="002247A6"/>
    <w:pPr>
      <w:suppressAutoHyphens/>
      <w:spacing w:line="480" w:lineRule="auto"/>
      <w:jc w:val="center"/>
    </w:pPr>
    <w:rPr>
      <w:rFonts w:ascii="Arial" w:hAnsi="Arial" w:cstheme="minorBidi"/>
      <w:sz w:val="20"/>
      <w:u w:val="single"/>
    </w:rPr>
  </w:style>
  <w:style w:type="character" w:customStyle="1" w:styleId="TitleChar1">
    <w:name w:val="Title Char1"/>
    <w:basedOn w:val="DefaultParagraphFont"/>
    <w:uiPriority w:val="10"/>
    <w:rsid w:val="002247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47A6"/>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2247A6"/>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6</Pages>
  <Words>1935</Words>
  <Characters>11034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6</cp:revision>
  <dcterms:created xsi:type="dcterms:W3CDTF">2021-10-31T15:26:00Z</dcterms:created>
  <dcterms:modified xsi:type="dcterms:W3CDTF">2021-10-31T17:03:00Z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