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5821" w14:textId="3BC9FF0B" w:rsidR="00B47969" w:rsidRDefault="005A1DF3" w:rsidP="00B47969">
      <w:pPr>
        <w:rPr>
          <w:b/>
          <w:sz w:val="26"/>
          <w:szCs w:val="26"/>
        </w:rPr>
      </w:pPr>
      <w:proofErr w:type="spellStart"/>
      <w:r>
        <w:t>a</w:t>
      </w:r>
      <w:proofErr w:type="spellEnd"/>
      <w:r w:rsidR="00B47969" w:rsidRPr="00B47969">
        <w:rPr>
          <w:b/>
          <w:sz w:val="26"/>
          <w:szCs w:val="26"/>
        </w:rPr>
        <w:t xml:space="preserve"> </w:t>
      </w:r>
      <w:proofErr w:type="gramStart"/>
      <w:r w:rsidR="00B47969" w:rsidRPr="00001203">
        <w:rPr>
          <w:b/>
          <w:sz w:val="26"/>
          <w:szCs w:val="26"/>
        </w:rPr>
        <w:t>The</w:t>
      </w:r>
      <w:proofErr w:type="gramEnd"/>
      <w:r w:rsidR="00B47969" w:rsidRPr="00001203">
        <w:rPr>
          <w:b/>
          <w:sz w:val="26"/>
          <w:szCs w:val="26"/>
        </w:rPr>
        <w:t xml:space="preserve"> meta</w:t>
      </w:r>
      <w:r w:rsidR="00B47969">
        <w:rPr>
          <w:b/>
          <w:sz w:val="26"/>
          <w:szCs w:val="26"/>
        </w:rPr>
        <w:t xml:space="preserve"> ethic is practical reason-</w:t>
      </w:r>
    </w:p>
    <w:p w14:paraId="7807C446" w14:textId="77777777" w:rsidR="00B47969" w:rsidRPr="00472885" w:rsidRDefault="00B47969" w:rsidP="00B47969">
      <w:pPr>
        <w:pStyle w:val="Heading4"/>
      </w:pPr>
      <w:r>
        <w:t>Ethics must be derived a priori</w:t>
      </w:r>
    </w:p>
    <w:p w14:paraId="5D01ACE9" w14:textId="77777777" w:rsidR="00B47969" w:rsidRPr="00472885" w:rsidRDefault="00B47969" w:rsidP="00B47969">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24534DAC" w14:textId="77777777" w:rsidR="00B47969" w:rsidRDefault="00B47969" w:rsidP="00B47969">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AD78FF5" w14:textId="77777777" w:rsidR="00B47969" w:rsidRDefault="00B47969" w:rsidP="00B47969"/>
    <w:p w14:paraId="2ABA86FE" w14:textId="77777777" w:rsidR="00B47969" w:rsidRDefault="00B47969" w:rsidP="00B47969">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0D981B5" w14:textId="77777777" w:rsidR="00B47969" w:rsidRDefault="00B47969" w:rsidP="00B47969">
      <w:r>
        <w:t xml:space="preserve"> </w:t>
      </w:r>
    </w:p>
    <w:p w14:paraId="4351E8E0" w14:textId="77777777" w:rsidR="00B47969" w:rsidRDefault="00B47969" w:rsidP="00B47969">
      <w:pPr>
        <w:pStyle w:val="Heading4"/>
      </w:pPr>
      <w:r>
        <w:t>Practical reason means we must be able to universally will maxims—our judgements are authoritative and can’t only apply to ourselves any more than 2+2=4 can be true only for me. The only constraint is noncontradiction.</w:t>
      </w:r>
    </w:p>
    <w:p w14:paraId="385FB756" w14:textId="77777777" w:rsidR="00B47969" w:rsidRPr="00B17883" w:rsidRDefault="00B47969" w:rsidP="00B47969"/>
    <w:p w14:paraId="4B092F8A" w14:textId="77777777" w:rsidR="00B47969" w:rsidRDefault="00B47969" w:rsidP="00B47969">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3A719E0B" w14:textId="77777777" w:rsidR="00B47969" w:rsidRPr="00B17883" w:rsidRDefault="00B47969" w:rsidP="00B47969"/>
    <w:p w14:paraId="33C8EED4" w14:textId="77777777" w:rsidR="00B47969" w:rsidRPr="009954F0" w:rsidRDefault="00B47969" w:rsidP="00B47969">
      <w:pPr>
        <w:rPr>
          <w:b/>
          <w:sz w:val="26"/>
          <w:szCs w:val="26"/>
        </w:rPr>
      </w:pPr>
      <w:r>
        <w:rPr>
          <w:b/>
          <w:sz w:val="26"/>
          <w:szCs w:val="26"/>
        </w:rPr>
        <w:t xml:space="preserve">Prefer </w:t>
      </w:r>
    </w:p>
    <w:p w14:paraId="3E7F04E5" w14:textId="77777777" w:rsidR="00B47969" w:rsidRDefault="00B47969" w:rsidP="00B47969">
      <w:pPr>
        <w:pStyle w:val="Heading4"/>
      </w:pPr>
      <w:r>
        <w:t>1] The existence of extrinsic goodness requires unconditional human worth—that means we must treat others as ends in themselves.</w:t>
      </w:r>
    </w:p>
    <w:p w14:paraId="29EBA2C7" w14:textId="77777777" w:rsidR="00B47969" w:rsidRPr="005627B7" w:rsidRDefault="00B47969" w:rsidP="00B47969">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4FD0811C" w14:textId="77777777" w:rsidR="00B47969" w:rsidRDefault="00B47969" w:rsidP="00B47969">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lastRenderedPageBreak/>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0CF600B1" w14:textId="77777777" w:rsidR="00B47969" w:rsidRDefault="00B47969" w:rsidP="00B47969">
      <w:pPr>
        <w:rPr>
          <w:sz w:val="14"/>
        </w:rPr>
      </w:pPr>
    </w:p>
    <w:p w14:paraId="548540E5" w14:textId="77777777" w:rsidR="00B47969" w:rsidRPr="00FE1757" w:rsidRDefault="00B47969" w:rsidP="00B47969">
      <w:pPr>
        <w:spacing w:line="240" w:lineRule="auto"/>
        <w:rPr>
          <w:rFonts w:asciiTheme="minorHAnsi" w:hAnsiTheme="minorHAnsi"/>
          <w:sz w:val="14"/>
          <w:szCs w:val="16"/>
        </w:rPr>
      </w:pPr>
    </w:p>
    <w:p w14:paraId="17176CAF" w14:textId="77777777" w:rsidR="00B47969" w:rsidRDefault="00B47969" w:rsidP="00B47969">
      <w:pPr>
        <w:pStyle w:val="Heading4"/>
      </w:pPr>
      <w:r>
        <w:t>2] Other frameworks collapse—they contain conditional obligations which derive their authority from the categorical imperative.</w:t>
      </w:r>
    </w:p>
    <w:p w14:paraId="78B120BB" w14:textId="77777777" w:rsidR="00B47969" w:rsidRPr="0068420B" w:rsidRDefault="00B47969" w:rsidP="00B47969">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3E4197C0" w14:textId="77777777" w:rsidR="00B47969" w:rsidRPr="0042088F" w:rsidRDefault="00B47969" w:rsidP="00B47969">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1B69F486" w14:textId="77777777" w:rsidR="00B47969" w:rsidRDefault="00B47969" w:rsidP="00B47969">
      <w:pPr>
        <w:pStyle w:val="Heading4"/>
        <w:jc w:val="both"/>
      </w:pPr>
      <w:r>
        <w:lastRenderedPageBreak/>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4AD67752" w14:textId="77777777" w:rsidR="00B47969" w:rsidRPr="0042088F" w:rsidRDefault="00B47969" w:rsidP="00B47969">
      <w:pPr>
        <w:rPr>
          <w:rFonts w:cs="Tahoma"/>
          <w:sz w:val="14"/>
        </w:rPr>
      </w:pPr>
    </w:p>
    <w:p w14:paraId="20AC58F0" w14:textId="0B4064BF" w:rsidR="00B47969" w:rsidRDefault="00B47969" w:rsidP="00B47969">
      <w:pPr>
        <w:pStyle w:val="Heading4"/>
      </w:pPr>
      <w:r>
        <w:t>5] Kantian ethics solve oppression-Contrary to Kant’s own beliefs</w:t>
      </w:r>
    </w:p>
    <w:p w14:paraId="0EDCA1FE" w14:textId="77777777" w:rsidR="00B47969" w:rsidRPr="00C6519A" w:rsidRDefault="00B47969" w:rsidP="00B47969">
      <w:pPr>
        <w:rPr>
          <w:rStyle w:val="Style13ptBold"/>
          <w:rFonts w:asciiTheme="minorHAnsi" w:hAnsiTheme="minorHAnsi"/>
        </w:rPr>
      </w:pPr>
      <w:r w:rsidRPr="00C6519A">
        <w:rPr>
          <w:rStyle w:val="Style13ptBold"/>
          <w:rFonts w:asciiTheme="minorHAnsi" w:hAnsiTheme="minorHAnsi"/>
        </w:rPr>
        <w:t>Farr ’02</w:t>
      </w:r>
    </w:p>
    <w:p w14:paraId="413F4698" w14:textId="77777777" w:rsidR="00B47969" w:rsidRPr="00C6519A" w:rsidRDefault="00B47969" w:rsidP="00B47969">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 xml:space="preserve">/Recut Lex </w:t>
      </w:r>
      <w:proofErr w:type="spellStart"/>
      <w:r>
        <w:rPr>
          <w:rFonts w:asciiTheme="minorHAnsi" w:hAnsiTheme="minorHAnsi"/>
          <w:sz w:val="16"/>
        </w:rPr>
        <w:t>AKu</w:t>
      </w:r>
      <w:proofErr w:type="spellEnd"/>
    </w:p>
    <w:p w14:paraId="3E7B0D90" w14:textId="4065A0B8" w:rsidR="00B47969" w:rsidRDefault="00B47969" w:rsidP="00B47969">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xml:space="preserve">. A deeper reading of the Grounding and Kant’s philosophy in general may produce the deconstruction35 suggested by Gates. However, a text is not </w:t>
      </w:r>
      <w:r w:rsidRPr="000F308A">
        <w:rPr>
          <w:sz w:val="16"/>
        </w:rPr>
        <w:lastRenderedPageBreak/>
        <w:t>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xml:space="preserve">. Although the theory is consistent and emancipatory and should apply to all persons, Kant the man has his own personal and moral problems. Although Kant’s attitude toward people of African descent was deplorable, it would be equally deplorable to reject the </w:t>
      </w:r>
    </w:p>
    <w:p w14:paraId="6F2ACE5B" w14:textId="77777777" w:rsidR="00B47969" w:rsidRPr="00E6592B" w:rsidRDefault="00B47969" w:rsidP="00B47969">
      <w:pPr>
        <w:pStyle w:val="Heading4"/>
      </w:pPr>
      <w:r w:rsidRPr="00E6592B">
        <w:t>Ideal theory</w:t>
      </w:r>
      <w:r>
        <w:t xml:space="preserve"> – Ideal theory</w:t>
      </w:r>
      <w:r w:rsidRPr="00E6592B">
        <w:t xml:space="preserve"> is in no way incompatible with a radical agenda—broad principles can inspire broad sweeping change and allow previously-excluded groups to claim political agency.</w:t>
      </w:r>
      <w:r>
        <w:t xml:space="preserve"> Ideal theory can make changes to the nonideal world</w:t>
      </w:r>
    </w:p>
    <w:p w14:paraId="583B754A" w14:textId="77777777" w:rsidR="00B47969" w:rsidRPr="00BE0E13" w:rsidRDefault="00B47969" w:rsidP="00B47969">
      <w:pPr>
        <w:rPr>
          <w:sz w:val="18"/>
          <w:szCs w:val="18"/>
        </w:rPr>
      </w:pPr>
      <w:r w:rsidRPr="00BE0E13">
        <w:rPr>
          <w:rFonts w:eastAsiaTheme="majorEastAsia" w:cstheme="majorBidi"/>
          <w:b/>
          <w:iCs/>
          <w:sz w:val="26"/>
        </w:rPr>
        <w:t>Holmstrom</w:t>
      </w:r>
      <w:r w:rsidRPr="00BE0E13">
        <w:t xml:space="preserve"> </w:t>
      </w:r>
      <w:r w:rsidRPr="00BE0E13">
        <w:rPr>
          <w:sz w:val="18"/>
          <w:szCs w:val="18"/>
        </w:rPr>
        <w:t xml:space="preserve">[Holmstrom, Nancy [Prof. Emeritus @ Rutgers]. "Response to Charles </w:t>
      </w:r>
      <w:proofErr w:type="spellStart"/>
      <w:r w:rsidRPr="00BE0E13">
        <w:rPr>
          <w:sz w:val="18"/>
          <w:szCs w:val="18"/>
        </w:rPr>
        <w:t>Mills's</w:t>
      </w:r>
      <w:proofErr w:type="spellEnd"/>
      <w:r w:rsidRPr="00BE0E13">
        <w:rPr>
          <w:sz w:val="18"/>
          <w:szCs w:val="18"/>
        </w:rPr>
        <w:t>." Radical Philosophy Review 15.2 (2012): 325-330.] [recut by Lex CH]</w:t>
      </w:r>
    </w:p>
    <w:p w14:paraId="7C0F7803" w14:textId="77777777" w:rsidR="00B47969" w:rsidRDefault="00B47969" w:rsidP="00B47969">
      <w:pPr>
        <w:rPr>
          <w:rStyle w:val="LinedDown"/>
          <w:rFonts w:asciiTheme="minorHAnsi" w:hAnsiTheme="minorHAnsi"/>
        </w:rPr>
      </w:pPr>
      <w:r w:rsidRPr="00E6592B">
        <w:rPr>
          <w:rStyle w:val="LinedDown"/>
          <w:rFonts w:asciiTheme="minorHAnsi" w:hAnsiTheme="minorHAnsi"/>
        </w:rPr>
        <w:t xml:space="preserve">We have to speak to people where they are, he says, and that means appealing to core values of liberalism: </w:t>
      </w:r>
      <w:r w:rsidRPr="00DB1B6D">
        <w:rPr>
          <w:rStyle w:val="StyleUnderline"/>
          <w:rFonts w:asciiTheme="minorHAnsi" w:hAnsiTheme="minorHAnsi"/>
          <w:bCs/>
          <w:highlight w:val="green"/>
        </w:rPr>
        <w:t>individualism, equal rights and moral egalitarianism</w:t>
      </w:r>
      <w:r w:rsidRPr="00E6592B">
        <w:rPr>
          <w:rStyle w:val="LinedDown"/>
          <w:rFonts w:asciiTheme="minorHAnsi" w:hAnsiTheme="minorHAnsi"/>
        </w:rPr>
        <w:t xml:space="preserve">. Against what he calls the conventional wisdom among </w:t>
      </w:r>
      <w:proofErr w:type="spellStart"/>
      <w:r w:rsidRPr="00E6592B">
        <w:rPr>
          <w:rStyle w:val="LinedDown"/>
          <w:rFonts w:asciiTheme="minorHAnsi" w:hAnsiTheme="minorHAnsi"/>
        </w:rPr>
        <w:t>radi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cals</w:t>
      </w:r>
      <w:proofErr w:type="spellEnd"/>
      <w:r w:rsidRPr="00E6592B">
        <w:rPr>
          <w:rStyle w:val="LinedDown"/>
          <w:rFonts w:asciiTheme="minorHAnsi" w:hAnsiTheme="minorHAnsi"/>
        </w:rPr>
        <w:t xml:space="preserve">, he argues that </w:t>
      </w:r>
      <w:r w:rsidRPr="00DB1B6D">
        <w:rPr>
          <w:rStyle w:val="StyleUnderline"/>
          <w:rFonts w:asciiTheme="minorHAnsi" w:hAnsiTheme="minorHAnsi"/>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w:t>
      </w:r>
      <w:proofErr w:type="gramStart"/>
      <w:r w:rsidRPr="00E6592B">
        <w:rPr>
          <w:rStyle w:val="LinedDown"/>
          <w:rFonts w:asciiTheme="minorHAnsi" w:hAnsiTheme="minorHAnsi"/>
        </w:rPr>
        <w:t>So</w:t>
      </w:r>
      <w:proofErr w:type="gramEnd"/>
      <w:r w:rsidRPr="00E6592B">
        <w:rPr>
          <w:rStyle w:val="LinedDown"/>
          <w:rFonts w:asciiTheme="minorHAnsi" w:hAnsiTheme="minorHAnsi"/>
        </w:rPr>
        <w:t xml:space="preserve"> I agree with Charles that such universalistic principles have great value; </w:t>
      </w:r>
      <w:r w:rsidRPr="00DB1B6D">
        <w:rPr>
          <w:rStyle w:val="StyleUnderline"/>
          <w:rFonts w:asciiTheme="minorHAnsi" w:hAnsiTheme="minorHAnsi"/>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w:t>
      </w:r>
      <w:proofErr w:type="spellStart"/>
      <w:r w:rsidRPr="00E6592B">
        <w:rPr>
          <w:rStyle w:val="LinedDown"/>
          <w:rFonts w:asciiTheme="minorHAnsi" w:hAnsiTheme="minorHAnsi"/>
        </w:rPr>
        <w:t>politi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w:t>
      </w:r>
      <w:proofErr w:type="spellEnd"/>
      <w:r w:rsidRPr="00E6592B">
        <w:rPr>
          <w:rStyle w:val="LinedDown"/>
          <w:rFonts w:asciiTheme="minorHAnsi" w:hAnsiTheme="minorHAnsi"/>
        </w:rPr>
        <w:t xml:space="preserve"> practice but have been their strongest champions since the Revolution; socialists of all kinds helped to build the labor and civil rights movements.</w:t>
      </w:r>
    </w:p>
    <w:p w14:paraId="787C0D03" w14:textId="77777777" w:rsidR="00B47969" w:rsidRDefault="00B47969" w:rsidP="00B47969">
      <w:pPr>
        <w:pStyle w:val="Heading4"/>
      </w:pPr>
      <w:r>
        <w:t>Ideal Theory – Abstract ideals are inevitable and good.</w:t>
      </w:r>
    </w:p>
    <w:p w14:paraId="4A0C2B18" w14:textId="77777777" w:rsidR="00B47969" w:rsidRPr="0036278C" w:rsidRDefault="00B47969" w:rsidP="00B47969">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4FDE0D10" w14:textId="77777777" w:rsidR="00B47969" w:rsidRPr="00651D67" w:rsidRDefault="00B47969" w:rsidP="00B47969">
      <w:pPr>
        <w:rPr>
          <w:sz w:val="16"/>
        </w:rPr>
      </w:pPr>
      <w:r w:rsidRPr="0036278C">
        <w:rPr>
          <w:sz w:val="16"/>
        </w:rPr>
        <w:t xml:space="preserve">On the Rawlsian view, </w:t>
      </w:r>
      <w:r w:rsidRPr="00910737">
        <w:rPr>
          <w:rStyle w:val="StyleUnderline"/>
          <w:highlight w:val="green"/>
        </w:rPr>
        <w:t>injustices are</w:t>
      </w:r>
      <w:r w:rsidRPr="0036278C">
        <w:rPr>
          <w:sz w:val="16"/>
        </w:rPr>
        <w:t xml:space="preserve"> conceptualized as </w:t>
      </w:r>
      <w:r w:rsidRPr="00910737">
        <w:rPr>
          <w:rStyle w:val="StyleUnderline"/>
          <w:highlight w:val="green"/>
        </w:rPr>
        <w:t>deviations from the ideal principles of justice, in</w:t>
      </w:r>
      <w:r w:rsidRPr="00FF2BAB">
        <w:rPr>
          <w:rStyle w:val="StyleUnderline"/>
        </w:rPr>
        <w:t xml:space="preserve"> much </w:t>
      </w:r>
      <w:r w:rsidRPr="00910737">
        <w:rPr>
          <w:rStyle w:val="StyleUnderline"/>
          <w:highlight w:val="green"/>
        </w:rPr>
        <w:t>the same way that fallacious reasoning is</w:t>
      </w:r>
      <w:r w:rsidRPr="00FF2BAB">
        <w:rPr>
          <w:rStyle w:val="StyleUnderline"/>
        </w:rPr>
        <w:t xml:space="preserve"> conceived as a </w:t>
      </w:r>
      <w:r w:rsidRPr="00910737">
        <w:rPr>
          <w:rStyle w:val="StyleUnderline"/>
          <w:highlight w:val="green"/>
        </w:rPr>
        <w:t>deviation from</w:t>
      </w:r>
      <w:r w:rsidRPr="00FF2BAB">
        <w:rPr>
          <w:rStyle w:val="StyleUnderline"/>
        </w:rPr>
        <w:t xml:space="preserve"> the rules of </w:t>
      </w:r>
      <w:r w:rsidRPr="00910737">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910737">
        <w:rPr>
          <w:rStyle w:val="StyleUnderline"/>
          <w:highlight w:val="green"/>
        </w:rPr>
        <w:t>charges of injustice presuppose ideals of justice, which</w:t>
      </w:r>
      <w:r w:rsidRPr="00FF2BAB">
        <w:rPr>
          <w:rStyle w:val="StyleUnderline"/>
        </w:rPr>
        <w:t xml:space="preserve"> particular </w:t>
      </w:r>
      <w:r w:rsidRPr="00910737">
        <w:rPr>
          <w:rStyle w:val="StyleUnderline"/>
          <w:highlight w:val="green"/>
        </w:rPr>
        <w:t>individuals</w:t>
      </w:r>
      <w:r w:rsidRPr="00FF2BAB">
        <w:rPr>
          <w:rStyle w:val="StyleUnderline"/>
        </w:rPr>
        <w:t xml:space="preserve"> and institutions </w:t>
      </w:r>
      <w:r w:rsidRPr="00910737">
        <w:rPr>
          <w:rStyle w:val="StyleUnderline"/>
          <w:highlight w:val="green"/>
        </w:rPr>
        <w:t>can</w:t>
      </w:r>
      <w:r w:rsidRPr="00FF2BAB">
        <w:rPr>
          <w:rStyle w:val="StyleUnderline"/>
        </w:rPr>
        <w:t xml:space="preserve"> and often do </w:t>
      </w:r>
      <w:r w:rsidRPr="00910737">
        <w:rPr>
          <w:rStyle w:val="StyleUnderline"/>
          <w:highlight w:val="green"/>
        </w:rPr>
        <w:t>depart from</w:t>
      </w:r>
      <w:r w:rsidRPr="0036278C">
        <w:rPr>
          <w:sz w:val="16"/>
        </w:rPr>
        <w:t xml:space="preserve">. Such deviations can be small or great, minor or serious, and </w:t>
      </w:r>
      <w:r w:rsidRPr="00910737">
        <w:rPr>
          <w:rStyle w:val="StyleUnderline"/>
          <w:highlight w:val="green"/>
        </w:rPr>
        <w:t>depending on the</w:t>
      </w:r>
      <w:r w:rsidRPr="0036278C">
        <w:rPr>
          <w:sz w:val="16"/>
        </w:rPr>
        <w:t xml:space="preserve"> size and nature of </w:t>
      </w:r>
      <w:r w:rsidRPr="00FF2BAB">
        <w:rPr>
          <w:rStyle w:val="StyleUnderline"/>
        </w:rPr>
        <w:t xml:space="preserve">the </w:t>
      </w:r>
      <w:r w:rsidRPr="00910737">
        <w:rPr>
          <w:rStyle w:val="StyleUnderline"/>
          <w:highlight w:val="green"/>
        </w:rPr>
        <w:t>gap between ideals and practice</w:t>
      </w:r>
      <w:r w:rsidRPr="0036278C">
        <w:rPr>
          <w:sz w:val="16"/>
        </w:rPr>
        <w:t xml:space="preserve"> (and also on whether these deviations are avoidable or blameworthy), </w:t>
      </w:r>
      <w:r w:rsidRPr="00910737">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w:t>
      </w:r>
      <w:r w:rsidRPr="0036278C">
        <w:rPr>
          <w:sz w:val="16"/>
        </w:rPr>
        <w:lastRenderedPageBreak/>
        <w:t xml:space="preserve">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910737">
        <w:rPr>
          <w:rStyle w:val="StyleUnderline"/>
          <w:highlight w:val="green"/>
        </w:rPr>
        <w:t>nonideal theory</w:t>
      </w:r>
      <w:r w:rsidRPr="00FF2BAB">
        <w:rPr>
          <w:rStyle w:val="StyleUnderline"/>
        </w:rPr>
        <w:t>—the study of the principles that should guide our responses to injustice—</w:t>
      </w:r>
      <w:r w:rsidRPr="00910737">
        <w:rPr>
          <w:rStyle w:val="StyleUnderline"/>
          <w:highlight w:val="green"/>
        </w:rPr>
        <w:t>cannot succeed without knowing</w:t>
      </w:r>
      <w:r w:rsidRPr="00FF2BAB">
        <w:rPr>
          <w:rStyle w:val="StyleUnderline"/>
        </w:rPr>
        <w:t xml:space="preserve"> what the </w:t>
      </w:r>
      <w:r w:rsidRPr="00910737">
        <w:rPr>
          <w:rStyle w:val="StyleUnderline"/>
          <w:highlight w:val="green"/>
        </w:rPr>
        <w:t>standards of justice</w:t>
      </w:r>
      <w:r w:rsidRPr="00FF2BAB">
        <w:rPr>
          <w:rStyle w:val="StyleUnderline"/>
        </w:rPr>
        <w:t xml:space="preserve"> are</w:t>
      </w:r>
      <w:r w:rsidRPr="0036278C">
        <w:rPr>
          <w:sz w:val="16"/>
        </w:rPr>
        <w:t xml:space="preserve"> (</w:t>
      </w:r>
      <w:r w:rsidRPr="00910737">
        <w:rPr>
          <w:rStyle w:val="StyleUnderline"/>
          <w:highlight w:val="green"/>
        </w:rPr>
        <w:t>and</w:t>
      </w:r>
      <w:r w:rsidRPr="0036278C">
        <w:rPr>
          <w:sz w:val="16"/>
        </w:rPr>
        <w:t xml:space="preserve"> perhaps also </w:t>
      </w:r>
      <w:r w:rsidRPr="00910737">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910737">
        <w:rPr>
          <w:rStyle w:val="StyleUnderline"/>
          <w:highlight w:val="green"/>
        </w:rPr>
        <w:t>When dealing with gross injustices</w:t>
      </w:r>
      <w:r w:rsidRPr="00FF2BAB">
        <w:rPr>
          <w:rStyle w:val="StyleUnderline"/>
        </w:rPr>
        <w:t xml:space="preserve">, such as slavery, </w:t>
      </w:r>
      <w:r w:rsidRPr="00910737">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910737">
        <w:rPr>
          <w:rStyle w:val="StyleUnderline"/>
          <w:highlight w:val="green"/>
        </w:rPr>
        <w:t>rely</w:t>
      </w:r>
      <w:r w:rsidRPr="00FF2BAB">
        <w:rPr>
          <w:rStyle w:val="StyleUnderline"/>
        </w:rPr>
        <w:t xml:space="preserve">ing exclusively </w:t>
      </w:r>
      <w:r w:rsidRPr="00910737">
        <w:rPr>
          <w:rStyle w:val="StyleUnderline"/>
          <w:highlight w:val="green"/>
        </w:rPr>
        <w:t>on</w:t>
      </w:r>
      <w:r w:rsidRPr="00FF2BAB">
        <w:rPr>
          <w:rStyle w:val="StyleUnderline"/>
        </w:rPr>
        <w:t xml:space="preserve"> our </w:t>
      </w:r>
      <w:r w:rsidRPr="00910737">
        <w:rPr>
          <w:rStyle w:val="StyleUnderline"/>
          <w:highlight w:val="green"/>
        </w:rPr>
        <w:t>pre-theoretic</w:t>
      </w:r>
      <w:r w:rsidRPr="00FF2BAB">
        <w:rPr>
          <w:rStyle w:val="StyleUnderline"/>
        </w:rPr>
        <w:t xml:space="preserve"> moral </w:t>
      </w:r>
      <w:r w:rsidRPr="00910737">
        <w:rPr>
          <w:rStyle w:val="StyleUnderline"/>
          <w:highlight w:val="green"/>
        </w:rPr>
        <w:t>convictions</w:t>
      </w:r>
      <w:r w:rsidRPr="0036278C">
        <w:rPr>
          <w:sz w:val="16"/>
        </w:rPr>
        <w:t xml:space="preserve">. We don’t need a theory for that. </w:t>
      </w:r>
      <w:r w:rsidRPr="00910737">
        <w:rPr>
          <w:rStyle w:val="StyleUnderline"/>
          <w:highlight w:val="green"/>
        </w:rPr>
        <w:t>But</w:t>
      </w:r>
      <w:r w:rsidRPr="00FF2BAB">
        <w:rPr>
          <w:rStyle w:val="StyleUnderline"/>
        </w:rPr>
        <w:t xml:space="preserve"> </w:t>
      </w:r>
      <w:r w:rsidRPr="00910737">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910737">
        <w:rPr>
          <w:rStyle w:val="StyleUnderline"/>
          <w:highlight w:val="green"/>
        </w:rPr>
        <w:t>we won’t know which aspects of a society should be altered in the absence of a</w:t>
      </w:r>
      <w:r w:rsidRPr="008772CC">
        <w:rPr>
          <w:rStyle w:val="StyleUnderline"/>
        </w:rPr>
        <w:t xml:space="preserve"> more </w:t>
      </w:r>
      <w:r w:rsidRPr="00910737">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14A7F462" w14:textId="77777777" w:rsidR="00B47969" w:rsidRPr="004D73F8" w:rsidRDefault="00B47969" w:rsidP="00B47969"/>
    <w:p w14:paraId="0A5717B7" w14:textId="77777777" w:rsidR="00B47969" w:rsidRPr="00B55AD5" w:rsidRDefault="00B47969" w:rsidP="00B47969"/>
    <w:p w14:paraId="15D38891" w14:textId="77777777" w:rsidR="00B47969" w:rsidRPr="00E17E79" w:rsidRDefault="00B47969" w:rsidP="00B47969"/>
    <w:p w14:paraId="11C43025" w14:textId="77777777" w:rsidR="00B47969" w:rsidRPr="003D36E2" w:rsidRDefault="00B47969" w:rsidP="00B47969">
      <w:pPr>
        <w:pStyle w:val="Heading3"/>
        <w:rPr>
          <w:rFonts w:cs="Calibri"/>
        </w:rPr>
      </w:pPr>
      <w:r w:rsidRPr="003D36E2">
        <w:rPr>
          <w:rFonts w:cs="Calibri"/>
        </w:rPr>
        <w:lastRenderedPageBreak/>
        <w:t>Offense</w:t>
      </w:r>
    </w:p>
    <w:p w14:paraId="2E77C552" w14:textId="77777777" w:rsidR="00B47969" w:rsidRPr="003D36E2" w:rsidRDefault="00B47969" w:rsidP="00B47969">
      <w:pPr>
        <w:pStyle w:val="Heading4"/>
        <w:rPr>
          <w:rFonts w:cs="Calibri"/>
        </w:rPr>
      </w:pPr>
      <w:r w:rsidRPr="003D36E2">
        <w:rPr>
          <w:rFonts w:cs="Calibri"/>
        </w:rPr>
        <w:t xml:space="preserve">1] IP rights prevent certain people from receiving the fruits of their mental labor. </w:t>
      </w:r>
    </w:p>
    <w:p w14:paraId="43D9B860" w14:textId="77777777" w:rsidR="00B47969" w:rsidRPr="003D36E2" w:rsidRDefault="00B47969" w:rsidP="00B47969">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12830FB2" w14:textId="77777777" w:rsidR="00B47969" w:rsidRPr="008B5B12" w:rsidRDefault="00B47969" w:rsidP="00B47969">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48FDEAD1" w14:textId="77777777" w:rsidR="00B47969" w:rsidRPr="003D36E2" w:rsidRDefault="00B47969" w:rsidP="00B47969">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502634E2" w14:textId="77777777" w:rsidR="00B47969" w:rsidRPr="003D36E2" w:rsidRDefault="00B47969" w:rsidP="00B47969">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64C79D96" w14:textId="77777777" w:rsidR="00B47969" w:rsidRPr="000948BA" w:rsidRDefault="00B47969" w:rsidP="00B47969">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58F57B60" w14:textId="77777777" w:rsidR="00B47969" w:rsidRPr="003D36E2" w:rsidRDefault="00B47969" w:rsidP="00B47969">
      <w:pPr>
        <w:pStyle w:val="Heading4"/>
        <w:rPr>
          <w:rFonts w:cs="Calibri"/>
        </w:rPr>
      </w:pPr>
      <w:r>
        <w:rPr>
          <w:rFonts w:cs="Calibri"/>
        </w:rPr>
        <w:t>5</w:t>
      </w:r>
      <w:r w:rsidRPr="003D36E2">
        <w:rPr>
          <w:rFonts w:cs="Calibri"/>
        </w:rPr>
        <w:t xml:space="preserve">] Justifying ownership based on creation is unjust. </w:t>
      </w:r>
    </w:p>
    <w:p w14:paraId="5C8B03B1" w14:textId="77777777" w:rsidR="00B47969" w:rsidRPr="003D36E2" w:rsidRDefault="00B47969" w:rsidP="00B47969">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5C1973C4" w14:textId="77777777" w:rsidR="00B47969" w:rsidRPr="003D36E2" w:rsidRDefault="00B47969" w:rsidP="00B47969">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5E79F638" w14:textId="77777777" w:rsidR="00B47969" w:rsidRDefault="00B47969" w:rsidP="00B47969">
      <w:pPr>
        <w:pStyle w:val="Heading3"/>
      </w:pPr>
      <w:proofErr w:type="spellStart"/>
      <w:r>
        <w:lastRenderedPageBreak/>
        <w:t>Underview</w:t>
      </w:r>
      <w:proofErr w:type="spellEnd"/>
    </w:p>
    <w:p w14:paraId="0C7AF69D" w14:textId="50A92B27" w:rsidR="00B47969" w:rsidRDefault="00D97453" w:rsidP="00B47969">
      <w:pPr>
        <w:pStyle w:val="Heading3"/>
      </w:pPr>
      <w:r>
        <w:lastRenderedPageBreak/>
        <w:t>RR</w:t>
      </w:r>
    </w:p>
    <w:p w14:paraId="3AFDE5F7" w14:textId="396C01C2" w:rsidR="00D97453" w:rsidRPr="00D97453" w:rsidRDefault="00D97453" w:rsidP="00D97453">
      <w:pPr>
        <w:pStyle w:val="Heading4"/>
      </w:pPr>
      <w:proofErr w:type="spellStart"/>
      <w:r>
        <w:t>I</w:t>
      </w:r>
      <w:r w:rsidRPr="00D97453">
        <w:t>nterp</w:t>
      </w:r>
      <w:proofErr w:type="spellEnd"/>
      <w:r w:rsidRPr="00D97453">
        <w:t xml:space="preserve"> – Debaters must disclose complete round reports on the 2020-2021 NDCA LD wiki 30 minutes after every round and speech (for their opponent as well) they have debated this season. Violation – they are missing their </w:t>
      </w:r>
      <w:proofErr w:type="gramStart"/>
      <w:r w:rsidRPr="00D97453">
        <w:t>opponents</w:t>
      </w:r>
      <w:proofErr w:type="gramEnd"/>
      <w:r w:rsidRPr="00D97453">
        <w:t xml:space="preserve"> rebuttal speeches and I don’t violate Standards – [1] Level Playing Field – big schools can go and collect flows with more judges, but independents are left in the dark so round reports solve. Round reports are important because they give you an idea of what layers debaters go for to best prepare your </w:t>
      </w:r>
      <w:proofErr w:type="spellStart"/>
      <w:r w:rsidRPr="00D97453">
        <w:t>strat</w:t>
      </w:r>
      <w:proofErr w:type="spellEnd"/>
      <w:r w:rsidRPr="00D97453">
        <w:t xml:space="preserve"> when you hit them. Accessibility first and is a voter – [2] Prep skew – round reports provide information about debater’s strategy. Juts disclosure lets them act like they go for a policy </w:t>
      </w:r>
      <w:proofErr w:type="spellStart"/>
      <w:r w:rsidRPr="00D97453">
        <w:t>aff</w:t>
      </w:r>
      <w:proofErr w:type="spellEnd"/>
      <w:r w:rsidRPr="00D97453">
        <w:t xml:space="preserve"> when they just use it to bait condo. Round reports solve since debaters see their history of going for condo and adapt their strategy. Fairness is a voter and o/w – Reject all answers to the shell – they did put round reports for other speeches but forgot to do it for some rounds which flips all their offense because they were just being lazy Competing </w:t>
      </w:r>
      <w:proofErr w:type="spellStart"/>
      <w:r w:rsidRPr="00D97453">
        <w:t>Interps</w:t>
      </w:r>
      <w:proofErr w:type="spellEnd"/>
      <w:r w:rsidRPr="00D97453">
        <w:t xml:space="preserve"> over reasonability – a) Arbitrary – reasonability invites judge intervention since we don’t know your bs meter o/w since judges can vote on things like race which is exclusionary b) Collapses – reasonability collapses to competing </w:t>
      </w:r>
      <w:proofErr w:type="spellStart"/>
      <w:r w:rsidRPr="00D97453">
        <w:t>interps</w:t>
      </w:r>
      <w:proofErr w:type="spellEnd"/>
      <w:r w:rsidRPr="00D97453">
        <w:t xml:space="preserve"> – you justify two </w:t>
      </w:r>
      <w:proofErr w:type="spellStart"/>
      <w:r w:rsidRPr="00D97453">
        <w:t>brightlines</w:t>
      </w:r>
      <w:proofErr w:type="spellEnd"/>
      <w:r w:rsidRPr="00D97453">
        <w:t xml:space="preserve"> in an offense defense manner like two </w:t>
      </w:r>
      <w:proofErr w:type="spellStart"/>
      <w:r w:rsidRPr="00D97453">
        <w:t>interps</w:t>
      </w:r>
      <w:proofErr w:type="spellEnd"/>
      <w:r w:rsidRPr="00D97453">
        <w:t xml:space="preserve"> c) Norm setting – if you can’t defend why your model of debate is BETTER than your opponents’, then you should be held accountable for it – o/w on longevity for future rules d) Jurisdiction – even a marginal skew impairs ability to determine the better debater and only competing </w:t>
      </w:r>
      <w:proofErr w:type="spellStart"/>
      <w:r w:rsidRPr="00D97453">
        <w:t>interps</w:t>
      </w:r>
      <w:proofErr w:type="spellEnd"/>
      <w:r w:rsidRPr="00D97453">
        <w:t xml:space="preserve"> determines that via offense defense – o/w judge evals the round at the end of the debate DTD – DTA doesn’t make sense </w:t>
      </w:r>
      <w:proofErr w:type="spellStart"/>
      <w:r w:rsidRPr="00D97453">
        <w:t>its</w:t>
      </w:r>
      <w:proofErr w:type="spellEnd"/>
      <w:r w:rsidRPr="00D97453">
        <w:t xml:space="preserve"> an out of round violation and No RVI on 1ac theory – they have 7 minutes to answer a minute-long shell and the debate would just end</w:t>
      </w:r>
    </w:p>
    <w:p w14:paraId="18CD3EF5" w14:textId="727D2E2A" w:rsidR="00E42E4C" w:rsidRDefault="00D97453" w:rsidP="00D97453">
      <w:r>
        <w:rPr>
          <w:noProof/>
        </w:rPr>
        <w:lastRenderedPageBreak/>
        <w:drawing>
          <wp:inline distT="0" distB="0" distL="0" distR="0" wp14:anchorId="5A92CCF3" wp14:editId="40CC24A1">
            <wp:extent cx="5486400" cy="2887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2887345"/>
                    </a:xfrm>
                    <a:prstGeom prst="rect">
                      <a:avLst/>
                    </a:prstGeom>
                  </pic:spPr>
                </pic:pic>
              </a:graphicData>
            </a:graphic>
          </wp:inline>
        </w:drawing>
      </w:r>
    </w:p>
    <w:p w14:paraId="4760EF07" w14:textId="77777777" w:rsidR="00213D32" w:rsidRPr="00F601E6" w:rsidRDefault="00213D32" w:rsidP="00D97453"/>
    <w:sectPr w:rsidR="00213D3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3D32"/>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D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5A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D78"/>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969"/>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5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47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CB8E5"/>
  <w14:defaultImageDpi w14:val="300"/>
  <w15:docId w15:val="{6FE596EE-D0B1-E445-AAAC-BAF7B4FD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3D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3D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3D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3D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213D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3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3D32"/>
  </w:style>
  <w:style w:type="character" w:customStyle="1" w:styleId="Heading1Char">
    <w:name w:val="Heading 1 Char"/>
    <w:aliases w:val="Pocket Char"/>
    <w:basedOn w:val="DefaultParagraphFont"/>
    <w:link w:val="Heading1"/>
    <w:uiPriority w:val="9"/>
    <w:rsid w:val="00213D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3D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3D32"/>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213D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13D3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213D32"/>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213D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3D3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3D32"/>
    <w:rPr>
      <w:color w:val="auto"/>
      <w:u w:val="none"/>
    </w:rPr>
  </w:style>
  <w:style w:type="paragraph" w:styleId="DocumentMap">
    <w:name w:val="Document Map"/>
    <w:basedOn w:val="Normal"/>
    <w:link w:val="DocumentMapChar"/>
    <w:uiPriority w:val="99"/>
    <w:semiHidden/>
    <w:unhideWhenUsed/>
    <w:rsid w:val="00213D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3D32"/>
    <w:rPr>
      <w:rFonts w:ascii="Lucida Grande" w:hAnsi="Lucida Grande" w:cs="Lucida Grande"/>
    </w:rPr>
  </w:style>
  <w:style w:type="paragraph" w:customStyle="1" w:styleId="textbold">
    <w:name w:val="text bold"/>
    <w:basedOn w:val="Normal"/>
    <w:link w:val="Emphasis"/>
    <w:uiPriority w:val="20"/>
    <w:qFormat/>
    <w:rsid w:val="00B47969"/>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479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B47969"/>
    <w:pPr>
      <w:ind w:left="720"/>
      <w:contextualSpacing/>
    </w:pPr>
  </w:style>
  <w:style w:type="character" w:customStyle="1" w:styleId="LinedDown">
    <w:name w:val="Lined Down"/>
    <w:qFormat/>
    <w:rsid w:val="00B47969"/>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53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5568</Words>
  <Characters>27786</Characters>
  <Application>Microsoft Office Word</Application>
  <DocSecurity>0</DocSecurity>
  <Lines>631</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2021-07-29T06:36:00Z</dcterms:created>
  <dcterms:modified xsi:type="dcterms:W3CDTF">2021-09-11T16:56:00Z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