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95690" w14:textId="77777777" w:rsidR="007E1DDE" w:rsidRPr="009217D9" w:rsidRDefault="007E1DDE" w:rsidP="007E1DDE">
      <w:pPr>
        <w:pStyle w:val="Heading2"/>
      </w:pPr>
      <w:r>
        <w:t>Frwk</w:t>
      </w:r>
    </w:p>
    <w:p w14:paraId="62FACAB8" w14:textId="77777777" w:rsidR="007E1DDE" w:rsidRDefault="007E1DDE" w:rsidP="007E1DDE">
      <w:pPr>
        <w:pStyle w:val="Heading4"/>
        <w:keepNext w:val="0"/>
        <w:keepLines w:val="0"/>
        <w:spacing w:before="240" w:after="40" w:line="303" w:lineRule="auto"/>
        <w:rPr>
          <w:rFonts w:eastAsia="Calibri" w:cs="Calibri"/>
          <w:b w:val="0"/>
          <w:color w:val="000000"/>
        </w:rPr>
      </w:pPr>
      <w:r>
        <w:rPr>
          <w:rFonts w:eastAsia="Calibri" w:cs="Calibri"/>
          <w:color w:val="000000"/>
        </w:rPr>
        <w:t>Interpretation: The affirmative must defend the hypothetical implementation of the resolution.</w:t>
      </w:r>
    </w:p>
    <w:p w14:paraId="4A3FF126" w14:textId="77777777" w:rsidR="007E1DDE" w:rsidRDefault="007E1DDE" w:rsidP="007E1DDE">
      <w:pPr>
        <w:pStyle w:val="Heading4"/>
        <w:keepNext w:val="0"/>
        <w:keepLines w:val="0"/>
        <w:spacing w:before="240" w:after="40" w:line="303" w:lineRule="auto"/>
        <w:rPr>
          <w:rFonts w:eastAsia="Calibri" w:cs="Calibri"/>
          <w:b w:val="0"/>
          <w:color w:val="000000"/>
        </w:rPr>
      </w:pPr>
      <w:bookmarkStart w:id="0" w:name="_jmk0ekszmdob" w:colFirst="0" w:colLast="0"/>
      <w:bookmarkEnd w:id="0"/>
      <w:r>
        <w:rPr>
          <w:rFonts w:eastAsia="Calibri" w:cs="Calibri"/>
          <w:color w:val="000000"/>
        </w:rPr>
        <w:t>Resolved means a legislative policy</w:t>
      </w:r>
    </w:p>
    <w:p w14:paraId="121325C2" w14:textId="77777777" w:rsidR="007E1DDE" w:rsidRDefault="007E1DDE" w:rsidP="007E1DDE">
      <w:pPr>
        <w:spacing w:line="256" w:lineRule="auto"/>
        <w:rPr>
          <w:rFonts w:eastAsia="Calibri"/>
          <w:sz w:val="16"/>
          <w:szCs w:val="16"/>
        </w:rPr>
      </w:pPr>
      <w:r>
        <w:rPr>
          <w:rFonts w:eastAsia="Calibri"/>
          <w:b/>
          <w:sz w:val="26"/>
          <w:szCs w:val="26"/>
        </w:rPr>
        <w:t>Words and Phrases 64</w:t>
      </w:r>
      <w:r>
        <w:rPr>
          <w:rFonts w:eastAsia="Calibri"/>
          <w:sz w:val="16"/>
          <w:szCs w:val="16"/>
        </w:rPr>
        <w:t xml:space="preserve"> Words and Phrases Permanent Edition. “Resolved”. 1964. ED</w:t>
      </w:r>
    </w:p>
    <w:p w14:paraId="039C4CFC" w14:textId="77777777" w:rsidR="007E1DDE" w:rsidRDefault="007E1DDE" w:rsidP="007E1DDE">
      <w:pPr>
        <w:spacing w:line="256" w:lineRule="auto"/>
        <w:rPr>
          <w:rFonts w:eastAsia="Calibri"/>
          <w:sz w:val="16"/>
          <w:szCs w:val="16"/>
        </w:rPr>
      </w:pPr>
      <w:r>
        <w:rPr>
          <w:rFonts w:eastAsia="Calibri"/>
          <w:b/>
          <w:sz w:val="24"/>
          <w:u w:val="single"/>
        </w:rPr>
        <w:t>Definition of the word “</w:t>
      </w:r>
      <w:r w:rsidRPr="00866D16">
        <w:rPr>
          <w:rFonts w:eastAsia="Calibri"/>
          <w:b/>
          <w:sz w:val="24"/>
          <w:highlight w:val="cyan"/>
          <w:u w:val="single"/>
        </w:rPr>
        <w:t>resolve</w:t>
      </w:r>
      <w:r>
        <w:rPr>
          <w:rFonts w:eastAsia="Calibri"/>
          <w:b/>
          <w:sz w:val="24"/>
          <w:u w:val="single"/>
        </w:rPr>
        <w:t xml:space="preserve">,” given by Webster </w:t>
      </w:r>
      <w:r w:rsidRPr="00866D16">
        <w:rPr>
          <w:rFonts w:eastAsia="Calibri"/>
          <w:b/>
          <w:sz w:val="24"/>
          <w:highlight w:val="cyan"/>
          <w:u w:val="single"/>
        </w:rPr>
        <w:t>is</w:t>
      </w:r>
      <w:r>
        <w:rPr>
          <w:rFonts w:eastAsia="Calibri"/>
          <w:b/>
          <w:sz w:val="24"/>
          <w:u w:val="single"/>
        </w:rPr>
        <w:t xml:space="preserve"> “to express an opinion or </w:t>
      </w:r>
      <w:r w:rsidRPr="00866D16">
        <w:rPr>
          <w:rFonts w:eastAsia="Calibri"/>
          <w:b/>
          <w:sz w:val="24"/>
          <w:highlight w:val="cyan"/>
          <w:u w:val="single"/>
        </w:rPr>
        <w:t>determination by</w:t>
      </w:r>
      <w:r>
        <w:rPr>
          <w:rFonts w:eastAsia="Calibri"/>
          <w:b/>
          <w:sz w:val="24"/>
          <w:u w:val="single"/>
        </w:rPr>
        <w:t xml:space="preserve"> resolution or vote; as ‘it was resolved by the </w:t>
      </w:r>
      <w:r w:rsidRPr="00866D16">
        <w:rPr>
          <w:rFonts w:eastAsia="Calibri"/>
          <w:b/>
          <w:sz w:val="24"/>
          <w:highlight w:val="cyan"/>
          <w:u w:val="single"/>
        </w:rPr>
        <w:t>legislature</w:t>
      </w:r>
      <w:r>
        <w:rPr>
          <w:rFonts w:eastAsia="Calibri"/>
          <w:sz w:val="16"/>
          <w:szCs w:val="16"/>
        </w:rPr>
        <w:t>;” It is of similar force to the word “enact,” which is defined by Bouvier as meaning “</w:t>
      </w:r>
      <w:r w:rsidRPr="00866D16">
        <w:rPr>
          <w:rFonts w:eastAsia="Calibri"/>
          <w:b/>
          <w:sz w:val="24"/>
          <w:highlight w:val="cyan"/>
          <w:u w:val="single"/>
        </w:rPr>
        <w:t>to establish by law</w:t>
      </w:r>
      <w:r>
        <w:rPr>
          <w:rFonts w:eastAsia="Calibri"/>
          <w:sz w:val="16"/>
          <w:szCs w:val="16"/>
        </w:rPr>
        <w:t>”.</w:t>
      </w:r>
    </w:p>
    <w:p w14:paraId="1E421A4B" w14:textId="77777777" w:rsidR="007E1DDE" w:rsidRDefault="007E1DDE" w:rsidP="007E1DDE">
      <w:pPr>
        <w:pStyle w:val="Heading4"/>
        <w:keepNext w:val="0"/>
        <w:keepLines w:val="0"/>
        <w:spacing w:before="240" w:after="40" w:line="303" w:lineRule="auto"/>
        <w:rPr>
          <w:rFonts w:eastAsia="Calibri" w:cs="Calibri"/>
          <w:b w:val="0"/>
          <w:color w:val="000000"/>
        </w:rPr>
      </w:pPr>
      <w:bookmarkStart w:id="1" w:name="_lr9nms9swj7c" w:colFirst="0" w:colLast="0"/>
      <w:bookmarkEnd w:id="1"/>
      <w:r>
        <w:rPr>
          <w:rFonts w:eastAsia="Calibri" w:cs="Calibri"/>
          <w:color w:val="000000"/>
        </w:rPr>
        <w:t>Outer space means anything above Earth’s Karman line</w:t>
      </w:r>
    </w:p>
    <w:p w14:paraId="68F7724E" w14:textId="77777777" w:rsidR="007E1DDE" w:rsidRDefault="007E1DDE" w:rsidP="007E1DDE">
      <w:pPr>
        <w:spacing w:line="256" w:lineRule="auto"/>
        <w:rPr>
          <w:rFonts w:eastAsia="Calibri"/>
        </w:rPr>
      </w:pPr>
      <w:r>
        <w:rPr>
          <w:rFonts w:eastAsia="Calibri"/>
          <w:b/>
          <w:sz w:val="26"/>
          <w:szCs w:val="26"/>
        </w:rPr>
        <w:t>Dunnett 21</w:t>
      </w:r>
      <w:r>
        <w:rPr>
          <w:rFonts w:eastAsia="Calibri"/>
        </w:rPr>
        <w:t xml:space="preserve"> (Oliver Tristan, lecturer in geography at Queen’s University Belfast). Earth, Cosmos and Culture: Geographies of Outer Space in Britain, 1900–2020 (1st ed.). Routledge. 2021.</w:t>
      </w:r>
      <w:hyperlink r:id="rId9">
        <w:r>
          <w:rPr>
            <w:rFonts w:eastAsia="Calibri"/>
          </w:rPr>
          <w:t xml:space="preserve"> </w:t>
        </w:r>
      </w:hyperlink>
      <w:hyperlink r:id="rId10">
        <w:r>
          <w:rPr>
            <w:rFonts w:eastAsia="Calibri"/>
            <w:color w:val="1155CC"/>
            <w:u w:val="single"/>
          </w:rPr>
          <w:t>https://doi.org/10.4324/9780815356301</w:t>
        </w:r>
      </w:hyperlink>
      <w:r>
        <w:rPr>
          <w:rFonts w:eastAsia="Calibri"/>
        </w:rPr>
        <w:t xml:space="preserve"> EE</w:t>
      </w:r>
    </w:p>
    <w:p w14:paraId="77E909FA" w14:textId="77777777" w:rsidR="007E1DDE" w:rsidRPr="00EC79BE" w:rsidRDefault="007E1DDE" w:rsidP="007E1DDE">
      <w:pPr>
        <w:spacing w:line="256" w:lineRule="auto"/>
        <w:rPr>
          <w:rFonts w:eastAsia="Calibri"/>
          <w:sz w:val="12"/>
        </w:rPr>
      </w:pPr>
      <w:r w:rsidRPr="00EC79BE">
        <w:rPr>
          <w:rFonts w:eastAsia="Calibri"/>
          <w:sz w:val="12"/>
        </w:rPr>
        <w:t xml:space="preserve">In such ways, this book argues that Britain became a home to rich discourses of outer space, both feeding from and contributing to iconic achievements in space exploration, while also embracing the cosmos in imaginative and philosophical ways.2 </w:t>
      </w:r>
      <w:r>
        <w:rPr>
          <w:rFonts w:eastAsia="Calibri"/>
          <w:b/>
          <w:u w:val="single"/>
        </w:rPr>
        <w:t xml:space="preserve">INSERT FOOTNOTE 2 </w:t>
      </w:r>
      <w:r w:rsidRPr="00EC79BE">
        <w:rPr>
          <w:rFonts w:eastAsia="Calibri"/>
          <w:sz w:val="12"/>
        </w:rPr>
        <w:t xml:space="preserve">2 </w:t>
      </w:r>
      <w:r w:rsidRPr="00866D16">
        <w:rPr>
          <w:rFonts w:eastAsia="Calibri"/>
          <w:b/>
          <w:highlight w:val="cyan"/>
          <w:u w:val="single"/>
        </w:rPr>
        <w:t>This book</w:t>
      </w:r>
      <w:r>
        <w:rPr>
          <w:rFonts w:eastAsia="Calibri"/>
          <w:b/>
          <w:u w:val="single"/>
        </w:rPr>
        <w:t xml:space="preserve"> primarily </w:t>
      </w:r>
      <w:r w:rsidRPr="00866D16">
        <w:rPr>
          <w:rFonts w:eastAsia="Calibri"/>
          <w:b/>
          <w:highlight w:val="cyan"/>
          <w:u w:val="single"/>
        </w:rPr>
        <w:t>uses the term</w:t>
      </w:r>
      <w:r>
        <w:rPr>
          <w:rFonts w:eastAsia="Calibri"/>
          <w:b/>
          <w:u w:val="single"/>
        </w:rPr>
        <w:t xml:space="preserve"> ‘</w:t>
      </w:r>
      <w:r w:rsidRPr="00866D16">
        <w:rPr>
          <w:rFonts w:eastAsia="Calibri"/>
          <w:b/>
          <w:highlight w:val="cyan"/>
          <w:u w:val="single"/>
        </w:rPr>
        <w:t>outer space’</w:t>
      </w:r>
      <w:r>
        <w:rPr>
          <w:rFonts w:eastAsia="Calibri"/>
          <w:b/>
          <w:u w:val="single"/>
        </w:rPr>
        <w:t xml:space="preserve"> </w:t>
      </w:r>
      <w:r w:rsidRPr="00866D16">
        <w:rPr>
          <w:rFonts w:eastAsia="Calibri"/>
          <w:b/>
          <w:highlight w:val="cyan"/>
          <w:u w:val="single"/>
        </w:rPr>
        <w:t>to describe the realm beyond the Earth’s atmosphere</w:t>
      </w:r>
      <w:r>
        <w:rPr>
          <w:rFonts w:eastAsia="Calibri"/>
          <w:b/>
          <w:u w:val="single"/>
        </w:rPr>
        <w:t xml:space="preserve">, </w:t>
      </w:r>
      <w:r w:rsidRPr="00866D16">
        <w:rPr>
          <w:rFonts w:eastAsia="Calibri"/>
          <w:b/>
          <w:highlight w:val="cyan"/>
          <w:u w:val="single"/>
        </w:rPr>
        <w:t>conventionally accepted as beginning at the Kármán line of 100km</w:t>
      </w:r>
      <w:r>
        <w:rPr>
          <w:rFonts w:eastAsia="Calibri"/>
          <w:b/>
          <w:u w:val="single"/>
        </w:rPr>
        <w:t xml:space="preserve"> above sea level</w:t>
      </w:r>
      <w:r w:rsidRPr="00EC79BE">
        <w:rPr>
          <w:rFonts w:eastAsia="Calibri"/>
          <w:sz w:val="12"/>
        </w:rPr>
        <w:t xml:space="preserve">. Other terms such as ‘interplanetary space’, ‘interstellar space’, ‘cosmos’, and ‘the heavens’ are used in specific contexts. </w:t>
      </w:r>
      <w:r>
        <w:rPr>
          <w:rFonts w:eastAsia="Calibri"/>
          <w:b/>
          <w:u w:val="single"/>
        </w:rPr>
        <w:t xml:space="preserve">END FOOTNOTE 2 </w:t>
      </w:r>
      <w:r w:rsidRPr="00EC79BE">
        <w:rPr>
          <w:rFonts w:eastAsia="Calibri"/>
          <w:sz w:val="12"/>
        </w:rP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4230AE63" w14:textId="77777777" w:rsidR="007E1DDE" w:rsidRDefault="007E1DDE" w:rsidP="007E1DDE">
      <w:pPr>
        <w:pStyle w:val="Heading4"/>
        <w:keepNext w:val="0"/>
        <w:keepLines w:val="0"/>
        <w:spacing w:before="240" w:after="40" w:line="303" w:lineRule="auto"/>
        <w:rPr>
          <w:rFonts w:eastAsia="Calibri" w:cs="Calibri"/>
          <w:b w:val="0"/>
          <w:color w:val="000000"/>
        </w:rPr>
      </w:pPr>
      <w:bookmarkStart w:id="2" w:name="_budoruinyjz7" w:colFirst="0" w:colLast="0"/>
      <w:bookmarkEnd w:id="2"/>
      <w:r>
        <w:rPr>
          <w:rFonts w:eastAsia="Calibri" w:cs="Calibri"/>
          <w:color w:val="000000"/>
        </w:rPr>
        <w:t>In the context of space, “Appropriation” means to take as property</w:t>
      </w:r>
    </w:p>
    <w:p w14:paraId="609EDB76" w14:textId="77777777" w:rsidR="007E1DDE" w:rsidRDefault="007E1DDE" w:rsidP="007E1DDE">
      <w:pPr>
        <w:spacing w:line="256" w:lineRule="auto"/>
        <w:rPr>
          <w:rFonts w:eastAsia="Calibri"/>
        </w:rPr>
      </w:pPr>
      <w:r>
        <w:rPr>
          <w:rFonts w:eastAsia="Calibri"/>
          <w:b/>
          <w:sz w:val="26"/>
          <w:szCs w:val="26"/>
        </w:rPr>
        <w:t>Leon 18</w:t>
      </w:r>
      <w:r>
        <w:rPr>
          <w:rFonts w:eastAsia="Calibri"/>
        </w:rPr>
        <w:t xml:space="preserve"> (Amanda M., Associate, Caplin &amp; Drysdale, JD UVA Law) "Mining for Meaning: An Examination of the Legality of Property Rights in Space Resources." Virginia Law Review, vol. 104, no. 3, May 2018, p. 497-547. HeinOnline.</w:t>
      </w:r>
    </w:p>
    <w:p w14:paraId="4956335B" w14:textId="77777777" w:rsidR="007E1DDE" w:rsidRPr="00EC79BE" w:rsidRDefault="007E1DDE" w:rsidP="007E1DDE">
      <w:pPr>
        <w:spacing w:line="256" w:lineRule="auto"/>
        <w:rPr>
          <w:rFonts w:eastAsia="Calibri"/>
          <w:sz w:val="14"/>
        </w:rPr>
      </w:pPr>
      <w:r w:rsidRPr="00866D16">
        <w:rPr>
          <w:rFonts w:eastAsia="Calibri"/>
          <w:b/>
          <w:highlight w:val="cyan"/>
          <w:u w:val="single"/>
        </w:rPr>
        <w:t>Appropriation</w:t>
      </w:r>
      <w:r w:rsidRPr="00EC79BE">
        <w:rPr>
          <w:rFonts w:eastAsia="Calibri"/>
          <w:sz w:val="14"/>
        </w:rPr>
        <w:t xml:space="preserve">. The term "appropriation" also remains ambiguous. </w:t>
      </w:r>
      <w:r>
        <w:rPr>
          <w:rFonts w:eastAsia="Calibri"/>
          <w:b/>
          <w:u w:val="single"/>
        </w:rPr>
        <w:t>Webster's defines</w:t>
      </w:r>
      <w:r w:rsidRPr="00EC79BE">
        <w:rPr>
          <w:rFonts w:eastAsia="Calibri"/>
          <w:sz w:val="14"/>
        </w:rPr>
        <w:t xml:space="preserve"> the verb "</w:t>
      </w:r>
      <w:r>
        <w:rPr>
          <w:rFonts w:eastAsia="Calibri"/>
          <w:b/>
          <w:u w:val="single"/>
        </w:rPr>
        <w:t>appropriate</w:t>
      </w:r>
      <w:r w:rsidRPr="00EC79BE">
        <w:rPr>
          <w:rFonts w:eastAsia="Calibri"/>
          <w:sz w:val="14"/>
        </w:rPr>
        <w:t xml:space="preserve">" </w:t>
      </w:r>
      <w:r>
        <w:rPr>
          <w:rFonts w:eastAsia="Calibri"/>
          <w:b/>
          <w:u w:val="single"/>
        </w:rPr>
        <w:t>as</w:t>
      </w:r>
      <w:r w:rsidRPr="00EC79BE">
        <w:rPr>
          <w:rFonts w:eastAsia="Calibri"/>
          <w:sz w:val="14"/>
        </w:rPr>
        <w:t xml:space="preserve"> "</w:t>
      </w:r>
      <w:r w:rsidRPr="00866D16">
        <w:rPr>
          <w:rFonts w:eastAsia="Calibri"/>
          <w:b/>
          <w:highlight w:val="cyan"/>
          <w:u w:val="single"/>
        </w:rPr>
        <w:t>to take to oneself in exclusion of others</w:t>
      </w:r>
      <w:r w:rsidRPr="00EC79BE">
        <w:rPr>
          <w:rFonts w:eastAsia="Calibri"/>
          <w:sz w:val="14"/>
        </w:rPr>
        <w:t xml:space="preserve">; </w:t>
      </w:r>
      <w:r>
        <w:rPr>
          <w:rFonts w:eastAsia="Calibri"/>
          <w:b/>
          <w:u w:val="single"/>
        </w:rPr>
        <w:t>to</w:t>
      </w:r>
      <w:r w:rsidRPr="00EC79BE">
        <w:rPr>
          <w:rFonts w:eastAsia="Calibri"/>
          <w:sz w:val="14"/>
        </w:rPr>
        <w:t xml:space="preserve"> claim or </w:t>
      </w:r>
      <w:r>
        <w:rPr>
          <w:rFonts w:eastAsia="Calibri"/>
          <w:b/>
          <w:u w:val="single"/>
        </w:rPr>
        <w:t>use as by an exclusive or pre-eminent right</w:t>
      </w:r>
      <w:r w:rsidRPr="00EC79BE">
        <w:rPr>
          <w:rFonts w:eastAsia="Calibri"/>
          <w:sz w:val="14"/>
        </w:rPr>
        <w:t xml:space="preserve">; as, let no man appropriate a common benefit."16 5 Similarly, </w:t>
      </w:r>
      <w:r>
        <w:rPr>
          <w:rFonts w:eastAsia="Calibri"/>
          <w:b/>
          <w:u w:val="single"/>
        </w:rPr>
        <w:t>Black's</w:t>
      </w:r>
      <w:r w:rsidRPr="00EC79BE">
        <w:rPr>
          <w:rFonts w:eastAsia="Calibri"/>
          <w:sz w:val="14"/>
        </w:rPr>
        <w:t xml:space="preserve"> Law Dictionary </w:t>
      </w:r>
      <w:r>
        <w:rPr>
          <w:rFonts w:eastAsia="Calibri"/>
          <w:b/>
          <w:u w:val="single"/>
        </w:rPr>
        <w:t>describes "appropriate" as an act "[t]o make a thing one's own; to make a thing the subject of property</w:t>
      </w:r>
      <w:r w:rsidRPr="00EC79BE">
        <w:rPr>
          <w:rFonts w:eastAsia="Calibri"/>
          <w:sz w:val="14"/>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sidRPr="00EC79BE">
        <w:rPr>
          <w:rFonts w:eastAsia="Calibri"/>
          <w:sz w:val="14"/>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sz w:val="26"/>
          <w:szCs w:val="26"/>
          <w:u w:val="single"/>
        </w:rPr>
        <w:t>common use</w:t>
      </w:r>
      <w:r>
        <w:rPr>
          <w:rFonts w:eastAsia="Calibri"/>
          <w:b/>
          <w:u w:val="single"/>
        </w:rPr>
        <w:t xml:space="preserve"> </w:t>
      </w:r>
      <w:r w:rsidRPr="00EC79BE">
        <w:rPr>
          <w:rFonts w:eastAsia="Calibri"/>
          <w:sz w:val="14"/>
        </w:rPr>
        <w:t xml:space="preserve">of the term "appropriation" with respect to water </w:t>
      </w:r>
      <w:r>
        <w:rPr>
          <w:rFonts w:eastAsia="Calibri"/>
          <w:b/>
          <w:sz w:val="26"/>
          <w:szCs w:val="26"/>
          <w:u w:val="single"/>
        </w:rPr>
        <w:t>illustrates</w:t>
      </w:r>
      <w:r w:rsidRPr="00EC79BE">
        <w:rPr>
          <w:rFonts w:eastAsia="Calibri"/>
          <w:sz w:val="14"/>
        </w:rPr>
        <w:t xml:space="preserve"> two key points: (1) </w:t>
      </w:r>
      <w:r>
        <w:rPr>
          <w:rFonts w:eastAsia="Calibri"/>
          <w:b/>
          <w:sz w:val="26"/>
          <w:szCs w:val="26"/>
          <w:u w:val="single"/>
        </w:rPr>
        <w:t>the term applies to natural resources-e.g., water or minerals</w:t>
      </w:r>
      <w:r>
        <w:rPr>
          <w:rFonts w:eastAsia="Calibri"/>
          <w:b/>
          <w:u w:val="single"/>
        </w:rPr>
        <w:t>-not just real property</w:t>
      </w:r>
      <w:r w:rsidRPr="00EC79BE">
        <w:rPr>
          <w:rFonts w:eastAsia="Calibri"/>
          <w:sz w:val="14"/>
        </w:rPr>
        <w:t xml:space="preserve">, </w:t>
      </w:r>
      <w:r>
        <w:rPr>
          <w:rFonts w:eastAsia="Calibri"/>
          <w:b/>
          <w:u w:val="single"/>
        </w:rPr>
        <w:t>and</w:t>
      </w:r>
      <w:r w:rsidRPr="00EC79BE">
        <w:rPr>
          <w:rFonts w:eastAsia="Calibri"/>
          <w:sz w:val="14"/>
        </w:rPr>
        <w:t xml:space="preserve"> (2) </w:t>
      </w:r>
      <w:r w:rsidRPr="00866D16">
        <w:rPr>
          <w:rFonts w:eastAsia="Calibri"/>
          <w:b/>
          <w:sz w:val="26"/>
          <w:szCs w:val="26"/>
          <w:highlight w:val="cyan"/>
          <w:u w:val="single"/>
        </w:rPr>
        <w:t>mining space resources</w:t>
      </w:r>
      <w:r>
        <w:rPr>
          <w:rFonts w:eastAsia="Calibri"/>
          <w:b/>
          <w:u w:val="single"/>
        </w:rPr>
        <w:t xml:space="preserve"> and putting them to beneficial use</w:t>
      </w:r>
      <w:r w:rsidRPr="00EC79BE">
        <w:rPr>
          <w:rFonts w:eastAsia="Calibri"/>
          <w:sz w:val="14"/>
        </w:rPr>
        <w:t xml:space="preserve">-e.g., selling or manufacturing the mined resources </w:t>
      </w:r>
      <w:r w:rsidRPr="00866D16">
        <w:rPr>
          <w:rFonts w:eastAsia="Calibri"/>
          <w:b/>
          <w:sz w:val="26"/>
          <w:szCs w:val="26"/>
          <w:highlight w:val="cyan"/>
          <w:u w:val="single"/>
        </w:rPr>
        <w:t>could reasonably be interpreted as</w:t>
      </w:r>
      <w:r>
        <w:rPr>
          <w:rFonts w:eastAsia="Calibri"/>
          <w:b/>
          <w:sz w:val="26"/>
          <w:szCs w:val="26"/>
          <w:u w:val="single"/>
        </w:rPr>
        <w:t xml:space="preserve"> an "</w:t>
      </w:r>
      <w:r w:rsidRPr="00866D16">
        <w:rPr>
          <w:rFonts w:eastAsia="Calibri"/>
          <w:b/>
          <w:sz w:val="26"/>
          <w:szCs w:val="26"/>
          <w:highlight w:val="cyan"/>
          <w:u w:val="single"/>
        </w:rPr>
        <w:t>appropriation</w:t>
      </w:r>
      <w:r>
        <w:rPr>
          <w:rFonts w:eastAsia="Calibri"/>
          <w:b/>
          <w:sz w:val="26"/>
          <w:szCs w:val="26"/>
          <w:u w:val="single"/>
        </w:rPr>
        <w:t xml:space="preserve">" </w:t>
      </w:r>
      <w:r w:rsidRPr="00866D16">
        <w:rPr>
          <w:rFonts w:eastAsia="Calibri"/>
          <w:b/>
          <w:sz w:val="26"/>
          <w:szCs w:val="26"/>
          <w:highlight w:val="cyan"/>
          <w:u w:val="single"/>
        </w:rPr>
        <w:t>of outer space</w:t>
      </w:r>
      <w:r w:rsidRPr="00EC79BE">
        <w:rPr>
          <w:rFonts w:eastAsia="Calibri"/>
          <w:sz w:val="14"/>
        </w:rPr>
        <w:t xml:space="preserve">. While </w:t>
      </w:r>
      <w:r>
        <w:rPr>
          <w:rFonts w:eastAsia="Calibri"/>
          <w:b/>
          <w:u w:val="single"/>
        </w:rPr>
        <w:t xml:space="preserve">the </w:t>
      </w:r>
      <w:r>
        <w:rPr>
          <w:rFonts w:eastAsia="Calibri"/>
          <w:b/>
          <w:u w:val="single"/>
        </w:rPr>
        <w:lastRenderedPageBreak/>
        <w:t>ordinary meaning of "appropriation"</w:t>
      </w:r>
      <w:r w:rsidRPr="00EC79BE">
        <w:rPr>
          <w:rFonts w:eastAsia="Calibri"/>
          <w:sz w:val="14"/>
        </w:rPr>
        <w:t xml:space="preserve"> reasonably</w:t>
      </w:r>
      <w:r>
        <w:rPr>
          <w:rFonts w:eastAsia="Calibri"/>
          <w:b/>
          <w:u w:val="single"/>
        </w:rPr>
        <w:t xml:space="preserve"> includes the taking of natural resources as well as land</w:t>
      </w:r>
      <w:r w:rsidRPr="00EC79BE">
        <w:rPr>
          <w:rFonts w:eastAsia="Calibri"/>
          <w:sz w:val="14"/>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sidRPr="00EC79BE">
        <w:rPr>
          <w:rFonts w:eastAsia="Calibri"/>
          <w:sz w:val="14"/>
        </w:rPr>
        <w:t>, though</w:t>
      </w:r>
      <w:r>
        <w:rPr>
          <w:rFonts w:eastAsia="Calibri"/>
          <w:b/>
          <w:u w:val="single"/>
        </w:rPr>
        <w:t>, by expanding the prohibition to other types not explicitly described</w:t>
      </w:r>
      <w:r w:rsidRPr="00EC79BE">
        <w:rPr>
          <w:rFonts w:eastAsia="Calibri"/>
          <w:sz w:val="14"/>
        </w:rPr>
        <w:t>.168</w:t>
      </w:r>
    </w:p>
    <w:p w14:paraId="0AFCFCB5" w14:textId="77777777" w:rsidR="007E1DDE" w:rsidRDefault="007E1DDE" w:rsidP="007E1DDE">
      <w:pPr>
        <w:pStyle w:val="Heading4"/>
        <w:keepNext w:val="0"/>
        <w:keepLines w:val="0"/>
        <w:spacing w:before="240" w:after="40" w:line="303" w:lineRule="auto"/>
        <w:rPr>
          <w:rFonts w:eastAsia="Calibri" w:cs="Calibri"/>
          <w:b w:val="0"/>
          <w:color w:val="000000"/>
        </w:rPr>
      </w:pPr>
      <w:bookmarkStart w:id="3" w:name="_9p41wzjkc29g" w:colFirst="0" w:colLast="0"/>
      <w:bookmarkEnd w:id="3"/>
      <w:r>
        <w:rPr>
          <w:rFonts w:eastAsia="Calibri" w:cs="Calibri"/>
          <w:color w:val="000000"/>
        </w:rPr>
        <w:t>Private entity = majority nonstate</w:t>
      </w:r>
    </w:p>
    <w:p w14:paraId="26776CA5" w14:textId="77777777" w:rsidR="007E1DDE" w:rsidRDefault="007E1DDE" w:rsidP="007E1DDE">
      <w:pPr>
        <w:spacing w:line="256" w:lineRule="auto"/>
        <w:rPr>
          <w:rFonts w:eastAsia="Calibri"/>
        </w:rPr>
      </w:pPr>
      <w:r>
        <w:rPr>
          <w:rFonts w:eastAsia="Calibri"/>
          <w:b/>
          <w:sz w:val="26"/>
          <w:szCs w:val="26"/>
        </w:rPr>
        <w:t xml:space="preserve">Warners 20 </w:t>
      </w:r>
      <w:r>
        <w:rPr>
          <w:rFonts w:eastAsia="Calibri"/>
        </w:rPr>
        <w:t>(Bill, JD Candidate, May 2021, at UIC John Marshall Law School) "Patents 254 Miles up: Jurisdictional Issues Onboard the International Space Station." UIC Review of Intellectual Property Law, vol. 19, no. 4, 2020, p. 365-380. HeinOnline.</w:t>
      </w:r>
    </w:p>
    <w:p w14:paraId="4E8FB4F5" w14:textId="77777777" w:rsidR="007E1DDE" w:rsidRPr="00A0777C" w:rsidRDefault="007E1DDE" w:rsidP="007E1DDE">
      <w:pPr>
        <w:spacing w:line="256" w:lineRule="auto"/>
        <w:rPr>
          <w:rFonts w:eastAsia="Calibri"/>
          <w:sz w:val="12"/>
        </w:rPr>
      </w:pPr>
      <w:r w:rsidRPr="009907C6">
        <w:rPr>
          <w:rFonts w:eastAsia="Calibri"/>
          <w:sz w:val="12"/>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u w:val="single"/>
        </w:rPr>
        <w:t xml:space="preserve">the term </w:t>
      </w:r>
      <w:r w:rsidRPr="00866D16">
        <w:rPr>
          <w:rFonts w:eastAsia="Calibri"/>
          <w:b/>
          <w:highlight w:val="cyan"/>
          <w:u w:val="single"/>
        </w:rPr>
        <w:t>"private entity"</w:t>
      </w:r>
      <w:r>
        <w:rPr>
          <w:rFonts w:eastAsia="Calibri"/>
          <w:b/>
          <w:u w:val="single"/>
        </w:rPr>
        <w:t xml:space="preserve"> as </w:t>
      </w:r>
      <w:r w:rsidRPr="00866D16">
        <w:rPr>
          <w:rFonts w:eastAsia="Calibri"/>
          <w:b/>
          <w:highlight w:val="cyan"/>
          <w:u w:val="single"/>
        </w:rPr>
        <w:t xml:space="preserve">an individual, organization, or business which is primarily privately owned </w:t>
      </w:r>
      <w:r>
        <w:rPr>
          <w:rFonts w:eastAsia="Calibri"/>
          <w:b/>
          <w:u w:val="single"/>
        </w:rPr>
        <w:t>and/</w:t>
      </w:r>
      <w:r w:rsidRPr="00866D16">
        <w:rPr>
          <w:rFonts w:eastAsia="Calibri"/>
          <w:b/>
          <w:highlight w:val="cyan"/>
          <w:u w:val="single"/>
        </w:rPr>
        <w:t>or</w:t>
      </w:r>
      <w:r>
        <w:rPr>
          <w:rFonts w:eastAsia="Calibri"/>
          <w:b/>
          <w:u w:val="single"/>
        </w:rPr>
        <w:t xml:space="preserve"> </w:t>
      </w:r>
      <w:r w:rsidRPr="00866D16">
        <w:rPr>
          <w:rFonts w:eastAsia="Calibri"/>
          <w:b/>
          <w:highlight w:val="cyan"/>
          <w:u w:val="single"/>
        </w:rPr>
        <w:t>managed by nonstate affiliates</w:t>
      </w:r>
      <w:r w:rsidRPr="009907C6">
        <w:rPr>
          <w:rFonts w:eastAsia="Calibri"/>
          <w:sz w:val="12"/>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7A1DEBA0" w14:textId="77777777" w:rsidR="007E1DDE" w:rsidRPr="00486D5F" w:rsidRDefault="007E1DDE" w:rsidP="007E1DDE">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68E5440C" w14:textId="77777777" w:rsidR="007E1DDE" w:rsidRPr="00486D5F" w:rsidRDefault="007E1DDE" w:rsidP="007E1DDE">
      <w:pPr>
        <w:pStyle w:val="Heading4"/>
      </w:pPr>
      <w:r w:rsidRPr="00486D5F">
        <w:t>They don’t get to weigh the aff – it’s just as likely that they’re winning it because we weren’t able to effectively prepare to defeat it.</w:t>
      </w:r>
    </w:p>
    <w:p w14:paraId="3E7061FE" w14:textId="77777777" w:rsidR="007E1DDE" w:rsidRPr="00486D5F" w:rsidRDefault="007E1DDE" w:rsidP="007E1DDE">
      <w:pPr>
        <w:pStyle w:val="Heading4"/>
      </w:pPr>
      <w:r w:rsidRPr="00486D5F">
        <w:t>[2] Switch Side Debate – read your stuff on the neg which non-uniques your offense and is net better since a Kritik on the neg has to be tailored to the aff– otherwise your discussion starts and ends at the 1AC.</w:t>
      </w:r>
    </w:p>
    <w:p w14:paraId="786C1ABF" w14:textId="77777777" w:rsidR="007E1DDE" w:rsidRPr="00486D5F" w:rsidRDefault="007E1DDE" w:rsidP="007E1DDE">
      <w:pPr>
        <w:pStyle w:val="Heading4"/>
      </w:pPr>
      <w:r w:rsidRPr="00486D5F">
        <w:t>[3] Refinement – a well-defined resolution is critical to allow the neg to refute the aff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664B0A8B" w14:textId="3462B21A" w:rsidR="007E1DDE" w:rsidRPr="00486D5F" w:rsidRDefault="007E1DDE" w:rsidP="007E1DDE">
      <w:pPr>
        <w:pStyle w:val="Heading4"/>
        <w:rPr>
          <w:lang w:eastAsia="ko-KR"/>
        </w:rPr>
      </w:pPr>
      <w:r>
        <w:t xml:space="preserve">[4] </w:t>
      </w:r>
      <w:r w:rsidRPr="00A0206A">
        <w:rPr>
          <w:lang w:eastAsia="ko-KR"/>
        </w:rPr>
        <w:t xml:space="preserve">TVA </w:t>
      </w:r>
      <w:r>
        <w:rPr>
          <w:lang w:eastAsia="ko-KR"/>
        </w:rPr>
        <w:t xml:space="preserve">– read the aff as </w:t>
      </w:r>
      <w:r w:rsidR="00C327CA">
        <w:rPr>
          <w:lang w:eastAsia="ko-KR"/>
        </w:rPr>
        <w:t>a deconstruction of the neoliberal society through banning of private entities in outer space in order to help the disabled body</w:t>
      </w:r>
    </w:p>
    <w:p w14:paraId="67E06BC2" w14:textId="77777777" w:rsidR="007E1DDE" w:rsidRDefault="007E1DDE" w:rsidP="007E1DDE">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aff to defend their </w:t>
      </w:r>
      <w:r w:rsidRPr="003C35F2">
        <w:rPr>
          <w:u w:val="single"/>
        </w:rPr>
        <w:t>core assumptions</w:t>
      </w:r>
      <w:r w:rsidRPr="003C35F2">
        <w:t xml:space="preserve">—allowing affs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aff because clash is the only way to translate </w:t>
      </w:r>
      <w:r w:rsidRPr="003C35F2">
        <w:rPr>
          <w:u w:val="single"/>
        </w:rPr>
        <w:t>anything</w:t>
      </w:r>
      <w:r w:rsidRPr="003C35F2">
        <w:t xml:space="preserve"> debate gives us outside of the activity</w:t>
      </w:r>
      <w:r>
        <w:t>.</w:t>
      </w:r>
    </w:p>
    <w:p w14:paraId="2792D595" w14:textId="77777777" w:rsidR="007E1DDE" w:rsidRDefault="007E1DDE" w:rsidP="007E1DDE">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arg next time.  B] Exclusion is inevitable – every role of the ballot excludes some arguments and even saying T bad excludes it – that means we should delineate ground along reciprocal lines, not abandon division altogether. </w:t>
      </w:r>
    </w:p>
    <w:p w14:paraId="47188261" w14:textId="77777777" w:rsidR="007E1DDE" w:rsidRDefault="007E1DDE" w:rsidP="007E1DDE">
      <w:pPr>
        <w:pStyle w:val="Heading4"/>
      </w:pPr>
      <w:r>
        <w:t>Reading T isn’t psychic violence – that was above, but especially if we’re not going for it since reading T can be used to prevent aff shiftiness and make substance a viable option.</w:t>
      </w:r>
    </w:p>
    <w:p w14:paraId="124EA77F" w14:textId="77777777" w:rsidR="007E1DDE" w:rsidRDefault="007E1DDE" w:rsidP="007E1DDE">
      <w:pPr>
        <w:pStyle w:val="Heading4"/>
        <w:rPr>
          <w:u w:val="single"/>
        </w:rPr>
      </w:pPr>
      <w:r w:rsidRPr="00C767D0">
        <w:rPr>
          <w:u w:val="single"/>
        </w:rPr>
        <w:lastRenderedPageBreak/>
        <w:t>No silencing DA</w:t>
      </w:r>
      <w:r>
        <w:t xml:space="preserve"> - Theory is just like a </w:t>
      </w:r>
      <w:r>
        <w:rPr>
          <w:u w:val="single"/>
        </w:rPr>
        <w:t>disad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disad link says the aff </w:t>
      </w:r>
      <w:r>
        <w:rPr>
          <w:u w:val="single"/>
        </w:rPr>
        <w:t>did something wrong</w:t>
      </w:r>
      <w:r>
        <w:t xml:space="preserve"> and theres an </w:t>
      </w:r>
      <w:r>
        <w:rPr>
          <w:u w:val="single"/>
        </w:rPr>
        <w:t>implicit version of the aff</w:t>
      </w:r>
      <w:r>
        <w:t xml:space="preserve"> that </w:t>
      </w:r>
      <w:r>
        <w:rPr>
          <w:u w:val="single"/>
        </w:rPr>
        <w:t>wouldn’t have linked</w:t>
      </w:r>
    </w:p>
    <w:p w14:paraId="6E7C67F5" w14:textId="77777777" w:rsidR="007E1DDE" w:rsidRDefault="007E1DDE" w:rsidP="007E1DDE">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30E33A20" w14:textId="0AED14F2" w:rsidR="006F4CC8" w:rsidRPr="006F4CC8" w:rsidRDefault="006F4CC8" w:rsidP="006F4CC8">
      <w:pPr>
        <w:pStyle w:val="Heading4"/>
      </w:pPr>
      <w:r w:rsidRPr="004C7931">
        <w:t>Every reason fairness is a voter is a reason you can’t read substantive take-outs to the shell since it precludes your evaluation of them.</w:t>
      </w:r>
    </w:p>
    <w:p w14:paraId="4E59792D" w14:textId="77777777" w:rsidR="007E1DDE" w:rsidRDefault="007E1DDE" w:rsidP="007E1DDE">
      <w:pPr>
        <w:pStyle w:val="Heading4"/>
      </w:pPr>
      <w:r>
        <w:t>Question of what the ballot can solve for – voting neg can rectify a shift in fairness in the round but voting aff cannot do anything to resolve structural issues of disability</w:t>
      </w:r>
    </w:p>
    <w:p w14:paraId="598A8851" w14:textId="77777777" w:rsidR="007E1DDE" w:rsidRDefault="007E1DDE" w:rsidP="007E1DDE">
      <w:pPr>
        <w:pStyle w:val="Heading4"/>
      </w:pPr>
      <w:r>
        <w:t>Reject aff pre empts – not clearly delineated, impossible to know implications</w:t>
      </w:r>
    </w:p>
    <w:p w14:paraId="329C6484" w14:textId="77777777" w:rsidR="007E1DDE" w:rsidRPr="00404C6B" w:rsidRDefault="007E1DDE" w:rsidP="007E1DDE">
      <w:pPr>
        <w:pStyle w:val="Heading1"/>
      </w:pPr>
      <w:r>
        <w:lastRenderedPageBreak/>
        <w:t>Case</w:t>
      </w:r>
    </w:p>
    <w:p w14:paraId="34C8F4AB" w14:textId="77777777" w:rsidR="007E1DDE" w:rsidRDefault="007E1DDE" w:rsidP="007E1DDE">
      <w:pPr>
        <w:pStyle w:val="Heading3"/>
      </w:pPr>
      <w:r>
        <w:lastRenderedPageBreak/>
        <w:t>Case Overview</w:t>
      </w:r>
    </w:p>
    <w:p w14:paraId="1C5F205C" w14:textId="77777777" w:rsidR="007E1DDE" w:rsidRDefault="007E1DDE" w:rsidP="007E1DDE">
      <w:pPr>
        <w:pStyle w:val="Heading4"/>
      </w:pPr>
      <w:r>
        <w:t>Negate on presumption:</w:t>
      </w:r>
    </w:p>
    <w:p w14:paraId="086933E8" w14:textId="56D8A8F1" w:rsidR="007E1DDE" w:rsidRDefault="007E1DDE" w:rsidP="007E1DDE">
      <w:pPr>
        <w:pStyle w:val="Heading4"/>
      </w:pPr>
      <w:r>
        <w:t xml:space="preserve">(1)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t>ableist</w:t>
      </w:r>
      <w:r w:rsidRPr="00326220">
        <w:t xml:space="preserve"> world that </w:t>
      </w:r>
      <w:r w:rsidRPr="00326220">
        <w:rPr>
          <w:u w:val="single"/>
        </w:rPr>
        <w:t>consumes</w:t>
      </w:r>
      <w:r w:rsidRPr="00326220">
        <w:t xml:space="preserve"> their project as </w:t>
      </w:r>
      <w:r w:rsidRPr="00326220">
        <w:rPr>
          <w:u w:val="single"/>
        </w:rPr>
        <w:t>false energy</w:t>
      </w:r>
      <w:r>
        <w:t>.</w:t>
      </w:r>
    </w:p>
    <w:p w14:paraId="46F8ED86" w14:textId="77777777" w:rsidR="007E1DDE" w:rsidRPr="008C24FF" w:rsidRDefault="007E1DDE" w:rsidP="007E1DDE">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56BD07E4" w14:textId="231D3E99" w:rsidR="007E1DDE" w:rsidRPr="00684FDF" w:rsidRDefault="006F6B23" w:rsidP="007E1DDE">
      <w:pPr>
        <w:pStyle w:val="Heading4"/>
      </w:pPr>
      <w:r>
        <w:t>c</w:t>
      </w:r>
      <w:r w:rsidR="007E1DDE">
        <w:t xml:space="preserve">1] Reform may not be perfect, but they improve the material conditions of disabled life – 1AR spin that ableist violence is evolving is a neg argument since disabled relation to the world has changed. THIS is </w:t>
      </w:r>
      <w:r w:rsidR="007E1DDE">
        <w:rPr>
          <w:u w:val="single"/>
        </w:rPr>
        <w:t>OFFENSE</w:t>
      </w:r>
      <w:r w:rsidR="007E1DDE">
        <w:t xml:space="preserve"> against the Aff would say no to the ADA which has decreased workplace violence, allowed voting rights and increases employment for disabled folk.</w:t>
      </w:r>
    </w:p>
    <w:p w14:paraId="2CE4AA58" w14:textId="77777777" w:rsidR="007E1DDE" w:rsidRDefault="007E1DDE" w:rsidP="007E1DDE">
      <w:pPr>
        <w:pStyle w:val="Heading4"/>
        <w:rPr>
          <w:rStyle w:val="Style13ptBold"/>
          <w:rFonts w:asciiTheme="majorHAnsi" w:hAnsiTheme="majorHAnsi"/>
          <w:b/>
        </w:rPr>
      </w:pPr>
      <w:r>
        <w:t xml:space="preserve">2] The disability drive is NOT logical, think of it’s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5B67B6C0" w14:textId="77777777" w:rsidR="007E1DDE" w:rsidRDefault="007E1DDE" w:rsidP="007E1DDE">
      <w:pPr>
        <w:pStyle w:val="Heading4"/>
      </w:pPr>
      <w:r>
        <w:t>3] Disability can’t be ontological, and progress is possible</w:t>
      </w:r>
    </w:p>
    <w:p w14:paraId="34DADA36" w14:textId="77777777" w:rsidR="007E1DDE" w:rsidRDefault="007E1DDE" w:rsidP="007E1DDE">
      <w:pPr>
        <w:pStyle w:val="Heading4"/>
      </w:pPr>
      <w:r>
        <w:t>A] It’s not static – conceptions of disability aren’t concrete but fluid over time – for example ADHD wasn’t diagnosed as disability until more recent medicine, and there’s no clear brightline or definition of disability.</w:t>
      </w:r>
    </w:p>
    <w:p w14:paraId="4AF22A20" w14:textId="77777777" w:rsidR="007E1DDE" w:rsidRDefault="007E1DDE" w:rsidP="007E1DDE">
      <w:pPr>
        <w:pStyle w:val="Heading4"/>
      </w:pPr>
      <w:r>
        <w:t xml:space="preserve">B] Disability not ontological – only reform can resolve societal prejudices against disabled people. </w:t>
      </w:r>
    </w:p>
    <w:p w14:paraId="4746E5AA" w14:textId="77777777" w:rsidR="007E1DDE" w:rsidRDefault="007E1DDE" w:rsidP="007E1DDE">
      <w:r w:rsidRPr="0057551E">
        <w:rPr>
          <w:rStyle w:val="Heading4Char"/>
        </w:rPr>
        <w:t>Hudak ’11</w:t>
      </w:r>
      <w:r>
        <w:t xml:space="preserve"> (</w:t>
      </w:r>
      <w:r w:rsidRPr="0057551E">
        <w:t>GLENN M., PhD, is a professor at the University o</w:t>
      </w:r>
      <w:r>
        <w:t>f North Carolina at Greensboro. “On the Commerce of Disability and the Advocacy of Philosophy for Educators.” PHILOSOPHY OF EDUCATION 2011. Robert Kunzman, editor © 2011 Philosophy of Education Society  Urbana, Illinois.)-JJN</w:t>
      </w:r>
    </w:p>
    <w:p w14:paraId="05E59503" w14:textId="77777777" w:rsidR="007E1DDE" w:rsidRPr="00CB3E9D" w:rsidRDefault="007E1DDE" w:rsidP="007E1DDE">
      <w:r w:rsidRPr="00CB3E9D">
        <w:lastRenderedPageBreak/>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866D16">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866D16">
        <w:rPr>
          <w:rStyle w:val="StyleUnderline"/>
          <w:highlight w:val="cyan"/>
        </w:rPr>
        <w:t>regardless of one’s abilities or disabilities, all children are “newcomers</w:t>
      </w:r>
      <w:r w:rsidRPr="0057551E">
        <w:rPr>
          <w:rStyle w:val="StyleUnderline"/>
        </w:rPr>
        <w:t xml:space="preserve"> to the world, </w:t>
      </w:r>
      <w:r w:rsidRPr="00866D16">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866D16">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866D16">
        <w:rPr>
          <w:rStyle w:val="StyleUnderline"/>
          <w:highlight w:val="cyan"/>
        </w:rPr>
        <w:t>endowed with task</w:t>
      </w:r>
      <w:r w:rsidRPr="0057551E">
        <w:rPr>
          <w:rStyle w:val="StyleUnderline"/>
        </w:rPr>
        <w:t xml:space="preserve"> and purpose in the world; </w:t>
      </w:r>
      <w:r w:rsidRPr="00866D16">
        <w:rPr>
          <w:rStyle w:val="StyleUnderline"/>
          <w:highlight w:val="cyan"/>
        </w:rPr>
        <w:t>her relationships</w:t>
      </w:r>
      <w:r w:rsidRPr="0057551E">
        <w:rPr>
          <w:rStyle w:val="StyleUnderline"/>
        </w:rPr>
        <w:t xml:space="preserve"> to the world </w:t>
      </w:r>
      <w:r w:rsidRPr="00866D16">
        <w:rPr>
          <w:rStyle w:val="StyleUnderline"/>
          <w:highlight w:val="cyan"/>
        </w:rPr>
        <w:t>are open rather than closed</w:t>
      </w:r>
      <w:r w:rsidRPr="0057551E">
        <w:rPr>
          <w:rStyle w:val="StyleUnderline"/>
        </w:rPr>
        <w:t xml:space="preserve"> and, like a “newborn” — open to new unforeseen possibilities. The </w:t>
      </w:r>
      <w:r w:rsidRPr="00866D16">
        <w:rPr>
          <w:rStyle w:val="StyleUnderline"/>
          <w:highlight w:val="cyan"/>
        </w:rPr>
        <w:t>foreclosures to possible actions for Sarah</w:t>
      </w:r>
      <w:r w:rsidRPr="0057551E">
        <w:rPr>
          <w:rStyle w:val="StyleUnderline"/>
        </w:rPr>
        <w:t xml:space="preserve">, then, </w:t>
      </w:r>
      <w:r w:rsidRPr="00866D16">
        <w:rPr>
          <w:rStyle w:val="StyleUnderline"/>
          <w:highlight w:val="cyan"/>
        </w:rPr>
        <w:t>are not ontological</w:t>
      </w:r>
      <w:r w:rsidRPr="0057551E">
        <w:rPr>
          <w:rStyle w:val="StyleUnderline"/>
        </w:rPr>
        <w:t xml:space="preserve"> in nature; </w:t>
      </w:r>
      <w:r w:rsidRPr="00866D16">
        <w:rPr>
          <w:rStyle w:val="StyleUnderline"/>
          <w:highlight w:val="cyan"/>
        </w:rPr>
        <w:t>rather</w:t>
      </w:r>
      <w:r w:rsidRPr="0057551E">
        <w:rPr>
          <w:rStyle w:val="StyleUnderline"/>
        </w:rPr>
        <w:t xml:space="preserve">, they are the </w:t>
      </w:r>
      <w:r w:rsidRPr="00866D16">
        <w:rPr>
          <w:rStyle w:val="StyleUnderline"/>
          <w:highlight w:val="cya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humanity and respond accordingly — </w:t>
      </w:r>
      <w:r w:rsidRPr="00866D16">
        <w:rPr>
          <w:rStyle w:val="StyleUnderline"/>
          <w:highlight w:val="cyan"/>
        </w:rPr>
        <w:t xml:space="preserve">if we are to grasp </w:t>
      </w:r>
      <w:r w:rsidRPr="002239EB">
        <w:rPr>
          <w:rStyle w:val="StyleUnderline"/>
        </w:rPr>
        <w:t xml:space="preserve">the </w:t>
      </w:r>
      <w:r w:rsidRPr="00866D16">
        <w:rPr>
          <w:rStyle w:val="StyleUnderline"/>
          <w:highlight w:val="cyan"/>
        </w:rPr>
        <w:t>societal</w:t>
      </w:r>
      <w:r w:rsidRPr="002239EB">
        <w:rPr>
          <w:rStyle w:val="StyleUnderline"/>
        </w:rPr>
        <w:t xml:space="preserve"> </w:t>
      </w:r>
      <w:r w:rsidRPr="00866D16">
        <w:rPr>
          <w:rStyle w:val="StyleUnderline"/>
          <w:highlight w:val="cyan"/>
        </w:rPr>
        <w:t>prejudices that foreclose Sarah’s possible actions then,</w:t>
      </w:r>
      <w:r w:rsidRPr="002239EB">
        <w:rPr>
          <w:rStyle w:val="StyleUnderline"/>
        </w:rPr>
        <w:t xml:space="preserve"> the </w:t>
      </w:r>
      <w:r w:rsidRPr="00866D16">
        <w:rPr>
          <w:rStyle w:val="StyleUnderline"/>
          <w:highlight w:val="cyan"/>
        </w:rPr>
        <w:t>educative</w:t>
      </w:r>
      <w:r w:rsidRPr="0057551E">
        <w:rPr>
          <w:rStyle w:val="StyleUnderline"/>
        </w:rPr>
        <w:t xml:space="preserve"> </w:t>
      </w:r>
      <w:r w:rsidRPr="00866D16">
        <w:rPr>
          <w:rStyle w:val="StyleUnderline"/>
          <w:highlight w:val="cyan"/>
        </w:rPr>
        <w:t>experience of the caregiver needs to be</w:t>
      </w:r>
      <w:r w:rsidRPr="0057551E">
        <w:rPr>
          <w:rStyle w:val="StyleUnderline"/>
        </w:rPr>
        <w:t xml:space="preserve"> included and </w:t>
      </w:r>
      <w:r w:rsidRPr="00866D16">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539236EE" w14:textId="77777777" w:rsidR="007E1DDE" w:rsidRDefault="007E1DDE" w:rsidP="007E1DDE">
      <w:pPr>
        <w:pStyle w:val="Heading4"/>
      </w:pPr>
      <w:r>
        <w:t xml:space="preserve">C] Disability isn’t ontological – social context determines disability discrimination. </w:t>
      </w:r>
    </w:p>
    <w:p w14:paraId="2B52340F" w14:textId="77777777" w:rsidR="007E1DDE" w:rsidRDefault="007E1DDE" w:rsidP="007E1DDE">
      <w:r w:rsidRPr="00744727">
        <w:rPr>
          <w:rStyle w:val="Heading4Char"/>
        </w:rPr>
        <w:t>Anastasiou and Kauffman ’13</w:t>
      </w:r>
      <w:r>
        <w:t xml:space="preserve"> (DIMITRIS - Associate Professor and Program Coordinator, </w:t>
      </w:r>
      <w:r w:rsidRPr="00744727">
        <w:t>Ph.D., National and Kapodist</w:t>
      </w:r>
      <w:r>
        <w:t xml:space="preserve">rian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w:t>
      </w:r>
      <w:r w:rsidRPr="00744727">
        <w:lastRenderedPageBreak/>
        <w:t>odel_of_Disability_Dichotomy_between_Impairment_and_Disability/links/02e7e521b55fa0504d000000.pdf</w:t>
      </w:r>
      <w:r>
        <w:t>)-JJN</w:t>
      </w:r>
    </w:p>
    <w:p w14:paraId="0BA3F6FF" w14:textId="77777777" w:rsidR="007E1DDE" w:rsidRPr="004E5399" w:rsidRDefault="007E1DDE" w:rsidP="007E1DDE">
      <w:pPr>
        <w:rPr>
          <w:sz w:val="12"/>
          <w:szCs w:val="26"/>
        </w:rPr>
      </w:pPr>
      <w:r w:rsidRPr="004E5399">
        <w:rPr>
          <w:sz w:val="12"/>
          <w:szCs w:val="26"/>
        </w:rPr>
        <w:t xml:space="preserve">V. Disabilities in Social Context Proponents of a social model seem to support the idea that disability is a product of wrong interpretation of impairments (Reindal,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866D16">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866D16">
        <w:rPr>
          <w:rStyle w:val="StyleUnderline"/>
          <w:sz w:val="26"/>
          <w:szCs w:val="26"/>
          <w:highlight w:val="cyan"/>
        </w:rPr>
        <w:t>Disabilities should be viewed as embedded in their social context</w:t>
      </w:r>
      <w:r w:rsidRPr="004E5399">
        <w:rPr>
          <w:rStyle w:val="StyleUnderline"/>
          <w:sz w:val="26"/>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866D16">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866D16">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866D16">
        <w:rPr>
          <w:rStyle w:val="StyleUnderline"/>
          <w:sz w:val="26"/>
          <w:szCs w:val="26"/>
          <w:highlight w:val="cyan"/>
        </w:rPr>
        <w:t>is</w:t>
      </w:r>
      <w:r w:rsidRPr="004E5399">
        <w:rPr>
          <w:rStyle w:val="StyleUnderline"/>
          <w:sz w:val="26"/>
          <w:szCs w:val="26"/>
        </w:rPr>
        <w:t xml:space="preserve"> both </w:t>
      </w:r>
      <w:r w:rsidRPr="00866D16">
        <w:rPr>
          <w:rStyle w:val="StyleUnderline"/>
          <w:sz w:val="26"/>
          <w:szCs w:val="26"/>
          <w:highlight w:val="cyan"/>
        </w:rPr>
        <w:t xml:space="preserve">vague and </w:t>
      </w:r>
      <w:r w:rsidRPr="004E5399">
        <w:rPr>
          <w:rStyle w:val="StyleUnderline"/>
          <w:sz w:val="26"/>
          <w:szCs w:val="26"/>
        </w:rPr>
        <w:t xml:space="preserve">rather </w:t>
      </w:r>
      <w:r w:rsidRPr="00866D16">
        <w:rPr>
          <w:rStyle w:val="StyleUnderline"/>
          <w:sz w:val="26"/>
          <w:szCs w:val="26"/>
          <w:highlight w:val="cyan"/>
        </w:rPr>
        <w:t>arbitrary</w:t>
      </w:r>
      <w:r w:rsidRPr="004E5399">
        <w:rPr>
          <w:sz w:val="12"/>
          <w:szCs w:val="26"/>
        </w:rPr>
        <w:t xml:space="preserve"> (Kauffman and Hallahan, 2005; Anastasiou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866D16">
        <w:rPr>
          <w:rStyle w:val="StyleUnderline"/>
          <w:sz w:val="26"/>
          <w:szCs w:val="26"/>
          <w:highlight w:val="cyan"/>
        </w:rPr>
        <w:t>identification of a disability depends on judgme</w:t>
      </w:r>
      <w:r w:rsidRPr="004E5399">
        <w:rPr>
          <w:rStyle w:val="StyleUnderline"/>
          <w:sz w:val="26"/>
          <w:szCs w:val="26"/>
        </w:rPr>
        <w:t>nt, and judgment means that one arrives at a cutpoint on continuously distributed abilities</w:t>
      </w:r>
      <w:r w:rsidRPr="004E5399">
        <w:rPr>
          <w:sz w:val="12"/>
          <w:szCs w:val="26"/>
        </w:rPr>
        <w:t xml:space="preserve">. Inevitably social values are linked to the judgmental identification of disabilities. However, not making such a judgment precludes the kind of assistance we consider necessary for social justice (Anastasiou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(Reindal,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w:t>
      </w:r>
      <w:r w:rsidRPr="004E5399">
        <w:rPr>
          <w:sz w:val="12"/>
          <w:szCs w:val="26"/>
        </w:rPr>
        <w:lastRenderedPageBreak/>
        <w:t xml:space="preserve">individual need (Reindal, 1995). Antilabelists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Badar, forthcoming). </w:t>
      </w:r>
      <w:r w:rsidRPr="004E5399">
        <w:rPr>
          <w:rStyle w:val="StyleUnderline"/>
          <w:sz w:val="26"/>
          <w:szCs w:val="26"/>
        </w:rPr>
        <w:t xml:space="preserve">Fourth, </w:t>
      </w:r>
      <w:r w:rsidRPr="00866D16">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(Anastasiou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codeterminants of development of people who have disabilities </w:t>
      </w:r>
      <w:r w:rsidRPr="004E5399">
        <w:rPr>
          <w:sz w:val="12"/>
          <w:szCs w:val="26"/>
        </w:rPr>
        <w:t>(Williams, 1999).</w:t>
      </w:r>
    </w:p>
    <w:p w14:paraId="2C475C6B" w14:textId="77777777" w:rsidR="007E1DDE" w:rsidRDefault="007E1DDE" w:rsidP="007E1DDE">
      <w:pPr>
        <w:pStyle w:val="Heading4"/>
      </w:pPr>
      <w:r>
        <w:t xml:space="preserve">4] Reject psychoanalysis – </w:t>
      </w:r>
    </w:p>
    <w:p w14:paraId="48B14F29" w14:textId="77777777" w:rsidR="007E1DDE" w:rsidRPr="002E7DE2" w:rsidRDefault="007E1DDE" w:rsidP="007E1DDE">
      <w:pPr>
        <w:pStyle w:val="Heading4"/>
        <w:spacing w:line="240" w:lineRule="auto"/>
        <w:rPr>
          <w:rFonts w:asciiTheme="majorHAnsi" w:hAnsiTheme="majorHAnsi" w:cstheme="majorHAnsi"/>
        </w:rPr>
      </w:pPr>
      <w:r w:rsidRPr="002E7DE2">
        <w:rPr>
          <w:rFonts w:asciiTheme="majorHAnsi" w:hAnsiTheme="majorHAnsi" w:cstheme="majorHAnsi"/>
        </w:rPr>
        <w:t>Psychoanalysis is infinitely regressive, not falsifiable, and too abstract</w:t>
      </w:r>
      <w:r>
        <w:rPr>
          <w:rFonts w:asciiTheme="majorHAnsi" w:hAnsiTheme="majorHAnsi" w:cstheme="majorHAnsi"/>
        </w:rPr>
        <w:t xml:space="preserve">. </w:t>
      </w:r>
    </w:p>
    <w:p w14:paraId="5536AD03" w14:textId="77777777" w:rsidR="007E1DDE" w:rsidRPr="002E7DE2" w:rsidRDefault="007E1DDE" w:rsidP="007E1DDE">
      <w:pPr>
        <w:spacing w:line="240" w:lineRule="auto"/>
        <w:rPr>
          <w:rFonts w:asciiTheme="majorHAnsi" w:eastAsia="Calibri" w:hAnsiTheme="majorHAnsi" w:cstheme="majorHAnsi"/>
          <w:sz w:val="16"/>
        </w:rPr>
      </w:pPr>
      <w:r w:rsidRPr="002E7DE2">
        <w:rPr>
          <w:rStyle w:val="Style13ptBold"/>
          <w:rFonts w:asciiTheme="majorHAnsi" w:hAnsiTheme="majorHAnsi" w:cstheme="majorHAnsi"/>
          <w:szCs w:val="26"/>
        </w:rPr>
        <w:t>Gordon 1</w:t>
      </w:r>
      <w:r w:rsidRPr="002E7DE2">
        <w:rPr>
          <w:rFonts w:asciiTheme="majorHAnsi" w:eastAsia="Calibri" w:hAnsiTheme="majorHAnsi" w:cstheme="majorHAnsi"/>
          <w:sz w:val="16"/>
        </w:rPr>
        <w:t>---</w:t>
      </w:r>
      <w:r w:rsidRPr="002E7DE2">
        <w:rPr>
          <w:rFonts w:asciiTheme="majorHAnsi" w:hAnsiTheme="majorHAnsi" w:cstheme="majorHAnsi"/>
          <w:sz w:val="16"/>
        </w:rPr>
        <w:t>Paul Gordon, accomplished psychotherapist, “Psychoanalysis and Racism: The Politics of Defeat,” RACE &amp; CLASS v. 42 n. 4, 2001, pp. 17-34.</w:t>
      </w:r>
    </w:p>
    <w:p w14:paraId="2D98331E" w14:textId="77777777" w:rsidR="007E1DDE" w:rsidRDefault="007E1DDE" w:rsidP="007E1DDE">
      <w:pPr>
        <w:spacing w:line="240" w:lineRule="auto"/>
        <w:rPr>
          <w:rFonts w:asciiTheme="majorHAnsi" w:eastAsia="Calibri" w:hAnsiTheme="majorHAnsi" w:cstheme="majorHAnsi"/>
          <w:sz w:val="16"/>
        </w:rPr>
      </w:pPr>
      <w:r w:rsidRPr="002E7DE2">
        <w:rPr>
          <w:rFonts w:asciiTheme="majorHAnsi" w:eastAsia="Calibri" w:hAnsiTheme="majorHAnsi" w:cstheme="majorHAns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in marrying </w:t>
      </w:r>
      <w:r w:rsidRPr="00866D16">
        <w:rPr>
          <w:rStyle w:val="StyleUnderline"/>
          <w:rFonts w:asciiTheme="majorHAnsi" w:hAnsiTheme="majorHAnsi" w:cstheme="majorHAnsi"/>
          <w:highlight w:val="cyan"/>
        </w:rPr>
        <w:t xml:space="preserve">psychoanalysis </w:t>
      </w:r>
      <w:r w:rsidRPr="002E7DE2">
        <w:rPr>
          <w:rStyle w:val="StyleUnderline"/>
          <w:rFonts w:asciiTheme="majorHAnsi" w:hAnsiTheme="majorHAnsi" w:cstheme="majorHAnsi"/>
        </w:rPr>
        <w:t xml:space="preserve">and postmodernism, on the basis of claiming to be both scholarly and action oriented, it </w:t>
      </w:r>
      <w:r w:rsidRPr="00866D16">
        <w:rPr>
          <w:rStyle w:val="StyleUnderline"/>
          <w:rFonts w:asciiTheme="majorHAnsi" w:hAnsiTheme="majorHAnsi" w:cstheme="majorHAnsi"/>
          <w:highlight w:val="cyan"/>
        </w:rPr>
        <w:t>degrades scholarship and</w:t>
      </w:r>
      <w:r w:rsidRPr="002E7DE2">
        <w:rPr>
          <w:rStyle w:val="StyleUnderline"/>
          <w:rFonts w:asciiTheme="majorHAnsi" w:hAnsiTheme="majorHAnsi" w:cstheme="majorHAnsi"/>
        </w:rPr>
        <w:t xml:space="preserve"> undermines </w:t>
      </w:r>
      <w:r w:rsidRPr="00866D16">
        <w:rPr>
          <w:rStyle w:val="StyleUnderline"/>
          <w:rFonts w:asciiTheme="majorHAnsi" w:hAnsiTheme="majorHAnsi" w:cstheme="majorHAnsi"/>
          <w:highlight w:val="cyan"/>
        </w:rPr>
        <w:t>action, and ends in discourse analysis</w:t>
      </w:r>
      <w:r w:rsidRPr="002E7DE2">
        <w:rPr>
          <w:rFonts w:asciiTheme="majorHAnsi" w:eastAsia="Calibri" w:hAnsiTheme="majorHAnsi" w:cstheme="majorHAnsi"/>
          <w:b/>
          <w:u w:val="single"/>
        </w:rPr>
        <w:t xml:space="preserve"> a language</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in which metaphor passes for reality</w:t>
      </w:r>
      <w:r w:rsidRPr="002E7DE2">
        <w:rPr>
          <w:rFonts w:asciiTheme="majorHAnsi" w:eastAsia="Calibri" w:hAnsiTheme="majorHAnsi" w:cstheme="majorHAnsi"/>
          <w:u w:val="single"/>
        </w:rPr>
        <w:t>.</w:t>
      </w:r>
      <w:r w:rsidRPr="002E7DE2">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w:t>
      </w:r>
      <w:r w:rsidRPr="002E7DE2">
        <w:rPr>
          <w:rFonts w:asciiTheme="majorHAnsi" w:eastAsia="Calibri" w:hAnsiTheme="majorHAnsi" w:cstheme="majorHAnsi"/>
          <w:sz w:val="16"/>
        </w:rPr>
        <w:lastRenderedPageBreak/>
        <w:t xml:space="preserve">traumatic memory or event?' 47 </w:t>
      </w:r>
      <w:r w:rsidRPr="002E7DE2">
        <w:rPr>
          <w:rStyle w:val="StyleUnderline"/>
          <w:rFonts w:asciiTheme="majorHAnsi" w:hAnsiTheme="majorHAnsi" w:cstheme="majorHAnsi"/>
        </w:rPr>
        <w:t>The problem with</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application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psychoanalysis to social institutions</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is that</w:t>
      </w:r>
      <w:r w:rsidRPr="002E7DE2">
        <w:rPr>
          <w:rFonts w:asciiTheme="majorHAnsi" w:eastAsia="Calibri" w:hAnsiTheme="majorHAnsi" w:cstheme="majorHAnsi"/>
          <w:u w:val="single"/>
        </w:rPr>
        <w:t xml:space="preserve"> </w:t>
      </w:r>
      <w:r w:rsidRPr="00866D16">
        <w:rPr>
          <w:rStyle w:val="StyleUnderline"/>
          <w:rFonts w:asciiTheme="majorHAnsi" w:hAnsiTheme="majorHAnsi" w:cstheme="majorHAnsi"/>
          <w:highlight w:val="cyan"/>
        </w:rPr>
        <w:t>there can be no testing</w:t>
      </w:r>
      <w:r w:rsidRPr="002E7DE2">
        <w:rPr>
          <w:rStyle w:val="StyleUnderline"/>
          <w:rFonts w:asciiTheme="majorHAnsi" w:hAnsiTheme="majorHAnsi" w:cstheme="majorHAnsi"/>
        </w:rPr>
        <w:t xml:space="preserve"> of the claims made.</w:t>
      </w:r>
      <w:r w:rsidRPr="002E7DE2">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2E7DE2">
        <w:rPr>
          <w:rStyle w:val="StyleUnderline"/>
          <w:rFonts w:asciiTheme="majorHAnsi" w:hAnsiTheme="majorHAnsi" w:cstheme="majorHAnsi"/>
        </w:rPr>
        <w:t>The</w:t>
      </w:r>
      <w:r w:rsidRPr="002E7DE2">
        <w:rPr>
          <w:rFonts w:asciiTheme="majorHAnsi" w:eastAsia="Calibri" w:hAnsiTheme="majorHAnsi" w:cstheme="majorHAnsi"/>
          <w:u w:val="single"/>
        </w:rPr>
        <w:t xml:space="preserve"> </w:t>
      </w:r>
      <w:r w:rsidRPr="00866D16">
        <w:rPr>
          <w:rStyle w:val="StyleUnderline"/>
          <w:rFonts w:asciiTheme="majorHAnsi" w:hAnsiTheme="majorHAnsi" w:cstheme="majorHAnsi"/>
          <w:highlight w:val="cyan"/>
        </w:rPr>
        <w:t xml:space="preserve">pioneers </w:t>
      </w:r>
      <w:r w:rsidRPr="002E7DE2">
        <w:rPr>
          <w:rStyle w:val="StyleUnderline"/>
          <w:rFonts w:asciiTheme="majorHAnsi" w:hAnsiTheme="majorHAnsi" w:cstheme="majorHAnsi"/>
        </w:rPr>
        <w:t>of psychoanalysis,</w:t>
      </w:r>
      <w:r w:rsidRPr="002E7DE2">
        <w:rPr>
          <w:rFonts w:asciiTheme="majorHAnsi" w:eastAsia="Calibri" w:hAnsiTheme="majorHAnsi" w:cstheme="majorHAnsi"/>
          <w:sz w:val="16"/>
        </w:rPr>
        <w:t xml:space="preserve"> from Freud onwards, </w:t>
      </w:r>
      <w:r w:rsidRPr="002E7DE2">
        <w:rPr>
          <w:rStyle w:val="StyleUnderline"/>
          <w:rFonts w:asciiTheme="majorHAnsi" w:hAnsiTheme="majorHAnsi" w:cstheme="majorHAnsi"/>
        </w:rPr>
        <w:t>all</w:t>
      </w:r>
      <w:r w:rsidRPr="002E7DE2">
        <w:rPr>
          <w:rFonts w:asciiTheme="majorHAnsi" w:eastAsia="Calibri" w:hAnsiTheme="majorHAnsi" w:cstheme="majorHAnsi"/>
          <w:u w:val="single"/>
        </w:rPr>
        <w:t xml:space="preserve"> </w:t>
      </w:r>
      <w:r w:rsidRPr="00866D16">
        <w:rPr>
          <w:rStyle w:val="StyleUnderline"/>
          <w:rFonts w:asciiTheme="majorHAnsi" w:hAnsiTheme="majorHAnsi" w:cstheme="majorHAnsi"/>
          <w:highlight w:val="cyan"/>
        </w:rPr>
        <w:t>derived</w:t>
      </w:r>
      <w:r w:rsidRPr="00866D16">
        <w:rPr>
          <w:rFonts w:asciiTheme="majorHAnsi" w:eastAsia="Calibri" w:hAnsiTheme="majorHAnsi" w:cstheme="majorHAnsi"/>
          <w:highlight w:val="cyan"/>
          <w:u w:val="single"/>
        </w:rPr>
        <w:t xml:space="preserve"> </w:t>
      </w:r>
      <w:r w:rsidRPr="00866D16">
        <w:rPr>
          <w:rStyle w:val="StyleUnderline"/>
          <w:rFonts w:asciiTheme="majorHAnsi" w:hAnsiTheme="majorHAnsi" w:cstheme="majorHAnsi"/>
          <w:highlight w:val="cyan"/>
        </w:rPr>
        <w:t>their</w:t>
      </w:r>
      <w:r w:rsidRPr="00866D16">
        <w:rPr>
          <w:rFonts w:asciiTheme="majorHAnsi" w:eastAsia="Calibri" w:hAnsiTheme="majorHAnsi" w:cstheme="majorHAnsi"/>
          <w:highlight w:val="cyan"/>
          <w:u w:val="single"/>
        </w:rPr>
        <w:t xml:space="preserve"> </w:t>
      </w:r>
      <w:r w:rsidRPr="00866D16">
        <w:rPr>
          <w:rStyle w:val="StyleUnderline"/>
          <w:rFonts w:asciiTheme="majorHAnsi" w:hAnsiTheme="majorHAnsi" w:cstheme="majorHAnsi"/>
          <w:highlight w:val="cyan"/>
        </w:rPr>
        <w:t>ideas in the context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their</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work with individual </w:t>
      </w:r>
      <w:r w:rsidRPr="00866D16">
        <w:rPr>
          <w:rStyle w:val="StyleUnderline"/>
          <w:rFonts w:asciiTheme="majorHAnsi" w:hAnsiTheme="majorHAnsi" w:cstheme="majorHAnsi"/>
          <w:highlight w:val="cyan"/>
        </w:rPr>
        <w:t>patients</w:t>
      </w:r>
      <w:r w:rsidRPr="002E7DE2">
        <w:rPr>
          <w:rStyle w:val="StyleUnderline"/>
          <w:rFonts w:asciiTheme="majorHAnsi" w:hAnsiTheme="majorHAnsi" w:cstheme="majorHAnsi"/>
        </w:rPr>
        <w:t xml:space="preserve"> and their ideas can be examined in the everyday laboratory of the therapeutic encounter</w:t>
      </w:r>
      <w:r w:rsidRPr="002E7DE2">
        <w:rPr>
          <w:rFonts w:asciiTheme="majorHAnsi" w:eastAsia="Calibri" w:hAnsiTheme="majorHAnsi" w:cstheme="majorHAnsi"/>
          <w:sz w:val="16"/>
        </w:rPr>
        <w:t xml:space="preserve"> where the validity of an interpretation, for example, is a matter for dialogue between therapist and patient</w:t>
      </w:r>
      <w:r w:rsidRPr="002E7DE2">
        <w:rPr>
          <w:rFonts w:asciiTheme="majorHAnsi" w:eastAsia="Calibri" w:hAnsiTheme="majorHAnsi" w:cstheme="majorHAnsi"/>
          <w:u w:val="single"/>
        </w:rPr>
        <w:t xml:space="preserve">. </w:t>
      </w:r>
      <w:r w:rsidRPr="00866D16">
        <w:rPr>
          <w:rStyle w:val="StyleUnderline"/>
          <w:rFonts w:asciiTheme="majorHAnsi" w:hAnsiTheme="majorHAnsi" w:cstheme="majorHAnsi"/>
          <w:highlight w:val="cyan"/>
        </w:rPr>
        <w:t xml:space="preserve">Outside </w:t>
      </w:r>
      <w:r w:rsidRPr="002E7DE2">
        <w:rPr>
          <w:rStyle w:val="StyleUnderline"/>
          <w:rFonts w:asciiTheme="majorHAnsi" w:hAnsiTheme="majorHAnsi" w:cstheme="majorHAnsi"/>
        </w:rPr>
        <w:t xml:space="preserve">of the consulting room, </w:t>
      </w:r>
      <w:r w:rsidRPr="00866D16">
        <w:rPr>
          <w:rStyle w:val="StyleUnderline"/>
          <w:rFonts w:asciiTheme="majorHAnsi" w:hAnsiTheme="majorHAnsi" w:cstheme="majorHAnsi"/>
          <w:highlight w:val="cyan"/>
        </w:rPr>
        <w:t xml:space="preserve">there can be no </w:t>
      </w:r>
      <w:r w:rsidRPr="00866D16">
        <w:rPr>
          <w:rFonts w:asciiTheme="majorHAnsi" w:eastAsia="Calibri" w:hAnsiTheme="majorHAnsi" w:cstheme="majorHAnsi"/>
          <w:b/>
          <w:highlight w:val="cyan"/>
          <w:u w:val="single"/>
        </w:rPr>
        <w:t>such</w:t>
      </w:r>
      <w:r w:rsidRPr="00866D16">
        <w:rPr>
          <w:rFonts w:asciiTheme="majorHAnsi" w:eastAsia="Calibri" w:hAnsiTheme="majorHAnsi" w:cstheme="majorHAnsi"/>
          <w:highlight w:val="cyan"/>
          <w:u w:val="single"/>
        </w:rPr>
        <w:t xml:space="preserve"> </w:t>
      </w:r>
      <w:r w:rsidRPr="00866D16">
        <w:rPr>
          <w:rStyle w:val="StyleUnderline"/>
          <w:rFonts w:asciiTheme="majorHAnsi" w:hAnsiTheme="majorHAnsi" w:cstheme="majorHAnsi"/>
          <w:highlight w:val="cyan"/>
        </w:rPr>
        <w:t>verification process</w:t>
      </w:r>
      <w:r w:rsidRPr="002E7DE2">
        <w:rPr>
          <w:rStyle w:val="StyleUnderline"/>
          <w:rFonts w:asciiTheme="majorHAnsi" w:hAnsiTheme="majorHAnsi" w:cstheme="majorHAnsi"/>
        </w:rPr>
        <w:t xml:space="preserve">, and the further one moves from the individual </w:t>
      </w:r>
      <w:r w:rsidRPr="002E7DE2">
        <w:rPr>
          <w:rFonts w:asciiTheme="majorHAnsi" w:eastAsia="Calibri" w:hAnsiTheme="majorHAnsi" w:cstheme="majorHAnsi"/>
          <w:b/>
          <w:u w:val="single"/>
        </w:rPr>
        <w:t>patient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less purchase psychoanalytic</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ideas can</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have</w:t>
      </w:r>
      <w:r w:rsidRPr="002E7DE2">
        <w:rPr>
          <w:rFonts w:asciiTheme="majorHAnsi" w:eastAsia="Calibri" w:hAnsiTheme="majorHAnsi" w:cstheme="majorHAnsi"/>
          <w:u w:val="single"/>
        </w:rPr>
        <w:t xml:space="preserve">. </w:t>
      </w:r>
      <w:r w:rsidRPr="00866D16">
        <w:rPr>
          <w:rStyle w:val="Emphasis"/>
          <w:rFonts w:asciiTheme="majorHAnsi" w:hAnsiTheme="majorHAnsi" w:cstheme="majorHAnsi"/>
          <w:bCs/>
          <w:highlight w:val="cyan"/>
        </w:rPr>
        <w:t xml:space="preserve">Outside the </w:t>
      </w:r>
      <w:r w:rsidRPr="002E7DE2">
        <w:rPr>
          <w:rStyle w:val="Emphasis"/>
          <w:rFonts w:asciiTheme="majorHAnsi" w:hAnsiTheme="majorHAnsi" w:cstheme="majorHAnsi"/>
          <w:bCs/>
        </w:rPr>
        <w:t xml:space="preserve">therapeutic </w:t>
      </w:r>
      <w:r w:rsidRPr="00866D16">
        <w:rPr>
          <w:rStyle w:val="Emphasis"/>
          <w:rFonts w:asciiTheme="majorHAnsi" w:hAnsiTheme="majorHAnsi" w:cstheme="majorHAnsi"/>
          <w:bCs/>
          <w:highlight w:val="cyan"/>
        </w:rPr>
        <w:t xml:space="preserve">encounter, anything </w:t>
      </w:r>
      <w:r w:rsidRPr="002E7DE2">
        <w:rPr>
          <w:rStyle w:val="Emphasis"/>
          <w:rFonts w:asciiTheme="majorHAnsi" w:hAnsiTheme="majorHAnsi" w:cstheme="majorHAnsi"/>
          <w:bCs/>
        </w:rPr>
        <w:t xml:space="preserve">and everything </w:t>
      </w:r>
      <w:r w:rsidRPr="00866D16">
        <w:rPr>
          <w:rStyle w:val="Emphasis"/>
          <w:rFonts w:asciiTheme="majorHAnsi" w:hAnsiTheme="majorHAnsi" w:cstheme="majorHAnsi"/>
          <w:bCs/>
          <w:highlight w:val="cyan"/>
        </w:rPr>
        <w:t>can be true</w:t>
      </w:r>
      <w:r w:rsidRPr="002E7DE2">
        <w:rPr>
          <w:rStyle w:val="Emphasis"/>
          <w:rFonts w:asciiTheme="majorHAnsi" w:hAnsiTheme="majorHAnsi" w:cstheme="majorHAnsi"/>
          <w:bCs/>
        </w:rPr>
        <w:t>, psychoanalytically speaking</w:t>
      </w:r>
      <w:r w:rsidRPr="002E7DE2">
        <w:rPr>
          <w:rStyle w:val="StyleUnderline"/>
          <w:rFonts w:asciiTheme="majorHAnsi" w:hAnsiTheme="majorHAnsi" w:cstheme="majorHAnsi"/>
        </w:rPr>
        <w:t>.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if everything is true, then nothing can be false and therefore nothing can be true.</w:t>
      </w:r>
      <w:r w:rsidRPr="002E7DE2">
        <w:rPr>
          <w:rFonts w:asciiTheme="majorHAnsi" w:eastAsia="Calibri" w:hAnsiTheme="majorHAnsi" w:cstheme="majorHAns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2E7DE2">
        <w:rPr>
          <w:rStyle w:val="StyleUnderline"/>
          <w:rFonts w:asciiTheme="majorHAnsi" w:hAnsiTheme="majorHAnsi" w:cstheme="majorHAnsi"/>
        </w:rPr>
        <w:t>a kind of free association, mixed with deconstruction, leads not to analysis, not even to psychoanalysis, but to . . . well, just more free association, an endless, indeed one might say pointless, play on words. This approach</w:t>
      </w:r>
      <w:r w:rsidRPr="002E7DE2">
        <w:rPr>
          <w:rFonts w:asciiTheme="majorHAnsi" w:eastAsia="Calibri" w:hAnsiTheme="majorHAnsi" w:cstheme="majorHAnsi"/>
          <w:sz w:val="16"/>
        </w:rPr>
        <w:t xml:space="preserve"> may well throw up some interesting associations along the way, connections one had never thought of but it </w:t>
      </w:r>
      <w:r w:rsidRPr="002E7DE2">
        <w:rPr>
          <w:rStyle w:val="StyleUnderline"/>
          <w:rFonts w:asciiTheme="majorHAnsi" w:hAnsiTheme="majorHAnsi" w:cstheme="majorHAnsi"/>
        </w:rPr>
        <w:t xml:space="preserve">is </w:t>
      </w:r>
      <w:r w:rsidRPr="002E7DE2">
        <w:rPr>
          <w:rStyle w:val="Emphasis"/>
          <w:rFonts w:asciiTheme="majorHAnsi" w:hAnsiTheme="majorHAnsi" w:cstheme="majorHAnsi"/>
          <w:bCs/>
        </w:rPr>
        <w:t>not to be confused with political analysis</w:t>
      </w:r>
      <w:r w:rsidRPr="002E7DE2">
        <w:rPr>
          <w:rFonts w:asciiTheme="majorHAnsi" w:eastAsia="Calibri" w:hAnsiTheme="majorHAnsi" w:cstheme="majorHAnsi"/>
          <w:sz w:val="16"/>
        </w:rPr>
        <w:t>. In `Home rules', anything and everything to do with `home' can and does ®nd a place here and, as I indicated above, even the popular ®lm Home Alone is pressed into service as a story about `racial' invasion.</w:t>
      </w:r>
    </w:p>
    <w:p w14:paraId="42EDD65F" w14:textId="25804FE3" w:rsidR="007E1DDE" w:rsidRDefault="007E1DDE" w:rsidP="007E1DDE">
      <w:pPr>
        <w:pStyle w:val="Heading4"/>
      </w:pPr>
      <w:r>
        <w:t>YES YOUR PYSCHO – saying you integrate other theories doesn’t change that the underlying ‘science’ of pyscho is fake</w:t>
      </w:r>
    </w:p>
    <w:p w14:paraId="0997D7E1" w14:textId="77777777" w:rsidR="007A78AE" w:rsidRPr="00805522" w:rsidRDefault="007A78AE" w:rsidP="007A78AE">
      <w:pPr>
        <w:pStyle w:val="Heading4"/>
        <w:rPr>
          <w:rFonts w:cs="Calibri"/>
        </w:rPr>
      </w:pPr>
      <w:r w:rsidRPr="00805522">
        <w:rPr>
          <w:rFonts w:cs="Calibri"/>
          <w:u w:val="single"/>
        </w:rPr>
        <w:t>Abstract critique</w:t>
      </w:r>
      <w:r w:rsidRPr="00805522">
        <w:rPr>
          <w:rFonts w:cs="Calibri"/>
        </w:rPr>
        <w:t xml:space="preserve"> keeps us from </w:t>
      </w:r>
      <w:r w:rsidRPr="00805522">
        <w:rPr>
          <w:rFonts w:cs="Calibri"/>
          <w:u w:val="single"/>
        </w:rPr>
        <w:t>forefronting</w:t>
      </w:r>
      <w:r w:rsidRPr="00805522">
        <w:rPr>
          <w:rFonts w:cs="Calibri"/>
        </w:rPr>
        <w:t xml:space="preserve"> political reform to create </w:t>
      </w:r>
      <w:r w:rsidRPr="00805522">
        <w:rPr>
          <w:rFonts w:cs="Calibri"/>
          <w:u w:val="single"/>
        </w:rPr>
        <w:t>material change</w:t>
      </w:r>
      <w:r w:rsidRPr="00805522">
        <w:rPr>
          <w:rFonts w:cs="Calibri"/>
        </w:rPr>
        <w:t xml:space="preserve"> for disability.</w:t>
      </w:r>
    </w:p>
    <w:p w14:paraId="214183AB" w14:textId="77777777" w:rsidR="007A78AE" w:rsidRPr="00805522" w:rsidRDefault="007A78AE" w:rsidP="007A78AE">
      <w:pPr>
        <w:rPr>
          <w:sz w:val="16"/>
          <w:szCs w:val="16"/>
          <w:u w:val="single"/>
        </w:rPr>
      </w:pPr>
      <w:r w:rsidRPr="00805522">
        <w:rPr>
          <w:rStyle w:val="Style13ptBold"/>
        </w:rPr>
        <w:t>Ruckelshaus 17</w:t>
      </w:r>
      <w:r w:rsidRPr="00805522">
        <w:t xml:space="preserve"> </w:t>
      </w:r>
      <w:r w:rsidRPr="00805522">
        <w:rPr>
          <w:sz w:val="16"/>
          <w:szCs w:val="16"/>
        </w:rPr>
        <w:t xml:space="preserve">[Jay, Rhodes Scholar and graduate student in political theory at the University of Oxford, and the founder and president of Ramp Less Traveled, a nonprofit organization that helps students with spinal cord injuries pursue higher education. 01/18/17 "The Non-Politics of Disability.” </w:t>
      </w:r>
      <w:hyperlink r:id="rId11" w:history="1">
        <w:r w:rsidRPr="00805522">
          <w:rPr>
            <w:rStyle w:val="Hyperlink"/>
            <w:sz w:val="16"/>
            <w:szCs w:val="16"/>
          </w:rPr>
          <w:t>https://www.nytimes.com/2017/01/18/opinion/denouncing-trump-wont-help-disability-rights.html</w:t>
        </w:r>
      </w:hyperlink>
      <w:r w:rsidRPr="00805522">
        <w:rPr>
          <w:sz w:val="16"/>
          <w:szCs w:val="16"/>
        </w:rPr>
        <w:t>] JCH-PF</w:t>
      </w:r>
    </w:p>
    <w:p w14:paraId="6965020C" w14:textId="77777777" w:rsidR="007A78AE" w:rsidRDefault="007A78AE" w:rsidP="007A78AE">
      <w:pPr>
        <w:rPr>
          <w:sz w:val="8"/>
        </w:rPr>
      </w:pPr>
      <w:r w:rsidRPr="00805522">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805522">
        <w:rPr>
          <w:u w:val="single"/>
        </w:rPr>
        <w:t xml:space="preserve">our </w:t>
      </w:r>
      <w:r w:rsidRPr="00866D16">
        <w:rPr>
          <w:highlight w:val="cyan"/>
          <w:u w:val="single"/>
        </w:rPr>
        <w:t>pro-disabled political consensus</w:t>
      </w:r>
      <w:r w:rsidRPr="00805522">
        <w:rPr>
          <w:sz w:val="8"/>
        </w:rPr>
        <w:t xml:space="preserve">. Its logic </w:t>
      </w:r>
      <w:r w:rsidRPr="00866D16">
        <w:rPr>
          <w:highlight w:val="cyan"/>
          <w:u w:val="single"/>
        </w:rPr>
        <w:t>is rooted</w:t>
      </w:r>
      <w:r w:rsidRPr="00805522">
        <w:rPr>
          <w:sz w:val="8"/>
        </w:rPr>
        <w:t xml:space="preserve"> not in any deep belief in the equal worth of citizens with disabilities, but rather </w:t>
      </w:r>
      <w:r w:rsidRPr="00866D16">
        <w:rPr>
          <w:highlight w:val="cyan"/>
          <w:u w:val="single"/>
        </w:rPr>
        <w:t>in a general aversion to disability</w:t>
      </w:r>
      <w:r w:rsidRPr="00805522">
        <w:t xml:space="preserve">. </w:t>
      </w:r>
      <w:r w:rsidRPr="00866D16">
        <w:rPr>
          <w:highlight w:val="cyan"/>
          <w:u w:val="single"/>
        </w:rPr>
        <w:t>This</w:t>
      </w:r>
      <w:r w:rsidRPr="00805522">
        <w:rPr>
          <w:sz w:val="8"/>
        </w:rPr>
        <w:t xml:space="preserve"> is related to the charity impulse that has always surrounded disability — and </w:t>
      </w:r>
      <w:r w:rsidRPr="00866D16">
        <w:rPr>
          <w:highlight w:val="cyan"/>
          <w:u w:val="single"/>
        </w:rPr>
        <w:t>has constrained liberation efforts by assuming</w:t>
      </w:r>
      <w:r w:rsidRPr="00805522">
        <w:rPr>
          <w:u w:val="single"/>
        </w:rPr>
        <w:t xml:space="preserve"> that </w:t>
      </w:r>
      <w:r w:rsidRPr="00866D16">
        <w:rPr>
          <w:highlight w:val="cyan"/>
          <w:u w:val="single"/>
        </w:rPr>
        <w:t>inequities are</w:t>
      </w:r>
      <w:r w:rsidRPr="00805522">
        <w:rPr>
          <w:sz w:val="8"/>
        </w:rPr>
        <w:t xml:space="preserve"> unfortunate but </w:t>
      </w:r>
      <w:r w:rsidRPr="00866D16">
        <w:rPr>
          <w:highlight w:val="cyan"/>
          <w:u w:val="single"/>
        </w:rPr>
        <w:t>natural realities</w:t>
      </w:r>
      <w:r w:rsidRPr="00805522">
        <w:rPr>
          <w:u w:val="single"/>
        </w:rPr>
        <w:t xml:space="preserve"> to be mitigated through compassion, </w:t>
      </w:r>
      <w:r w:rsidRPr="00866D16">
        <w:rPr>
          <w:rStyle w:val="Emphasis"/>
          <w:highlight w:val="cyan"/>
        </w:rPr>
        <w:t>rather than politically structured injustices</w:t>
      </w:r>
      <w:r w:rsidRPr="00805522">
        <w:t xml:space="preserve">. </w:t>
      </w:r>
      <w:r w:rsidRPr="00866D16">
        <w:rPr>
          <w:highlight w:val="cyan"/>
          <w:u w:val="single"/>
        </w:rPr>
        <w:t>There is</w:t>
      </w:r>
      <w:r w:rsidRPr="00805522">
        <w:rPr>
          <w:u w:val="single"/>
        </w:rPr>
        <w:t xml:space="preserve"> also </w:t>
      </w:r>
      <w:r w:rsidRPr="00866D16">
        <w:rPr>
          <w:highlight w:val="cyan"/>
          <w:u w:val="single"/>
        </w:rPr>
        <w:t>a</w:t>
      </w:r>
      <w:r w:rsidRPr="00805522">
        <w:rPr>
          <w:u w:val="single"/>
        </w:rPr>
        <w:t xml:space="preserve"> profound </w:t>
      </w:r>
      <w:r w:rsidRPr="00866D16">
        <w:rPr>
          <w:highlight w:val="cyan"/>
          <w:u w:val="single"/>
        </w:rPr>
        <w:t>lack of disabled people in the public sphere</w:t>
      </w:r>
      <w:r w:rsidRPr="00805522">
        <w:rPr>
          <w:u w:val="single"/>
        </w:rPr>
        <w:t xml:space="preserve">, meaning </w:t>
      </w:r>
      <w:r w:rsidRPr="00805522">
        <w:rPr>
          <w:sz w:val="8"/>
        </w:rPr>
        <w:t xml:space="preserve">any </w:t>
      </w:r>
      <w:r w:rsidRPr="00805522">
        <w:rPr>
          <w:u w:val="single"/>
        </w:rPr>
        <w:t>substantive discussion</w:t>
      </w:r>
      <w:r w:rsidRPr="00805522">
        <w:rPr>
          <w:sz w:val="8"/>
        </w:rPr>
        <w:t xml:space="preserve"> that does occur </w:t>
      </w:r>
      <w:r w:rsidRPr="00805522">
        <w:rPr>
          <w:u w:val="single"/>
        </w:rPr>
        <w:t xml:space="preserve">is extremely rare. </w:t>
      </w:r>
      <w:r w:rsidRPr="00805522">
        <w:rPr>
          <w:sz w:val="8"/>
        </w:rPr>
        <w:t xml:space="preserve">I suspect many people I talk to about disability maintain an implicit hope that, if they nod as vigorously as possible, the issue will simply go away. In this way, support for </w:t>
      </w:r>
      <w:r w:rsidRPr="00866D16">
        <w:rPr>
          <w:highlight w:val="cyan"/>
          <w:u w:val="single"/>
        </w:rPr>
        <w:t>disability rights</w:t>
      </w:r>
      <w:r w:rsidRPr="00805522">
        <w:rPr>
          <w:sz w:val="8"/>
        </w:rPr>
        <w:t xml:space="preserve"> is similar to the act of expressing perfunctory thanks to military veterans. It temporarily </w:t>
      </w:r>
      <w:r w:rsidRPr="00866D16">
        <w:rPr>
          <w:highlight w:val="cyan"/>
          <w:u w:val="single"/>
        </w:rPr>
        <w:t>absolves us of</w:t>
      </w:r>
      <w:r w:rsidRPr="00805522">
        <w:rPr>
          <w:u w:val="single"/>
        </w:rPr>
        <w:t xml:space="preserve"> the </w:t>
      </w:r>
      <w:r w:rsidRPr="00866D16">
        <w:rPr>
          <w:highlight w:val="cyan"/>
          <w:u w:val="single"/>
        </w:rPr>
        <w:t>responsibility</w:t>
      </w:r>
      <w:r w:rsidRPr="00805522">
        <w:rPr>
          <w:u w:val="single"/>
        </w:rPr>
        <w:t xml:space="preserve"> to address the heart of the matter. </w:t>
      </w:r>
      <w:r w:rsidRPr="00805522">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actually restrains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866D16">
        <w:rPr>
          <w:rStyle w:val="Emphasis"/>
          <w:highlight w:val="cyan"/>
        </w:rPr>
        <w:t>We must politicize disability</w:t>
      </w:r>
      <w:r w:rsidRPr="00805522">
        <w:rPr>
          <w:sz w:val="8"/>
        </w:rPr>
        <w:t xml:space="preserve"> — not in the cable-news, grandstanding kind of way, but in the term’s more formal sense. The work of the Belgian political theorist Chantal Mouffe can help illuminate what’s at stake. Mouffe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Mouffe would insist, we are doomed to a vacuous, empty debate that is neither political nor productive. Recall the Kovaleski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805522">
        <w:rPr>
          <w:u w:val="single"/>
        </w:rPr>
        <w:t xml:space="preserve"> </w:t>
      </w:r>
      <w:r w:rsidRPr="00866D16">
        <w:rPr>
          <w:rStyle w:val="Emphasis"/>
          <w:highlight w:val="cyan"/>
        </w:rPr>
        <w:t>How do we even define “disability”?</w:t>
      </w:r>
      <w:r w:rsidRPr="00805522">
        <w:rPr>
          <w:sz w:val="8"/>
        </w:rPr>
        <w:t xml:space="preserve"> Despite — and, I would argue, partly </w:t>
      </w:r>
      <w:r w:rsidRPr="00866D16">
        <w:rPr>
          <w:highlight w:val="cyan"/>
          <w:u w:val="single"/>
        </w:rPr>
        <w:t>because of</w:t>
      </w:r>
      <w:r w:rsidRPr="00805522">
        <w:rPr>
          <w:u w:val="single"/>
        </w:rPr>
        <w:t xml:space="preserve"> — the </w:t>
      </w:r>
      <w:r w:rsidRPr="00866D16">
        <w:rPr>
          <w:highlight w:val="cyan"/>
          <w:u w:val="single"/>
        </w:rPr>
        <w:t>broad condemnation</w:t>
      </w:r>
      <w:r w:rsidRPr="00805522">
        <w:rPr>
          <w:sz w:val="8"/>
        </w:rPr>
        <w:t xml:space="preserve"> of Mr. Trump for his insensitivity, </w:t>
      </w:r>
      <w:r w:rsidRPr="00866D16">
        <w:rPr>
          <w:highlight w:val="cyan"/>
          <w:u w:val="single"/>
        </w:rPr>
        <w:t>there was no substantive public discussion</w:t>
      </w:r>
      <w:r w:rsidRPr="00805522">
        <w:rPr>
          <w:u w:val="single"/>
        </w:rPr>
        <w:t xml:space="preserve"> of such issues. </w:t>
      </w:r>
      <w:r w:rsidRPr="00805522">
        <w:rPr>
          <w:sz w:val="8"/>
        </w:rPr>
        <w:t xml:space="preserve">You may be thinking, haven’t we had enough politics lately? Maybe it’s a blessing that disability isn’t as political as it might be; it avoids the drama and messiness that now seem to define our common life. Avoiding politics might be possible if </w:t>
      </w:r>
      <w:r w:rsidRPr="00866D16">
        <w:rPr>
          <w:highlight w:val="cyan"/>
          <w:u w:val="single"/>
        </w:rPr>
        <w:t>disability</w:t>
      </w:r>
      <w:r w:rsidRPr="00805522">
        <w:rPr>
          <w:sz w:val="8"/>
        </w:rPr>
        <w:t xml:space="preserve"> were an exclusively private affair. But it </w:t>
      </w:r>
      <w:r w:rsidRPr="00866D16">
        <w:rPr>
          <w:highlight w:val="cyan"/>
          <w:u w:val="single"/>
        </w:rPr>
        <w:t>is</w:t>
      </w:r>
      <w:r w:rsidRPr="00805522">
        <w:rPr>
          <w:u w:val="single"/>
        </w:rPr>
        <w:t xml:space="preserve"> fundamentally </w:t>
      </w:r>
      <w:r w:rsidRPr="00866D16">
        <w:rPr>
          <w:highlight w:val="cyan"/>
          <w:u w:val="single"/>
        </w:rPr>
        <w:t>a public concern</w:t>
      </w:r>
      <w:r w:rsidRPr="00805522">
        <w:rPr>
          <w:sz w:val="8"/>
        </w:rPr>
        <w:t>,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Mouffe’s agonism: By legitimating clashing arguments and welcoming them into the political fold, unproductive antagonism becomes constructive, and compromises emerge.</w:t>
      </w:r>
    </w:p>
    <w:p w14:paraId="468579A0" w14:textId="77777777" w:rsidR="007A78AE" w:rsidRPr="007A78AE" w:rsidRDefault="007A78AE" w:rsidP="007A78AE"/>
    <w:p w14:paraId="3945D780" w14:textId="77777777" w:rsidR="007E1DDE" w:rsidRPr="00D73616" w:rsidRDefault="007E1DDE" w:rsidP="007E1DDE">
      <w:pPr>
        <w:pStyle w:val="Heading3"/>
      </w:pPr>
      <w:r w:rsidRPr="00D73616">
        <w:lastRenderedPageBreak/>
        <w:t xml:space="preserve"> AT: Debate Bad</w:t>
      </w:r>
    </w:p>
    <w:p w14:paraId="47690CEF" w14:textId="33F748A1" w:rsidR="007E1DDE" w:rsidRDefault="006F6B23" w:rsidP="007E1DDE">
      <w:pPr>
        <w:pStyle w:val="Heading4"/>
      </w:pPr>
      <w:r>
        <w:t>t</w:t>
      </w:r>
      <w:r w:rsidR="007E1DDE">
        <w:t xml:space="preserve">1] Trying to eliminate debate produces cruel optimism and repetition compulsion because they target discriminatory acts produced by the structure of [neoliberalism] i.e debate, instead of the </w:t>
      </w:r>
      <w:r w:rsidR="007E1DDE" w:rsidRPr="00567E7E">
        <w:t>structure</w:t>
      </w:r>
      <w:r w:rsidR="007E1DDE">
        <w:t xml:space="preserve"> of neoliberalism</w:t>
      </w:r>
      <w:r w:rsidR="007E1DDE" w:rsidRPr="00567E7E">
        <w:t xml:space="preserve"> itself. Turns the case – </w:t>
      </w:r>
      <w:r w:rsidR="007E1DDE">
        <w:t>causes</w:t>
      </w:r>
      <w:r w:rsidR="007E1DDE" w:rsidRPr="00567E7E">
        <w:t xml:space="preserve"> </w:t>
      </w:r>
      <w:r w:rsidR="007E1DDE">
        <w:t xml:space="preserve">endless repetitious targeting of smaller structures never destroying the structure itself and ensuring the failure of the 1ac’s project. </w:t>
      </w:r>
    </w:p>
    <w:p w14:paraId="242218F3" w14:textId="77777777" w:rsidR="007E1DDE" w:rsidRDefault="007E1DDE" w:rsidP="007E1DDE">
      <w:pPr>
        <w:pStyle w:val="Heading4"/>
      </w:pPr>
      <w:r>
        <w:t xml:space="preserve">2] 20 years of empirics through debate bad kritiks flow negative. </w:t>
      </w:r>
    </w:p>
    <w:p w14:paraId="4B23D9E0" w14:textId="77777777" w:rsidR="007E1DDE" w:rsidRDefault="007E1DDE" w:rsidP="007E1DDE">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396A37AC" w14:textId="7F6045C6" w:rsidR="007E1DDE" w:rsidRDefault="007E1DDE" w:rsidP="007E1DDE">
      <w:pPr>
        <w:pStyle w:val="Heading4"/>
      </w:pPr>
      <w:r>
        <w:t>4] Unfairness does not give you uniqueness – fairness is key to having discussions about the affs methodology and iterative which you ROTB concedes the validity of. Being unfair will just cause people to prep you out in future rounds which proves you do not do anything.</w:t>
      </w:r>
    </w:p>
    <w:p w14:paraId="20E01A4D" w14:textId="58959F8A" w:rsidR="007E1DDE" w:rsidRDefault="007E1DDE" w:rsidP="007E1DDE">
      <w:pPr>
        <w:pStyle w:val="Heading2"/>
      </w:pPr>
      <w:r>
        <w:lastRenderedPageBreak/>
        <w:t>UV</w:t>
      </w:r>
    </w:p>
    <w:p w14:paraId="1CE13ACB" w14:textId="77777777" w:rsidR="00F650B1" w:rsidRDefault="00F650B1" w:rsidP="00F650B1">
      <w:pPr>
        <w:pStyle w:val="Heading4"/>
      </w:pPr>
      <w:r>
        <w:t>1] Even if it’s a good model the judge shouldn’t endorse it, results in guilt politics where the judge does nothing but believes they participate, this leads to  broader exported violence in everyday life. Paints suffering as vote for us to remedy, assuages the judge of guilt bc of indivual actions when they have in fact done nothing</w:t>
      </w:r>
    </w:p>
    <w:p w14:paraId="07993E57" w14:textId="77777777" w:rsidR="00F650B1" w:rsidRDefault="00F650B1" w:rsidP="00F650B1">
      <w:pPr>
        <w:pStyle w:val="Heading4"/>
      </w:pPr>
      <w:r>
        <w:t>2] Any arg that defines what indivuals can read or how they engage based on identity is causes authenticiy testing. Begs the question of who is disabled enough and people pretending to be disabled, this causes physic violenc and turns their violence posited in the 1AC</w:t>
      </w:r>
    </w:p>
    <w:p w14:paraId="1CF932C0" w14:textId="77777777" w:rsidR="00F650B1" w:rsidRDefault="00F650B1" w:rsidP="00F650B1">
      <w:pPr>
        <w:pStyle w:val="Heading4"/>
      </w:pPr>
      <w:r>
        <w:t>3] Paternalism  DA- they deny the possibillity for a legit victory- voting aff doesn’t remedy strucutral harms, you recreate the logic of paternalism where people feel they are helping disabled debaters and reproduces stereotypes that disabled debaters can only win on identity based arguments</w:t>
      </w:r>
    </w:p>
    <w:p w14:paraId="1F1CAA7F" w14:textId="7EE925AD" w:rsidR="00F650B1" w:rsidRDefault="00F650B1" w:rsidP="00F650B1">
      <w:pPr>
        <w:pStyle w:val="Heading4"/>
      </w:pPr>
      <w:r>
        <w:t>4] Args in round cant remedy structural fairness, only procedural fairnes,  a ballot for me can signal my inabillity to debate in this round but doesn’t solve ablesit violence.</w:t>
      </w:r>
    </w:p>
    <w:p w14:paraId="51575369" w14:textId="3E3230D7" w:rsidR="009313DB" w:rsidRPr="009313DB" w:rsidRDefault="009313DB" w:rsidP="009313DB">
      <w:pPr>
        <w:pStyle w:val="Heading4"/>
      </w:pPr>
      <w:r>
        <w:t xml:space="preserve">5] Causes oppression Olympics – where people compare their oppression in order to </w:t>
      </w:r>
      <w:r w:rsidR="00BF0F86">
        <w:t>‘</w:t>
      </w:r>
      <w:r>
        <w:t>earn</w:t>
      </w:r>
      <w:r w:rsidR="00BF0F86">
        <w:t>’</w:t>
      </w:r>
      <w:r>
        <w:t xml:space="preserve"> the ballot</w:t>
      </w:r>
    </w:p>
    <w:p w14:paraId="7F166425" w14:textId="77777777" w:rsidR="00F650B1" w:rsidRPr="00F650B1" w:rsidRDefault="00F650B1" w:rsidP="00F650B1"/>
    <w:p w14:paraId="509C614C" w14:textId="77777777" w:rsidR="007E1DDE" w:rsidRDefault="007E1DDE" w:rsidP="007E1DDE">
      <w:pPr>
        <w:pStyle w:val="Heading2"/>
      </w:pPr>
      <w:r>
        <w:lastRenderedPageBreak/>
        <w:t>Theory Inco</w:t>
      </w:r>
    </w:p>
    <w:p w14:paraId="1A4D8BC2" w14:textId="77777777" w:rsidR="007E1DDE" w:rsidRDefault="007E1DDE" w:rsidP="007E1DDE">
      <w:pPr>
        <w:pStyle w:val="Heading3"/>
      </w:pPr>
      <w:r>
        <w:lastRenderedPageBreak/>
        <w:t>OV</w:t>
      </w:r>
    </w:p>
    <w:p w14:paraId="2BF76194" w14:textId="77777777" w:rsidR="007E1DDE" w:rsidRDefault="007E1DDE" w:rsidP="007E1DDE">
      <w:pPr>
        <w:pStyle w:val="Heading4"/>
      </w:pPr>
      <w:r>
        <w:t>If theory is incoherent vote neg on face – you don’t care about fairness why should we</w:t>
      </w:r>
    </w:p>
    <w:p w14:paraId="4C6724E9" w14:textId="77777777" w:rsidR="007E1DDE" w:rsidRDefault="007E1DDE" w:rsidP="007E1DDE">
      <w:pPr>
        <w:pStyle w:val="Heading4"/>
      </w:pPr>
      <w:r>
        <w:t>Perm do the aff- you see how this gets ridiculous</w:t>
      </w:r>
    </w:p>
    <w:p w14:paraId="2BFFD6B0" w14:textId="77777777" w:rsidR="007E1DDE" w:rsidRPr="00692412" w:rsidRDefault="007E1DDE" w:rsidP="007E1DDE">
      <w:pPr>
        <w:pStyle w:val="Heading4"/>
      </w:pPr>
      <w:r>
        <w:t>1NC paradigm issues answers these all</w:t>
      </w:r>
    </w:p>
    <w:p w14:paraId="10DBE1D3" w14:textId="490DE71F" w:rsidR="007E1DDE" w:rsidRPr="00F97EFC" w:rsidRDefault="001C47D7" w:rsidP="007E1DDE">
      <w:pPr>
        <w:pStyle w:val="Heading3"/>
      </w:pPr>
      <w:r>
        <w:lastRenderedPageBreak/>
        <w:t>Theory inco</w:t>
      </w:r>
    </w:p>
    <w:p w14:paraId="5E7324DB" w14:textId="77777777" w:rsidR="007E1DDE" w:rsidRDefault="007E1DDE" w:rsidP="007E1DDE">
      <w:pPr>
        <w:pStyle w:val="Heading4"/>
      </w:pPr>
      <w:r>
        <w:t>1] A) this doesn’t make any sense – this just flows neg, if its determined off abuse vote neg because you were abusive b) evaluate the round through a CI model on the T shell c) you can evaluate rounds even with theory???</w:t>
      </w:r>
    </w:p>
    <w:p w14:paraId="0259D129" w14:textId="77777777" w:rsidR="007E1DDE" w:rsidRDefault="007E1DDE" w:rsidP="007E1DDE">
      <w:pPr>
        <w:pStyle w:val="Heading4"/>
      </w:pPr>
      <w:r>
        <w:t>2] a) evalling off the flow rather than the theory is true for every form of debate – no one wants to read deleuze articles to decide a phil debate b) norms are true as proven in debate – if I win it then it’s a better norm</w:t>
      </w:r>
    </w:p>
    <w:p w14:paraId="70D1AC36" w14:textId="77777777" w:rsidR="007E1DDE" w:rsidRPr="00C740F4" w:rsidRDefault="007E1DDE" w:rsidP="007E1DDE">
      <w:pPr>
        <w:pStyle w:val="Heading4"/>
      </w:pPr>
    </w:p>
    <w:p w14:paraId="69E5E1AB" w14:textId="5C7E3FF4" w:rsidR="00E42E4C" w:rsidRDefault="00043A41" w:rsidP="00043A41">
      <w:pPr>
        <w:pStyle w:val="Heading1"/>
      </w:pPr>
      <w:r>
        <w:lastRenderedPageBreak/>
        <w:t>RFD</w:t>
      </w:r>
    </w:p>
    <w:p w14:paraId="7268483B" w14:textId="138FFACD" w:rsidR="00043A41" w:rsidRPr="00043A41" w:rsidRDefault="00043A41" w:rsidP="00043A41">
      <w:pPr>
        <w:pStyle w:val="Heading4"/>
      </w:pPr>
      <w:r>
        <w:t xml:space="preserve">Winning the rond should </w:t>
      </w:r>
      <w:r w:rsidR="00C869D5">
        <w:t>be legit – aff undermines legit victory</w:t>
      </w:r>
    </w:p>
    <w:sectPr w:rsidR="00043A41" w:rsidRPr="00043A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390F"/>
    <w:rsid w:val="000029E3"/>
    <w:rsid w:val="000029E8"/>
    <w:rsid w:val="00004225"/>
    <w:rsid w:val="000066CA"/>
    <w:rsid w:val="00007264"/>
    <w:rsid w:val="000076A9"/>
    <w:rsid w:val="00014573"/>
    <w:rsid w:val="00014FAD"/>
    <w:rsid w:val="00015D2A"/>
    <w:rsid w:val="0002490B"/>
    <w:rsid w:val="00026465"/>
    <w:rsid w:val="00030204"/>
    <w:rsid w:val="000312A0"/>
    <w:rsid w:val="0003396C"/>
    <w:rsid w:val="00035337"/>
    <w:rsid w:val="00043A41"/>
    <w:rsid w:val="00052FB1"/>
    <w:rsid w:val="00054276"/>
    <w:rsid w:val="000547B1"/>
    <w:rsid w:val="0006091E"/>
    <w:rsid w:val="000638C1"/>
    <w:rsid w:val="00065FEE"/>
    <w:rsid w:val="00066E3C"/>
    <w:rsid w:val="00072718"/>
    <w:rsid w:val="0007381E"/>
    <w:rsid w:val="00076094"/>
    <w:rsid w:val="0008785F"/>
    <w:rsid w:val="00090CBE"/>
    <w:rsid w:val="0009360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D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F3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82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F7F"/>
    <w:rsid w:val="006D6AED"/>
    <w:rsid w:val="006E6D0B"/>
    <w:rsid w:val="006F126E"/>
    <w:rsid w:val="006F32C9"/>
    <w:rsid w:val="006F3834"/>
    <w:rsid w:val="006F4CC8"/>
    <w:rsid w:val="006F5693"/>
    <w:rsid w:val="006F5D4C"/>
    <w:rsid w:val="006F6B23"/>
    <w:rsid w:val="00717B01"/>
    <w:rsid w:val="007227D9"/>
    <w:rsid w:val="0072491F"/>
    <w:rsid w:val="00725598"/>
    <w:rsid w:val="007374A1"/>
    <w:rsid w:val="00752712"/>
    <w:rsid w:val="00753A84"/>
    <w:rsid w:val="00760DC6"/>
    <w:rsid w:val="007611F5"/>
    <w:rsid w:val="007619E4"/>
    <w:rsid w:val="00761E75"/>
    <w:rsid w:val="0076495E"/>
    <w:rsid w:val="00765FC8"/>
    <w:rsid w:val="00775694"/>
    <w:rsid w:val="00793F46"/>
    <w:rsid w:val="007A1325"/>
    <w:rsid w:val="007A1A18"/>
    <w:rsid w:val="007A3BAF"/>
    <w:rsid w:val="007A78AE"/>
    <w:rsid w:val="007B53D8"/>
    <w:rsid w:val="007C22C5"/>
    <w:rsid w:val="007C57E1"/>
    <w:rsid w:val="007C5811"/>
    <w:rsid w:val="007D2DF5"/>
    <w:rsid w:val="007D451A"/>
    <w:rsid w:val="007D5E3E"/>
    <w:rsid w:val="007D7596"/>
    <w:rsid w:val="007E1DDE"/>
    <w:rsid w:val="007E242C"/>
    <w:rsid w:val="007E6631"/>
    <w:rsid w:val="00803A12"/>
    <w:rsid w:val="00805417"/>
    <w:rsid w:val="008266F9"/>
    <w:rsid w:val="008267E2"/>
    <w:rsid w:val="00826A9B"/>
    <w:rsid w:val="00834842"/>
    <w:rsid w:val="00840E7B"/>
    <w:rsid w:val="008536AF"/>
    <w:rsid w:val="00853D40"/>
    <w:rsid w:val="008564FC"/>
    <w:rsid w:val="00864E76"/>
    <w:rsid w:val="00866D1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3D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90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86"/>
    <w:rsid w:val="00BF29B8"/>
    <w:rsid w:val="00BF46EA"/>
    <w:rsid w:val="00C07769"/>
    <w:rsid w:val="00C07D05"/>
    <w:rsid w:val="00C10856"/>
    <w:rsid w:val="00C203FA"/>
    <w:rsid w:val="00C244F5"/>
    <w:rsid w:val="00C3164F"/>
    <w:rsid w:val="00C31B5E"/>
    <w:rsid w:val="00C327CA"/>
    <w:rsid w:val="00C34D3E"/>
    <w:rsid w:val="00C35B37"/>
    <w:rsid w:val="00C3747A"/>
    <w:rsid w:val="00C37F29"/>
    <w:rsid w:val="00C56DCC"/>
    <w:rsid w:val="00C57075"/>
    <w:rsid w:val="00C72AFE"/>
    <w:rsid w:val="00C76935"/>
    <w:rsid w:val="00C81619"/>
    <w:rsid w:val="00C869D5"/>
    <w:rsid w:val="00C96E72"/>
    <w:rsid w:val="00CA013C"/>
    <w:rsid w:val="00CA6D6D"/>
    <w:rsid w:val="00CC7A4E"/>
    <w:rsid w:val="00CD0F28"/>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1E7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2E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0B1"/>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5C6C3F"/>
  <w14:defaultImageDpi w14:val="300"/>
  <w15:docId w15:val="{CEFFEE27-C898-C340-9BCF-59B14D0C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D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3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9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AD39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AD39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90F"/>
  </w:style>
  <w:style w:type="character" w:customStyle="1" w:styleId="Heading1Char">
    <w:name w:val="Heading 1 Char"/>
    <w:aliases w:val="Pocket Char"/>
    <w:basedOn w:val="DefaultParagraphFont"/>
    <w:link w:val="Heading1"/>
    <w:uiPriority w:val="9"/>
    <w:rsid w:val="00AD39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90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9"/>
    <w:rsid w:val="00AD390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AD39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390F"/>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AD390F"/>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s"/>
    <w:basedOn w:val="DefaultParagraphFont"/>
    <w:link w:val="textbold"/>
    <w:uiPriority w:val="20"/>
    <w:qFormat/>
    <w:rsid w:val="00AD39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390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D390F"/>
    <w:rPr>
      <w:color w:val="auto"/>
      <w:u w:val="none"/>
    </w:rPr>
  </w:style>
  <w:style w:type="paragraph" w:styleId="DocumentMap">
    <w:name w:val="Document Map"/>
    <w:basedOn w:val="Normal"/>
    <w:link w:val="DocumentMapChar"/>
    <w:uiPriority w:val="99"/>
    <w:semiHidden/>
    <w:unhideWhenUsed/>
    <w:rsid w:val="00AD39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90F"/>
    <w:rPr>
      <w:rFonts w:ascii="Lucida Grande" w:hAnsi="Lucida Grande" w:cs="Lucida Grande"/>
    </w:rPr>
  </w:style>
  <w:style w:type="paragraph" w:customStyle="1" w:styleId="textbold">
    <w:name w:val="text bold"/>
    <w:basedOn w:val="Normal"/>
    <w:link w:val="Emphasis"/>
    <w:uiPriority w:val="20"/>
    <w:qFormat/>
    <w:rsid w:val="007E1DD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7A78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7/01/18/opinion/denouncing-trump-wont-help-disability-rights.html" TargetMode="External"/><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5574</Words>
  <Characters>31778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2022-04-24T22:40:00Z</dcterms:created>
  <dcterms:modified xsi:type="dcterms:W3CDTF">2022-04-25T00:18:00Z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