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6B7E1" w14:textId="7FECCF31" w:rsidR="00F34B39" w:rsidRDefault="00F34B39" w:rsidP="00F34B39">
      <w:pPr>
        <w:pStyle w:val="Heading2"/>
      </w:pPr>
      <w:r>
        <w:t xml:space="preserve">New </w:t>
      </w:r>
      <w:proofErr w:type="spellStart"/>
      <w:r>
        <w:t>Affs</w:t>
      </w:r>
      <w:proofErr w:type="spellEnd"/>
      <w:r>
        <w:t xml:space="preserve"> Bad</w:t>
      </w:r>
    </w:p>
    <w:p w14:paraId="5BD28CB6" w14:textId="6AE6B83C" w:rsidR="00F34B39" w:rsidRPr="00F34B39" w:rsidRDefault="00F34B39" w:rsidP="00F34B39">
      <w:pPr>
        <w:pStyle w:val="Heading4"/>
      </w:pPr>
      <w:r w:rsidRPr="00F34B39">
        <w:t xml:space="preserve">Interpretation—The </w:t>
      </w:r>
      <w:proofErr w:type="spellStart"/>
      <w:r w:rsidRPr="00F34B39">
        <w:t>aff</w:t>
      </w:r>
      <w:proofErr w:type="spellEnd"/>
      <w:r w:rsidRPr="00F34B39">
        <w:t xml:space="preserve"> must disclose the advocacy text and the standard text before the round. To clarify, disclosure can occur on the wiki or over message.</w:t>
      </w:r>
    </w:p>
    <w:p w14:paraId="376D0134" w14:textId="559F9303" w:rsidR="00F34B39" w:rsidRDefault="00F34B39" w:rsidP="00F34B39">
      <w:pPr>
        <w:pStyle w:val="Heading4"/>
      </w:pPr>
      <w:r w:rsidRPr="00F34B39">
        <w:t>Violation—they didn't</w:t>
      </w:r>
    </w:p>
    <w:p w14:paraId="65D7BF64" w14:textId="49B3AD75" w:rsidR="00F138DE" w:rsidRPr="00F138DE" w:rsidRDefault="00F138DE" w:rsidP="00F138DE">
      <w:r>
        <w:rPr>
          <w:noProof/>
        </w:rPr>
        <w:drawing>
          <wp:inline distT="0" distB="0" distL="0" distR="0" wp14:anchorId="0D124D08" wp14:editId="6CBA3AFA">
            <wp:extent cx="1853166" cy="2810983"/>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874150" cy="2842813"/>
                    </a:xfrm>
                    <a:prstGeom prst="rect">
                      <a:avLst/>
                    </a:prstGeom>
                  </pic:spPr>
                </pic:pic>
              </a:graphicData>
            </a:graphic>
          </wp:inline>
        </w:drawing>
      </w:r>
    </w:p>
    <w:p w14:paraId="7FA1FA9C" w14:textId="77777777" w:rsidR="004D14AB" w:rsidRDefault="00F34B39" w:rsidP="00F34B39">
      <w:pPr>
        <w:pStyle w:val="Heading4"/>
      </w:pPr>
      <w:r w:rsidRPr="00F34B39">
        <w:lastRenderedPageBreak/>
        <w:t xml:space="preserve">The standard is prep and clash-  </w:t>
      </w:r>
    </w:p>
    <w:p w14:paraId="6BD3EE9F" w14:textId="5AFE2364" w:rsidR="00F34B39" w:rsidRPr="00F34B39" w:rsidRDefault="00F34B39" w:rsidP="00F34B39">
      <w:pPr>
        <w:pStyle w:val="Heading4"/>
      </w:pPr>
      <w:r w:rsidRPr="00F34B39">
        <w:t xml:space="preserve">Two internal links-a) Neg prep: The AC framework controls the direction of a round – even if its whole </w:t>
      </w:r>
      <w:proofErr w:type="spellStart"/>
      <w:r w:rsidRPr="00F34B39">
        <w:t>rez</w:t>
      </w:r>
      <w:proofErr w:type="spellEnd"/>
      <w:r w:rsidRPr="00F34B39">
        <w:t xml:space="preserve">, my prep drastically differs based on a util AC, topical K </w:t>
      </w:r>
      <w:proofErr w:type="spellStart"/>
      <w:r w:rsidRPr="00F34B39">
        <w:t>aff</w:t>
      </w:r>
      <w:proofErr w:type="spellEnd"/>
      <w:r w:rsidRPr="00F34B39">
        <w:t xml:space="preserve">, or a burden/tricks </w:t>
      </w:r>
      <w:proofErr w:type="spellStart"/>
      <w:r w:rsidRPr="00F34B39">
        <w:t>aff</w:t>
      </w:r>
      <w:proofErr w:type="spellEnd"/>
      <w:r w:rsidRPr="00F34B39">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F34B39">
        <w:t>aff</w:t>
      </w:r>
      <w:proofErr w:type="spellEnd"/>
      <w:r w:rsidRPr="00F34B39">
        <w:t xml:space="preserve">, while I coming into the round guessing—o/w since their already structurally ahead, b) </w:t>
      </w:r>
      <w:proofErr w:type="spellStart"/>
      <w:r w:rsidRPr="00F34B39">
        <w:t>Aff</w:t>
      </w:r>
      <w:proofErr w:type="spellEnd"/>
      <w:r w:rsidRPr="00F34B39">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F34B39">
        <w:t>aff</w:t>
      </w:r>
      <w:proofErr w:type="spellEnd"/>
      <w:r w:rsidRPr="00F34B39">
        <w:t xml:space="preserve">, but no incentive to cut a horrible, incoherent </w:t>
      </w:r>
      <w:proofErr w:type="spellStart"/>
      <w:r w:rsidRPr="00F34B39">
        <w:t>aff</w:t>
      </w:r>
      <w:proofErr w:type="spellEnd"/>
      <w:r w:rsidRPr="00F34B39">
        <w:t xml:space="preserve"> that the neg can't check against the broader literature.</w:t>
      </w:r>
    </w:p>
    <w:p w14:paraId="166C2AEC" w14:textId="77777777" w:rsidR="00F34B39" w:rsidRPr="00303C3E" w:rsidRDefault="00F34B39" w:rsidP="00F34B39">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4EB7680A" w14:textId="77777777" w:rsidR="00F34B39" w:rsidRPr="00303C3E" w:rsidRDefault="00F34B39" w:rsidP="00F34B39">
      <w:pPr>
        <w:pStyle w:val="Heading4"/>
      </w:pPr>
      <w:r w:rsidRPr="00303C3E">
        <w:t xml:space="preserve">Edu- funded </w:t>
      </w:r>
      <w:proofErr w:type="spellStart"/>
      <w:r w:rsidRPr="00303C3E">
        <w:t>ny</w:t>
      </w:r>
      <w:proofErr w:type="spellEnd"/>
      <w:r w:rsidRPr="00303C3E">
        <w:t xml:space="preserve"> schools</w:t>
      </w:r>
    </w:p>
    <w:p w14:paraId="6D1F2C56" w14:textId="77777777" w:rsidR="00F34B39" w:rsidRPr="00303C3E" w:rsidRDefault="00F34B39" w:rsidP="00F34B39">
      <w:pPr>
        <w:pStyle w:val="Heading4"/>
      </w:pPr>
      <w:r w:rsidRPr="00303C3E">
        <w:t xml:space="preserve">DTD- </w:t>
      </w:r>
      <w:proofErr w:type="spellStart"/>
      <w:r w:rsidRPr="00303C3E">
        <w:t>dta</w:t>
      </w:r>
      <w:proofErr w:type="spellEnd"/>
      <w:r w:rsidRPr="00303C3E">
        <w:t xml:space="preserve"> illogical, time skew</w:t>
      </w:r>
    </w:p>
    <w:p w14:paraId="5FF4BDE0" w14:textId="77777777" w:rsidR="00F34B39" w:rsidRPr="00303C3E" w:rsidRDefault="00F34B39" w:rsidP="00F34B39">
      <w:pPr>
        <w:pStyle w:val="Heading4"/>
      </w:pPr>
      <w:r w:rsidRPr="00303C3E">
        <w:t>No RVI’s- illogical, baiting</w:t>
      </w:r>
    </w:p>
    <w:p w14:paraId="4B252419" w14:textId="77777777" w:rsidR="00F34B39" w:rsidRPr="00303C3E" w:rsidRDefault="00F34B39" w:rsidP="00F34B39">
      <w:pPr>
        <w:pStyle w:val="Heading4"/>
      </w:pPr>
      <w:r w:rsidRPr="00303C3E">
        <w:t>CI- intervention, race to bottom, collapses, yours vs best</w:t>
      </w:r>
    </w:p>
    <w:p w14:paraId="40C0865E" w14:textId="77777777" w:rsidR="00332215" w:rsidRPr="009217D9" w:rsidRDefault="00332215" w:rsidP="00332215">
      <w:pPr>
        <w:pStyle w:val="Heading2"/>
      </w:pPr>
      <w:proofErr w:type="spellStart"/>
      <w:r>
        <w:lastRenderedPageBreak/>
        <w:t>Frwk</w:t>
      </w:r>
      <w:proofErr w:type="spellEnd"/>
    </w:p>
    <w:p w14:paraId="34EFAD46" w14:textId="77777777" w:rsidR="00332215" w:rsidRDefault="00332215" w:rsidP="00332215">
      <w:pPr>
        <w:pStyle w:val="Heading4"/>
      </w:pPr>
      <w:r>
        <w:t xml:space="preserve">The </w:t>
      </w:r>
      <w:proofErr w:type="spellStart"/>
      <w:r>
        <w:t>aff</w:t>
      </w:r>
      <w:proofErr w:type="spellEnd"/>
      <w:r>
        <w:t xml:space="preserve"> should be topical.</w:t>
      </w:r>
    </w:p>
    <w:p w14:paraId="69D72A33" w14:textId="77777777" w:rsidR="00332215" w:rsidRPr="005566A2" w:rsidRDefault="00332215" w:rsidP="00332215"/>
    <w:p w14:paraId="7E7AC336" w14:textId="77777777" w:rsidR="00332215" w:rsidRDefault="00332215" w:rsidP="00332215">
      <w:pPr>
        <w:pStyle w:val="Heading4"/>
      </w:pPr>
      <w:r>
        <w:t xml:space="preserve">“Resolved:” refers to a </w:t>
      </w:r>
      <w:r>
        <w:rPr>
          <w:u w:val="single"/>
        </w:rPr>
        <w:t>legislative debate</w:t>
      </w:r>
      <w:r>
        <w:t>.</w:t>
      </w:r>
    </w:p>
    <w:p w14:paraId="469FE2E8" w14:textId="77777777" w:rsidR="00332215" w:rsidRPr="00087C88" w:rsidRDefault="00332215" w:rsidP="00332215">
      <w:r w:rsidRPr="00087C88">
        <w:rPr>
          <w:rStyle w:val="Style13ptBold"/>
        </w:rPr>
        <w:t>Louisiana State Legislature</w:t>
      </w:r>
      <w:r>
        <w:rPr>
          <w:rStyle w:val="Style13ptBold"/>
        </w:rPr>
        <w:t xml:space="preserve"> 16</w:t>
      </w:r>
      <w:r w:rsidRPr="00EA190E">
        <w:t>, “Glossary of Legislative Terms,” http://www.legis.state.la.us/glossary2.htm</w:t>
      </w:r>
    </w:p>
    <w:p w14:paraId="7ED0B485" w14:textId="53D864E2" w:rsidR="00332215" w:rsidRDefault="00332215" w:rsidP="00332215">
      <w:pPr>
        <w:rPr>
          <w:sz w:val="12"/>
        </w:rPr>
      </w:pPr>
      <w:r w:rsidRPr="009217D9">
        <w:rPr>
          <w:rStyle w:val="StyleUnderline"/>
          <w:highlight w:val="cyan"/>
        </w:rPr>
        <w:t>Resolution</w:t>
      </w:r>
      <w:r w:rsidRPr="00E92D55">
        <w:rPr>
          <w:rStyle w:val="StyleUnderline"/>
        </w:rPr>
        <w:t xml:space="preserve">: A </w:t>
      </w:r>
      <w:r w:rsidRPr="009217D9">
        <w:rPr>
          <w:rStyle w:val="StyleUnderline"/>
          <w:highlight w:val="cyan"/>
        </w:rPr>
        <w:t>legislative instrument</w:t>
      </w:r>
      <w:r w:rsidRPr="00E92D55">
        <w:rPr>
          <w:rStyle w:val="StyleUnderline"/>
        </w:rPr>
        <w:t xml:space="preserve"> that generally is </w:t>
      </w:r>
      <w:r w:rsidRPr="009217D9">
        <w:rPr>
          <w:rStyle w:val="StyleUnderline"/>
          <w:highlight w:val="cyan"/>
        </w:rPr>
        <w:t>used for</w:t>
      </w:r>
      <w:r w:rsidRPr="00E92D55">
        <w:rPr>
          <w:rStyle w:val="StyleUnderline"/>
        </w:rPr>
        <w:t xml:space="preserve"> making declarations, </w:t>
      </w:r>
      <w:r w:rsidRPr="009217D9">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9217D9">
        <w:rPr>
          <w:rStyle w:val="Emphasis"/>
          <w:highlight w:val="cyan"/>
        </w:rPr>
        <w:t>a resolution uses the term "resolved"</w:t>
      </w:r>
      <w:r w:rsidRPr="009217D9">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2FA30247" w14:textId="1B9B1EE9" w:rsidR="00332215" w:rsidRDefault="00332215" w:rsidP="00332215">
      <w:pPr>
        <w:rPr>
          <w:sz w:val="12"/>
        </w:rPr>
      </w:pPr>
    </w:p>
    <w:p w14:paraId="6F2155CD" w14:textId="28FCCE14" w:rsidR="00CB688D" w:rsidRPr="00CB688D" w:rsidRDefault="00CB688D" w:rsidP="00CB688D">
      <w:pPr>
        <w:pStyle w:val="Heading4"/>
      </w:pPr>
      <w:r w:rsidRPr="00CB688D">
        <w:t>Private company is defined as</w:t>
      </w:r>
    </w:p>
    <w:p w14:paraId="6EFF13AD" w14:textId="694AA178" w:rsidR="00CB688D" w:rsidRPr="00CB688D" w:rsidRDefault="00CB688D" w:rsidP="00CB688D">
      <w:r w:rsidRPr="00CB688D">
        <w:t>Chen, 21, Learn about Private Companies, https://www.investopedia.com/terms/p/privatecompany.asp, Investopedia,</w:t>
      </w:r>
    </w:p>
    <w:p w14:paraId="786818BF" w14:textId="24DE4AE7" w:rsidR="00CB688D" w:rsidRDefault="00CB688D" w:rsidP="00CB688D">
      <w:pPr>
        <w:rPr>
          <w:sz w:val="14"/>
        </w:rPr>
      </w:pPr>
      <w:r w:rsidRPr="00CB688D">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10"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11" w:history="1">
        <w:r w:rsidRPr="00CB688D">
          <w:rPr>
            <w:rStyle w:val="Hyperlink"/>
            <w:sz w:val="14"/>
          </w:rPr>
          <w:t>public companies</w:t>
        </w:r>
      </w:hyperlink>
      <w:r w:rsidRPr="00CB688D">
        <w:rPr>
          <w:sz w:val="14"/>
        </w:rPr>
        <w:t>. In general, the shares of these businesses are less liquid, and their </w:t>
      </w:r>
      <w:hyperlink r:id="rId12" w:history="1">
        <w:r w:rsidRPr="00CB688D">
          <w:rPr>
            <w:rStyle w:val="Hyperlink"/>
            <w:sz w:val="14"/>
          </w:rPr>
          <w:t>valuations</w:t>
        </w:r>
      </w:hyperlink>
      <w:r w:rsidRPr="00CB688D">
        <w:rPr>
          <w:sz w:val="14"/>
        </w:rPr>
        <w:t> are more difficult to determine.</w:t>
      </w:r>
    </w:p>
    <w:p w14:paraId="7EEC3B42" w14:textId="47AA4DC9" w:rsidR="006457E6" w:rsidRDefault="006457E6" w:rsidP="00CB688D">
      <w:pPr>
        <w:rPr>
          <w:sz w:val="14"/>
        </w:rPr>
      </w:pPr>
    </w:p>
    <w:p w14:paraId="6B76E6C4" w14:textId="2AB7E9CC" w:rsidR="006457E6" w:rsidRPr="00CB688D" w:rsidRDefault="006457E6" w:rsidP="006457E6">
      <w:pPr>
        <w:pStyle w:val="Heading4"/>
      </w:pPr>
      <w:r>
        <w:t>Meriam webster defines outer space</w:t>
      </w:r>
    </w:p>
    <w:p w14:paraId="28FD7E34" w14:textId="41C15C9F" w:rsidR="00332215" w:rsidRDefault="006457E6" w:rsidP="00332215">
      <w:pPr>
        <w:rPr>
          <w:sz w:val="12"/>
        </w:rPr>
      </w:pPr>
      <w:r>
        <w:rPr>
          <w:sz w:val="12"/>
        </w:rPr>
        <w:fldChar w:fldCharType="begin"/>
      </w:r>
      <w:r>
        <w:rPr>
          <w:sz w:val="12"/>
        </w:rPr>
        <w:instrText xml:space="preserve"> HYPERLINK "</w:instrText>
      </w:r>
      <w:r w:rsidRPr="006457E6">
        <w:rPr>
          <w:sz w:val="12"/>
        </w:rPr>
        <w:instrText>https://www.merriam-webster.com/dictionary/outer%20space</w:instrText>
      </w:r>
      <w:r>
        <w:rPr>
          <w:sz w:val="12"/>
        </w:rPr>
        <w:instrText xml:space="preserve">" </w:instrText>
      </w:r>
      <w:r>
        <w:rPr>
          <w:sz w:val="12"/>
        </w:rPr>
        <w:fldChar w:fldCharType="separate"/>
      </w:r>
      <w:r w:rsidRPr="009865F4">
        <w:rPr>
          <w:rStyle w:val="Hyperlink"/>
          <w:sz w:val="12"/>
        </w:rPr>
        <w:t>https://www.merriam-webster.com/dictionary/outer%20space</w:t>
      </w:r>
      <w:r>
        <w:rPr>
          <w:sz w:val="12"/>
        </w:rPr>
        <w:fldChar w:fldCharType="end"/>
      </w:r>
    </w:p>
    <w:p w14:paraId="54498E20" w14:textId="77777777" w:rsidR="006457E6" w:rsidRPr="006457E6" w:rsidRDefault="006457E6" w:rsidP="006457E6">
      <w:pPr>
        <w:spacing w:after="0" w:line="240" w:lineRule="auto"/>
      </w:pPr>
      <w:r w:rsidRPr="006457E6">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proofErr w:type="spellStart"/>
      <w:r w:rsidRPr="006457E6">
        <w:t>atmospherebroadly</w:t>
      </w:r>
      <w:proofErr w:type="spellEnd"/>
      <w:r w:rsidRPr="006457E6">
        <w:t> : interplanetary or interstellar space</w:t>
      </w:r>
    </w:p>
    <w:p w14:paraId="4679CDC5" w14:textId="77777777" w:rsidR="006457E6" w:rsidRPr="00C55F5A" w:rsidRDefault="006457E6" w:rsidP="00332215">
      <w:pPr>
        <w:rPr>
          <w:sz w:val="12"/>
        </w:rPr>
      </w:pPr>
    </w:p>
    <w:p w14:paraId="14007795" w14:textId="77777777" w:rsidR="00332215" w:rsidRPr="00486D5F" w:rsidRDefault="00332215" w:rsidP="00332215">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70F8412E" w14:textId="77777777" w:rsidR="00332215" w:rsidRPr="00486D5F" w:rsidRDefault="00332215" w:rsidP="00332215">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7EE9686F" w14:textId="77777777" w:rsidR="00332215" w:rsidRPr="00486D5F" w:rsidRDefault="00332215" w:rsidP="00332215">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5B586BB9" w14:textId="77777777" w:rsidR="00332215" w:rsidRPr="00486D5F" w:rsidRDefault="00332215" w:rsidP="00332215">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6A298CB8" w14:textId="6D91A691" w:rsidR="00332215" w:rsidRPr="00486D5F" w:rsidRDefault="00670C6B" w:rsidP="00332215">
      <w:pPr>
        <w:pStyle w:val="Heading4"/>
        <w:rPr>
          <w:lang w:eastAsia="ko-KR"/>
        </w:rPr>
      </w:pPr>
      <w:r>
        <w:t>[4</w:t>
      </w:r>
      <w:r>
        <w:t xml:space="preserve">] </w:t>
      </w:r>
      <w:r w:rsidRPr="00A0206A">
        <w:rPr>
          <w:lang w:eastAsia="ko-KR"/>
        </w:rPr>
        <w:t xml:space="preserve">TVA </w:t>
      </w:r>
      <w:r>
        <w:rPr>
          <w:lang w:eastAsia="ko-KR"/>
        </w:rPr>
        <w:t xml:space="preserve">– read the </w:t>
      </w:r>
      <w:proofErr w:type="spellStart"/>
      <w:r>
        <w:rPr>
          <w:lang w:eastAsia="ko-KR"/>
        </w:rPr>
        <w:t>aff</w:t>
      </w:r>
      <w:proofErr w:type="spellEnd"/>
      <w:r>
        <w:rPr>
          <w:lang w:eastAsia="ko-KR"/>
        </w:rPr>
        <w:t xml:space="preserve"> as an indite on how </w:t>
      </w:r>
      <w:r>
        <w:rPr>
          <w:lang w:eastAsia="ko-KR"/>
        </w:rPr>
        <w:t>space and the exploration of it</w:t>
      </w:r>
      <w:r>
        <w:rPr>
          <w:lang w:eastAsia="ko-KR"/>
        </w:rPr>
        <w:t xml:space="preserve"> position themselves onto the disabled body</w:t>
      </w:r>
    </w:p>
    <w:p w14:paraId="570859FD" w14:textId="77777777" w:rsidR="00332215" w:rsidRDefault="00332215" w:rsidP="00332215">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7671355E" w14:textId="15F02828" w:rsidR="00332215" w:rsidRDefault="00332215" w:rsidP="00332215">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39415369" w14:textId="77777777" w:rsidR="00EF7C1C" w:rsidRPr="00EF7C1C" w:rsidRDefault="00EF7C1C" w:rsidP="00EF7C1C"/>
    <w:p w14:paraId="3C8F5A84" w14:textId="77777777" w:rsidR="00BD26FA" w:rsidRDefault="00BD26FA" w:rsidP="00BD26FA">
      <w:pPr>
        <w:pStyle w:val="Heading1"/>
      </w:pPr>
      <w:r>
        <w:lastRenderedPageBreak/>
        <w:t>Case</w:t>
      </w:r>
    </w:p>
    <w:p w14:paraId="0A355F22" w14:textId="77777777" w:rsidR="00BD26FA" w:rsidRPr="00BD26FA" w:rsidRDefault="00BD26FA" w:rsidP="00BD26FA"/>
    <w:p w14:paraId="50DC4AEE" w14:textId="77777777" w:rsidR="007034DF" w:rsidRDefault="007034DF" w:rsidP="007034DF">
      <w:pPr>
        <w:pStyle w:val="Heading3"/>
      </w:pPr>
      <w:r>
        <w:lastRenderedPageBreak/>
        <w:t>Case Overview</w:t>
      </w:r>
    </w:p>
    <w:p w14:paraId="2E33707E" w14:textId="77777777" w:rsidR="007034DF" w:rsidRDefault="007034DF" w:rsidP="007034DF">
      <w:pPr>
        <w:pStyle w:val="Heading4"/>
      </w:pPr>
      <w:r>
        <w:t>Negate on presumption:</w:t>
      </w:r>
    </w:p>
    <w:p w14:paraId="066F580F" w14:textId="77777777" w:rsidR="007034DF" w:rsidRDefault="007034DF" w:rsidP="007034DF">
      <w:pPr>
        <w:pStyle w:val="Heading4"/>
      </w:pPr>
      <w:r>
        <w:t xml:space="preserve">(1)  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ableist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r>
        <w:rPr>
          <w:u w:val="single"/>
        </w:rPr>
        <w:t>feel good solution</w:t>
      </w:r>
      <w:r>
        <w:t xml:space="preserve"> that places disability in a not yet but maybe to come social order where disabled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r>
        <w:t>ableist</w:t>
      </w:r>
      <w:r w:rsidRPr="00326220">
        <w:t xml:space="preserve"> world that </w:t>
      </w:r>
      <w:r w:rsidRPr="00326220">
        <w:rPr>
          <w:u w:val="single"/>
        </w:rPr>
        <w:t>consumes</w:t>
      </w:r>
      <w:r w:rsidRPr="00326220">
        <w:t xml:space="preserve"> their project as </w:t>
      </w:r>
      <w:r w:rsidRPr="00326220">
        <w:rPr>
          <w:u w:val="single"/>
        </w:rPr>
        <w:t>false energy</w:t>
      </w:r>
      <w:r>
        <w:t>.</w:t>
      </w:r>
    </w:p>
    <w:p w14:paraId="7891F975" w14:textId="77777777" w:rsidR="007034DF" w:rsidRPr="008C24FF" w:rsidRDefault="007034DF" w:rsidP="007034DF">
      <w:pPr>
        <w:pStyle w:val="Heading4"/>
      </w:pPr>
      <w:r>
        <w:t xml:space="preserve">(2)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131BFEAF" w14:textId="77777777" w:rsidR="007034DF" w:rsidRPr="00684FDF" w:rsidRDefault="007034DF" w:rsidP="007034DF">
      <w:pPr>
        <w:pStyle w:val="Heading4"/>
      </w:pPr>
      <w:r>
        <w:t xml:space="preserve">1] Reform may not be perfect, but they improve the material conditions of disabled life – 1AR spin that ableist violence is evolving is a neg argument since disabled relation to the world has changed. THIS is </w:t>
      </w:r>
      <w:r>
        <w:rPr>
          <w:u w:val="single"/>
        </w:rPr>
        <w:t>OFFENSE</w:t>
      </w:r>
      <w:r>
        <w:t xml:space="preserve"> against the </w:t>
      </w:r>
      <w:proofErr w:type="spellStart"/>
      <w:r>
        <w:t>Aff</w:t>
      </w:r>
      <w:proofErr w:type="spellEnd"/>
      <w:r>
        <w:t xml:space="preserve"> would say no to the ADA which has decreased workplace violence, allowed voting rights and increases employment for disabled folk.</w:t>
      </w:r>
    </w:p>
    <w:p w14:paraId="340638BF" w14:textId="77777777" w:rsidR="007034DF" w:rsidRDefault="007034DF" w:rsidP="007034DF">
      <w:pPr>
        <w:pStyle w:val="Heading4"/>
        <w:rPr>
          <w:rStyle w:val="Style13ptBold"/>
          <w:rFonts w:asciiTheme="majorHAnsi" w:hAnsiTheme="majorHAnsi"/>
          <w:b/>
        </w:rPr>
      </w:pPr>
      <w:r>
        <w:t xml:space="preserve">2] The disability drive is NOT logical, think of </w:t>
      </w:r>
      <w:proofErr w:type="spellStart"/>
      <w:r>
        <w:t>it’s</w:t>
      </w:r>
      <w:proofErr w:type="spell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6DBBC190" w14:textId="77777777" w:rsidR="007034DF" w:rsidRDefault="007034DF" w:rsidP="007034DF">
      <w:pPr>
        <w:pStyle w:val="Heading4"/>
      </w:pPr>
      <w:r>
        <w:t>3] Disability can’t be ontological, and progress is possible</w:t>
      </w:r>
    </w:p>
    <w:p w14:paraId="56FDAAC5" w14:textId="77777777" w:rsidR="007034DF" w:rsidRDefault="007034DF" w:rsidP="007034DF">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5C8D3256" w14:textId="77777777" w:rsidR="007034DF" w:rsidRDefault="007034DF" w:rsidP="007034DF">
      <w:pPr>
        <w:pStyle w:val="Heading4"/>
      </w:pPr>
      <w:r>
        <w:t xml:space="preserve">B] Disability not ontological – only reform can resolve societal prejudices against disabled people. </w:t>
      </w:r>
    </w:p>
    <w:p w14:paraId="2FD1073A" w14:textId="77777777" w:rsidR="007034DF" w:rsidRDefault="007034DF" w:rsidP="007034DF">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010F0AD3" w14:textId="77777777" w:rsidR="007034DF" w:rsidRPr="00CB3E9D" w:rsidRDefault="007034DF" w:rsidP="007034DF">
      <w:r w:rsidRPr="00CB3E9D">
        <w:lastRenderedPageBreak/>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In an effort to accomplish this task and make his discussion more concrete, he constructs a “composite case study:” “Sarah.” </w:t>
      </w:r>
      <w:r w:rsidRPr="002239EB">
        <w:rPr>
          <w:rStyle w:val="StyleUnderline"/>
          <w:highlight w:val="gree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2239EB">
        <w:rPr>
          <w:rStyle w:val="StyleUnderline"/>
          <w:highlight w:val="green"/>
        </w:rPr>
        <w:t>regardless of one’s abilities or disabilities, all children are “newcomers</w:t>
      </w:r>
      <w:r w:rsidRPr="0057551E">
        <w:rPr>
          <w:rStyle w:val="StyleUnderline"/>
        </w:rPr>
        <w:t xml:space="preserve"> to the world, </w:t>
      </w:r>
      <w:r w:rsidRPr="002239EB">
        <w:rPr>
          <w:rStyle w:val="StyleUnderline"/>
          <w:highlight w:val="gree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2239EB">
        <w:rPr>
          <w:rStyle w:val="StyleUnderline"/>
          <w:highlight w:val="gree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2239EB">
        <w:rPr>
          <w:rStyle w:val="StyleUnderline"/>
          <w:highlight w:val="green"/>
        </w:rPr>
        <w:t>endowed with task</w:t>
      </w:r>
      <w:r w:rsidRPr="0057551E">
        <w:rPr>
          <w:rStyle w:val="StyleUnderline"/>
        </w:rPr>
        <w:t xml:space="preserve"> and purpose in the world; </w:t>
      </w:r>
      <w:r w:rsidRPr="002239EB">
        <w:rPr>
          <w:rStyle w:val="StyleUnderline"/>
          <w:highlight w:val="green"/>
        </w:rPr>
        <w:t>her relationships</w:t>
      </w:r>
      <w:r w:rsidRPr="0057551E">
        <w:rPr>
          <w:rStyle w:val="StyleUnderline"/>
        </w:rPr>
        <w:t xml:space="preserve"> to the world </w:t>
      </w:r>
      <w:r w:rsidRPr="002239EB">
        <w:rPr>
          <w:rStyle w:val="StyleUnderline"/>
          <w:highlight w:val="green"/>
        </w:rPr>
        <w:t>are open rather than closed</w:t>
      </w:r>
      <w:r w:rsidRPr="0057551E">
        <w:rPr>
          <w:rStyle w:val="StyleUnderline"/>
        </w:rPr>
        <w:t xml:space="preserve"> and, like a “newborn” — open to new unforeseen possibilities. The </w:t>
      </w:r>
      <w:r w:rsidRPr="002239EB">
        <w:rPr>
          <w:rStyle w:val="StyleUnderline"/>
          <w:highlight w:val="green"/>
        </w:rPr>
        <w:t>foreclosures to possible actions for Sarah</w:t>
      </w:r>
      <w:r w:rsidRPr="0057551E">
        <w:rPr>
          <w:rStyle w:val="StyleUnderline"/>
        </w:rPr>
        <w:t xml:space="preserve">, then, </w:t>
      </w:r>
      <w:r w:rsidRPr="002239EB">
        <w:rPr>
          <w:rStyle w:val="StyleUnderline"/>
          <w:highlight w:val="green"/>
        </w:rPr>
        <w:t>are not ontological</w:t>
      </w:r>
      <w:r w:rsidRPr="0057551E">
        <w:rPr>
          <w:rStyle w:val="StyleUnderline"/>
        </w:rPr>
        <w:t xml:space="preserve"> in nature; </w:t>
      </w:r>
      <w:r w:rsidRPr="002239EB">
        <w:rPr>
          <w:rStyle w:val="StyleUnderline"/>
          <w:highlight w:val="green"/>
        </w:rPr>
        <w:t>rather</w:t>
      </w:r>
      <w:r w:rsidRPr="0057551E">
        <w:rPr>
          <w:rStyle w:val="StyleUnderline"/>
        </w:rPr>
        <w:t xml:space="preserve">, they are the </w:t>
      </w:r>
      <w:r w:rsidRPr="002239EB">
        <w:rPr>
          <w:rStyle w:val="StyleUnderline"/>
          <w:highlight w:val="green"/>
        </w:rPr>
        <w:t>result of societal prejudices</w:t>
      </w:r>
      <w:r w:rsidRPr="0057551E">
        <w:rPr>
          <w:rStyle w:val="StyleUnderline"/>
        </w:rPr>
        <w:t xml:space="preserve"> and misunderstandings that close off Sarah’s possibilities, limiting her potential, curtailing who she is. While Surbaugh rightly advocates for Sarah — advocates that caregivers realize her humanity and respond accordingly — </w:t>
      </w:r>
      <w:r w:rsidRPr="002239EB">
        <w:rPr>
          <w:rStyle w:val="StyleUnderline"/>
          <w:highlight w:val="green"/>
        </w:rPr>
        <w:t xml:space="preserve">if we are to grasp </w:t>
      </w:r>
      <w:r w:rsidRPr="002239EB">
        <w:rPr>
          <w:rStyle w:val="StyleUnderline"/>
        </w:rPr>
        <w:t xml:space="preserve">the </w:t>
      </w:r>
      <w:r w:rsidRPr="002239EB">
        <w:rPr>
          <w:rStyle w:val="StyleUnderline"/>
          <w:highlight w:val="green"/>
        </w:rPr>
        <w:t>societal</w:t>
      </w:r>
      <w:r w:rsidRPr="002239EB">
        <w:rPr>
          <w:rStyle w:val="StyleUnderline"/>
        </w:rPr>
        <w:t xml:space="preserve"> </w:t>
      </w:r>
      <w:r w:rsidRPr="002239EB">
        <w:rPr>
          <w:rStyle w:val="StyleUnderline"/>
          <w:highlight w:val="green"/>
        </w:rPr>
        <w:t>prejudices that foreclose Sarah’s possible actions then,</w:t>
      </w:r>
      <w:r w:rsidRPr="002239EB">
        <w:rPr>
          <w:rStyle w:val="StyleUnderline"/>
        </w:rPr>
        <w:t xml:space="preserve"> the </w:t>
      </w:r>
      <w:r w:rsidRPr="002239EB">
        <w:rPr>
          <w:rStyle w:val="StyleUnderline"/>
          <w:highlight w:val="green"/>
        </w:rPr>
        <w:t>educative</w:t>
      </w:r>
      <w:r w:rsidRPr="0057551E">
        <w:rPr>
          <w:rStyle w:val="StyleUnderline"/>
        </w:rPr>
        <w:t xml:space="preserve"> </w:t>
      </w:r>
      <w:r w:rsidRPr="002239EB">
        <w:rPr>
          <w:rStyle w:val="StyleUnderline"/>
          <w:highlight w:val="green"/>
        </w:rPr>
        <w:t>experience of the caregiver needs to be</w:t>
      </w:r>
      <w:r w:rsidRPr="0057551E">
        <w:rPr>
          <w:rStyle w:val="StyleUnderline"/>
        </w:rPr>
        <w:t xml:space="preserve"> included and </w:t>
      </w:r>
      <w:r w:rsidRPr="002239EB">
        <w:rPr>
          <w:rStyle w:val="StyleUnderline"/>
          <w:highlight w:val="gree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391EF075" w14:textId="77777777" w:rsidR="007034DF" w:rsidRDefault="007034DF" w:rsidP="007034DF">
      <w:pPr>
        <w:pStyle w:val="Heading4"/>
      </w:pPr>
      <w:r>
        <w:t xml:space="preserve">C] Disability isn’t ontological – social context determines disability discrimination. </w:t>
      </w:r>
    </w:p>
    <w:p w14:paraId="72FB8DFF" w14:textId="77777777" w:rsidR="007034DF" w:rsidRDefault="007034DF" w:rsidP="007034DF">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w:t>
      </w:r>
      <w:r w:rsidRPr="00744727">
        <w:lastRenderedPageBreak/>
        <w:t>odel_of_Disability_Dichotomy_between_Impairment_and_Disability/links/02e7e521b55fa0504d000000.pdf</w:t>
      </w:r>
      <w:r>
        <w:t>)-JJN</w:t>
      </w:r>
    </w:p>
    <w:p w14:paraId="37835E9B" w14:textId="77777777" w:rsidR="007034DF" w:rsidRPr="004E5399" w:rsidRDefault="007034DF" w:rsidP="007034DF">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 w:val="26"/>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4E5399">
        <w:rPr>
          <w:rStyle w:val="StyleUnderline"/>
          <w:sz w:val="26"/>
          <w:szCs w:val="26"/>
          <w:highlight w:val="gree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4E5399">
        <w:rPr>
          <w:rStyle w:val="StyleUnderline"/>
          <w:sz w:val="26"/>
          <w:szCs w:val="26"/>
          <w:highlight w:val="green"/>
        </w:rPr>
        <w:t>Disabilities should be viewed as embedded in their social context</w:t>
      </w:r>
      <w:r w:rsidRPr="004E5399">
        <w:rPr>
          <w:rStyle w:val="StyleUnderline"/>
          <w:sz w:val="26"/>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4E5399">
        <w:rPr>
          <w:rStyle w:val="StyleUnderline"/>
          <w:sz w:val="26"/>
          <w:szCs w:val="26"/>
          <w:highlight w:val="gree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4E5399">
        <w:rPr>
          <w:rStyle w:val="StyleUnderline"/>
          <w:sz w:val="26"/>
          <w:szCs w:val="26"/>
          <w:highlight w:val="green"/>
        </w:rPr>
        <w:t>the border between disability and normality</w:t>
      </w:r>
      <w:r w:rsidRPr="004E5399">
        <w:rPr>
          <w:rStyle w:val="StyleUnderline"/>
          <w:sz w:val="26"/>
          <w:szCs w:val="26"/>
        </w:rPr>
        <w:t xml:space="preserve"> are difficult because of the statistical phenomena involved. In many cases, the border </w:t>
      </w:r>
      <w:r w:rsidRPr="004E5399">
        <w:rPr>
          <w:rStyle w:val="StyleUnderline"/>
          <w:sz w:val="26"/>
          <w:szCs w:val="26"/>
          <w:highlight w:val="green"/>
        </w:rPr>
        <w:t>is</w:t>
      </w:r>
      <w:r w:rsidRPr="004E5399">
        <w:rPr>
          <w:rStyle w:val="StyleUnderline"/>
          <w:sz w:val="26"/>
          <w:szCs w:val="26"/>
        </w:rPr>
        <w:t xml:space="preserve"> both </w:t>
      </w:r>
      <w:r w:rsidRPr="004E5399">
        <w:rPr>
          <w:rStyle w:val="StyleUnderline"/>
          <w:sz w:val="26"/>
          <w:szCs w:val="26"/>
          <w:highlight w:val="green"/>
        </w:rPr>
        <w:t xml:space="preserve">vague and </w:t>
      </w:r>
      <w:r w:rsidRPr="004E5399">
        <w:rPr>
          <w:rStyle w:val="StyleUnderline"/>
          <w:sz w:val="26"/>
          <w:szCs w:val="26"/>
        </w:rPr>
        <w:t xml:space="preserve">rather </w:t>
      </w:r>
      <w:r w:rsidRPr="004E5399">
        <w:rPr>
          <w:rStyle w:val="StyleUnderline"/>
          <w:sz w:val="26"/>
          <w:szCs w:val="26"/>
          <w:highlight w:val="gree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4E5399">
        <w:rPr>
          <w:rStyle w:val="StyleUnderline"/>
          <w:sz w:val="26"/>
          <w:szCs w:val="26"/>
          <w:highlight w:val="green"/>
        </w:rPr>
        <w:t>identification of a disability depends on judgme</w:t>
      </w:r>
      <w:r w:rsidRPr="004E5399">
        <w:rPr>
          <w:rStyle w:val="StyleUnderline"/>
          <w:sz w:val="26"/>
          <w:szCs w:val="26"/>
        </w:rPr>
        <w:t xml:space="preserve">nt, and judgment means that one arrives at a </w:t>
      </w:r>
      <w:proofErr w:type="spellStart"/>
      <w:r w:rsidRPr="004E5399">
        <w:rPr>
          <w:rStyle w:val="StyleUnderline"/>
          <w:sz w:val="26"/>
          <w:szCs w:val="26"/>
        </w:rPr>
        <w:t>cutpoint</w:t>
      </w:r>
      <w:proofErr w:type="spellEnd"/>
      <w:r w:rsidRPr="004E5399">
        <w:rPr>
          <w:rStyle w:val="StyleUnderline"/>
          <w:sz w:val="26"/>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xml:space="preserve">,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w:t>
      </w:r>
      <w:r w:rsidRPr="004E5399">
        <w:rPr>
          <w:sz w:val="12"/>
          <w:szCs w:val="26"/>
        </w:rPr>
        <w:lastRenderedPageBreak/>
        <w:t>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 w:val="26"/>
          <w:szCs w:val="26"/>
        </w:rPr>
        <w:t xml:space="preserve">Fourth, </w:t>
      </w:r>
      <w:r w:rsidRPr="004E5399">
        <w:rPr>
          <w:rStyle w:val="StyleUnderline"/>
          <w:sz w:val="26"/>
          <w:szCs w:val="26"/>
          <w:highlight w:val="gree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as mutually exclusive but as </w:t>
      </w:r>
      <w:proofErr w:type="spellStart"/>
      <w:r w:rsidRPr="004E5399">
        <w:rPr>
          <w:rStyle w:val="StyleUnderline"/>
          <w:sz w:val="26"/>
          <w:szCs w:val="26"/>
        </w:rPr>
        <w:t>codeterminants</w:t>
      </w:r>
      <w:proofErr w:type="spellEnd"/>
      <w:r w:rsidRPr="004E5399">
        <w:rPr>
          <w:rStyle w:val="StyleUnderline"/>
          <w:sz w:val="26"/>
          <w:szCs w:val="26"/>
        </w:rPr>
        <w:t xml:space="preserve"> of development of people who have disabilities </w:t>
      </w:r>
      <w:r w:rsidRPr="004E5399">
        <w:rPr>
          <w:sz w:val="12"/>
          <w:szCs w:val="26"/>
        </w:rPr>
        <w:t>(Williams, 1999).</w:t>
      </w:r>
    </w:p>
    <w:p w14:paraId="45D13A99" w14:textId="77777777" w:rsidR="007034DF" w:rsidRDefault="007034DF" w:rsidP="007034DF">
      <w:pPr>
        <w:pStyle w:val="Heading4"/>
      </w:pPr>
      <w:r>
        <w:t xml:space="preserve">4] Reject psychoanalysis – </w:t>
      </w:r>
    </w:p>
    <w:p w14:paraId="06C1D4B4" w14:textId="77777777" w:rsidR="007034DF" w:rsidRPr="00162252" w:rsidRDefault="007034DF" w:rsidP="007034DF">
      <w:pPr>
        <w:pStyle w:val="Heading4"/>
      </w:pPr>
      <w:r>
        <w:t xml:space="preserve">A] </w:t>
      </w:r>
      <w:r w:rsidRPr="00162252">
        <w:t>Psychoanalysis is not empirical and has no explanatory power --- prefer social science because it can explain events based on causal relationships</w:t>
      </w:r>
    </w:p>
    <w:p w14:paraId="5509BE0E" w14:textId="77777777" w:rsidR="007034DF" w:rsidRPr="00CD3194" w:rsidRDefault="007034DF" w:rsidP="007034DF">
      <w:r w:rsidRPr="00CD3194">
        <w:t xml:space="preserve">Slava </w:t>
      </w:r>
      <w:proofErr w:type="spellStart"/>
      <w:r w:rsidRPr="003C0846">
        <w:rPr>
          <w:rStyle w:val="Style13ptBold"/>
        </w:rPr>
        <w:t>Sadovnikov</w:t>
      </w:r>
      <w:proofErr w:type="spellEnd"/>
      <w:r w:rsidRPr="003C0846">
        <w:rPr>
          <w:rStyle w:val="Style13ptBold"/>
        </w:rPr>
        <w:t xml:space="preserve"> 7</w:t>
      </w:r>
      <w:r w:rsidRPr="00CD3194">
        <w:t>, York University, "Escape from Reason: Labels as Arguments and Theories", Dialogue XLVI (2007), 781-796, philpapers.org/archive/SADEFR.pdf</w:t>
      </w:r>
    </w:p>
    <w:p w14:paraId="71CCEF8E" w14:textId="77777777" w:rsidR="007034DF" w:rsidRDefault="007034DF" w:rsidP="007034DF">
      <w:pPr>
        <w:rPr>
          <w:rStyle w:val="StyleUnderline"/>
          <w:sz w:val="26"/>
          <w:szCs w:val="26"/>
        </w:rPr>
      </w:pPr>
      <w:r w:rsidRPr="004E5399">
        <w:rPr>
          <w:rStyle w:val="StyleUnderline"/>
          <w:sz w:val="26"/>
          <w:szCs w:val="26"/>
        </w:rPr>
        <w:t>The way McLaughlin shows</w:t>
      </w:r>
      <w:r w:rsidRPr="004E5399">
        <w:rPr>
          <w:sz w:val="12"/>
          <w:szCs w:val="26"/>
        </w:rPr>
        <w:t xml:space="preserve"> the </w:t>
      </w:r>
      <w:r w:rsidRPr="004E5399">
        <w:rPr>
          <w:rStyle w:val="StyleUnderline"/>
          <w:sz w:val="26"/>
          <w:szCs w:val="26"/>
        </w:rPr>
        <w:t>rosy prospects of psychoanalytical</w:t>
      </w:r>
      <w:r w:rsidRPr="004E5399">
        <w:rPr>
          <w:sz w:val="12"/>
          <w:szCs w:val="26"/>
        </w:rPr>
        <w:t xml:space="preserve"> social </w:t>
      </w:r>
      <w:r w:rsidRPr="004E5399">
        <w:rPr>
          <w:rStyle w:val="StyleUnderline"/>
          <w:sz w:val="26"/>
          <w:szCs w:val="26"/>
        </w:rPr>
        <w:t>theory boils down to</w:t>
      </w:r>
      <w:r w:rsidRPr="004E5399">
        <w:rPr>
          <w:sz w:val="12"/>
          <w:szCs w:val="26"/>
        </w:rPr>
        <w:t xml:space="preserve"> this: there are </w:t>
      </w:r>
      <w:r w:rsidRPr="004E5399">
        <w:rPr>
          <w:rStyle w:val="StyleUnderline"/>
          <w:sz w:val="26"/>
          <w:szCs w:val="26"/>
        </w:rPr>
        <w:t xml:space="preserve">people who </w:t>
      </w:r>
      <w:proofErr w:type="spellStart"/>
      <w:r w:rsidRPr="004E5399">
        <w:rPr>
          <w:rStyle w:val="StyleUnderline"/>
          <w:sz w:val="26"/>
          <w:szCs w:val="26"/>
        </w:rPr>
        <w:t>labour</w:t>
      </w:r>
      <w:proofErr w:type="spellEnd"/>
      <w:r w:rsidRPr="004E5399">
        <w:rPr>
          <w:rStyle w:val="StyleUnderline"/>
          <w:sz w:val="26"/>
          <w:szCs w:val="26"/>
        </w:rPr>
        <w:t xml:space="preserve"> at it.</w:t>
      </w:r>
      <w:r w:rsidRPr="004E5399">
        <w:rPr>
          <w:sz w:val="12"/>
          <w:szCs w:val="26"/>
        </w:rPr>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4E5399">
        <w:rPr>
          <w:rStyle w:val="StyleUnderline"/>
          <w:sz w:val="26"/>
          <w:szCs w:val="26"/>
        </w:rPr>
        <w:t>He correctly expects that I might not view his examples as scientiﬁc. Their problems begin well before</w:t>
      </w:r>
      <w:r w:rsidRPr="004E5399">
        <w:rPr>
          <w:sz w:val="12"/>
          <w:szCs w:val="26"/>
        </w:rPr>
        <w:t xml:space="preserve"> that. First, </w:t>
      </w:r>
      <w:r w:rsidRPr="004E5399">
        <w:rPr>
          <w:rStyle w:val="StyleUnderline"/>
          <w:sz w:val="26"/>
          <w:szCs w:val="26"/>
          <w:highlight w:val="green"/>
        </w:rPr>
        <w:t xml:space="preserve">due to </w:t>
      </w:r>
      <w:r w:rsidRPr="004E5399">
        <w:rPr>
          <w:rStyle w:val="StyleUnderline"/>
          <w:sz w:val="26"/>
          <w:szCs w:val="26"/>
        </w:rPr>
        <w:t xml:space="preserve">their </w:t>
      </w:r>
      <w:r w:rsidRPr="004E5399">
        <w:rPr>
          <w:rStyle w:val="Emphasis"/>
          <w:szCs w:val="26"/>
          <w:highlight w:val="green"/>
        </w:rPr>
        <w:t>informative emptiness</w:t>
      </w:r>
      <w:r w:rsidRPr="004E5399">
        <w:rPr>
          <w:rStyle w:val="Emphasis"/>
          <w:szCs w:val="26"/>
        </w:rPr>
        <w:t>, or tautological character</w:t>
      </w:r>
      <w:r w:rsidRPr="004E5399">
        <w:rPr>
          <w:rStyle w:val="StyleUnderline"/>
          <w:sz w:val="26"/>
          <w:szCs w:val="26"/>
        </w:rPr>
        <w:t xml:space="preserve">, </w:t>
      </w:r>
      <w:r w:rsidRPr="004E5399">
        <w:rPr>
          <w:rStyle w:val="StyleUnderline"/>
          <w:sz w:val="26"/>
          <w:szCs w:val="26"/>
          <w:highlight w:val="green"/>
        </w:rPr>
        <w:t>all they amount to is rewordings of everyday assumptions</w:t>
      </w:r>
      <w:r w:rsidRPr="004E5399">
        <w:rPr>
          <w:sz w:val="12"/>
          <w:szCs w:val="26"/>
        </w:rPr>
        <w:t xml:space="preserve">. Second, </w:t>
      </w:r>
      <w:r w:rsidRPr="004E5399">
        <w:rPr>
          <w:rStyle w:val="StyleUnderline"/>
          <w:sz w:val="26"/>
          <w:szCs w:val="26"/>
          <w:highlight w:val="green"/>
        </w:rPr>
        <w:t>due to</w:t>
      </w:r>
      <w:r w:rsidRPr="004E5399">
        <w:rPr>
          <w:rStyle w:val="StyleUnderline"/>
          <w:sz w:val="26"/>
          <w:szCs w:val="26"/>
        </w:rPr>
        <w:t xml:space="preserve"> their </w:t>
      </w:r>
      <w:r w:rsidRPr="004E5399">
        <w:rPr>
          <w:rStyle w:val="StyleUnderline"/>
          <w:sz w:val="26"/>
          <w:szCs w:val="26"/>
          <w:highlight w:val="green"/>
        </w:rPr>
        <w:t>vagueness</w:t>
      </w:r>
      <w:r w:rsidRPr="004E5399">
        <w:rPr>
          <w:rStyle w:val="StyleUnderline"/>
          <w:sz w:val="26"/>
          <w:szCs w:val="26"/>
        </w:rPr>
        <w:t xml:space="preserve"> these accounts are compatible with any outcomes; in other words, </w:t>
      </w:r>
      <w:r w:rsidRPr="004E5399">
        <w:rPr>
          <w:rStyle w:val="Emphasis"/>
          <w:szCs w:val="26"/>
          <w:highlight w:val="green"/>
        </w:rPr>
        <w:t>they lack explanatory and predictive power</w:t>
      </w:r>
      <w:r w:rsidRPr="004E5399">
        <w:rPr>
          <w:rStyle w:val="StyleUnderline"/>
          <w:sz w:val="26"/>
          <w:szCs w:val="26"/>
          <w:highlight w:val="green"/>
        </w:rPr>
        <w:t>.</w:t>
      </w:r>
      <w:r w:rsidRPr="004E5399">
        <w:rPr>
          <w:rStyle w:val="StyleUnderline"/>
          <w:sz w:val="26"/>
          <w:szCs w:val="26"/>
        </w:rPr>
        <w:t xml:space="preserve"> The proposed ideas are too inarticulate to subject to intersubjective criticism, and </w:t>
      </w:r>
      <w:r w:rsidRPr="004E5399">
        <w:rPr>
          <w:rStyle w:val="Emphasis"/>
          <w:szCs w:val="26"/>
          <w:highlight w:val="green"/>
        </w:rPr>
        <w:t>to call them empirical</w:t>
      </w:r>
      <w:r w:rsidRPr="004E5399">
        <w:rPr>
          <w:rStyle w:val="Emphasis"/>
          <w:szCs w:val="26"/>
        </w:rPr>
        <w:t xml:space="preserve"> or scientiﬁc </w:t>
      </w:r>
      <w:r w:rsidRPr="004E5399">
        <w:rPr>
          <w:rStyle w:val="Emphasis"/>
          <w:szCs w:val="26"/>
          <w:highlight w:val="green"/>
        </w:rPr>
        <w:t>theories would be</w:t>
      </w:r>
      <w:r w:rsidRPr="004E5399">
        <w:rPr>
          <w:rStyle w:val="Emphasis"/>
          <w:szCs w:val="26"/>
        </w:rPr>
        <w:t xml:space="preserve">, no matter how comforting, </w:t>
      </w:r>
      <w:r w:rsidRPr="004E5399">
        <w:rPr>
          <w:rStyle w:val="Emphasis"/>
          <w:szCs w:val="26"/>
          <w:highlight w:val="green"/>
        </w:rPr>
        <w:t xml:space="preserve">a gross misuse </w:t>
      </w:r>
      <w:r w:rsidRPr="004E5399">
        <w:rPr>
          <w:rStyle w:val="Emphasis"/>
          <w:szCs w:val="26"/>
          <w:highlight w:val="green"/>
        </w:rPr>
        <w:lastRenderedPageBreak/>
        <w:t xml:space="preserve">of </w:t>
      </w:r>
      <w:proofErr w:type="spellStart"/>
      <w:r w:rsidRPr="004E5399">
        <w:rPr>
          <w:rStyle w:val="Emphasis"/>
          <w:szCs w:val="26"/>
          <w:highlight w:val="green"/>
        </w:rPr>
        <w:t>words</w:t>
      </w:r>
      <w:r w:rsidRPr="004E5399">
        <w:rPr>
          <w:rStyle w:val="Emphasis"/>
          <w:szCs w:val="26"/>
        </w:rPr>
        <w:t>.</w:t>
      </w:r>
      <w:r w:rsidRPr="004E5399">
        <w:rPr>
          <w:sz w:val="12"/>
          <w:szCs w:val="26"/>
        </w:rPr>
        <w:t>¶On</w:t>
      </w:r>
      <w:proofErr w:type="spellEnd"/>
      <w:r w:rsidRPr="004E5399">
        <w:rPr>
          <w:sz w:val="12"/>
          <w:szCs w:val="26"/>
        </w:rPr>
        <w:t xml:space="preserve"> the constructive side, a psychoanalytic theorist may be challenged to unambiguously formulate her suppositions and specify conditions of their disproof, to leave out what we already well know and smooth out internal inconsistencies, and revise the theories in view of easily available counter-examples and competing accounts. Only after having done this can one present candidate theories to public criticism and thus make them part of science, and fruitfully discuss their further reﬁnements. Another suggestion is not to label them “powerful theories,” “classics,” or anything else before their real scrutiny begins. ¶</w:t>
      </w:r>
      <w:r w:rsidRPr="004E5399">
        <w:rPr>
          <w:rStyle w:val="StyleUnderline"/>
          <w:sz w:val="26"/>
          <w:szCs w:val="26"/>
        </w:rPr>
        <w:t xml:space="preserve">That criticism and disagreement are indispensable for </w:t>
      </w:r>
      <w:r w:rsidRPr="004E5399">
        <w:rPr>
          <w:rStyle w:val="Emphasis"/>
          <w:szCs w:val="26"/>
        </w:rPr>
        <w:t>science is not a “Popperian orthodoxy</w:t>
      </w:r>
      <w:r w:rsidRPr="004E5399">
        <w:rPr>
          <w:sz w:val="12"/>
          <w:szCs w:val="26"/>
        </w:rPr>
        <w:t xml:space="preserve">,” although Popper does champion this idea; </w:t>
      </w:r>
      <w:r w:rsidRPr="004E5399">
        <w:rPr>
          <w:rStyle w:val="StyleUnderline"/>
          <w:sz w:val="26"/>
          <w:szCs w:val="26"/>
        </w:rPr>
        <w:t>it is the pivot of the tradition</w:t>
      </w:r>
      <w:r w:rsidRPr="004E5399">
        <w:rPr>
          <w:sz w:val="12"/>
          <w:szCs w:val="26"/>
        </w:rPr>
        <w:t xml:space="preserve"> (which we owe to the Greeks) </w:t>
      </w:r>
      <w:r w:rsidRPr="004E5399">
        <w:rPr>
          <w:rStyle w:val="StyleUnderline"/>
          <w:sz w:val="26"/>
          <w:szCs w:val="26"/>
        </w:rPr>
        <w:t>which identiﬁes rationalism with criticism</w:t>
      </w:r>
      <w:r w:rsidRPr="004E5399">
        <w:rPr>
          <w:sz w:val="12"/>
          <w:szCs w:val="26"/>
        </w:rPr>
        <w:t>. 4 McLaughlin ostensibly bows to the critical tradition but does not put it to use. Instead of critical evaluation of the theories in question he writes of “compelling case,” “powerful analytic model,” and “useful conceptual tool.” ¶</w:t>
      </w:r>
      <w:r w:rsidRPr="004E5399">
        <w:rPr>
          <w:rStyle w:val="StyleUnderline"/>
          <w:sz w:val="26"/>
          <w:szCs w:val="26"/>
        </w:rPr>
        <w:t>On the methodological side of the issue, we should inquire into the mode of thinking common</w:t>
      </w:r>
      <w:r w:rsidRPr="004E5399">
        <w:rPr>
          <w:sz w:val="12"/>
          <w:szCs w:val="26"/>
        </w:rPr>
        <w:t xml:space="preserve"> to Fromm and all adherents of conﬁrmation-ism. </w:t>
      </w:r>
      <w:r w:rsidRPr="004E5399">
        <w:rPr>
          <w:rStyle w:val="StyleUnderline"/>
          <w:sz w:val="26"/>
          <w:szCs w:val="26"/>
        </w:rPr>
        <w:t>The trick consists in mere replacement of familiar words with</w:t>
      </w:r>
      <w:r w:rsidRPr="004E5399">
        <w:rPr>
          <w:sz w:val="12"/>
          <w:szCs w:val="26"/>
        </w:rPr>
        <w:t xml:space="preserve"> new, more </w:t>
      </w:r>
      <w:r w:rsidRPr="004E5399">
        <w:rPr>
          <w:rStyle w:val="StyleUnderline"/>
          <w:sz w:val="26"/>
          <w:szCs w:val="26"/>
        </w:rPr>
        <w:t>peculiar ones</w:t>
      </w:r>
      <w:r w:rsidRPr="004E5399">
        <w:rPr>
          <w:sz w:val="12"/>
          <w:szCs w:val="26"/>
        </w:rPr>
        <w:t xml:space="preserve">; customary expressions are substituted by “instrumental intimacy,” “collaborative circles,” and “idealization of a self-object.” </w:t>
      </w:r>
      <w:r w:rsidRPr="004E5399">
        <w:rPr>
          <w:rStyle w:val="StyleUnderline"/>
          <w:sz w:val="26"/>
          <w:szCs w:val="26"/>
        </w:rPr>
        <w:t>Since the new</w:t>
      </w:r>
      <w:r w:rsidRPr="004E5399">
        <w:rPr>
          <w:sz w:val="12"/>
          <w:szCs w:val="26"/>
        </w:rPr>
        <w:t xml:space="preserve">, funnier, and </w:t>
      </w:r>
      <w:r w:rsidRPr="004E5399">
        <w:rPr>
          <w:rStyle w:val="StyleUnderline"/>
          <w:sz w:val="26"/>
          <w:szCs w:val="26"/>
        </w:rPr>
        <w:t xml:space="preserve">pseudo-theoretical tag does the job of naming just as well, it “shows how” things work. The </w:t>
      </w:r>
      <w:r w:rsidRPr="004E5399">
        <w:rPr>
          <w:rStyle w:val="StyleUnderline"/>
          <w:sz w:val="26"/>
          <w:szCs w:val="26"/>
          <w:highlight w:val="green"/>
        </w:rPr>
        <w:t>new labels</w:t>
      </w:r>
      <w:r w:rsidRPr="004E5399">
        <w:rPr>
          <w:sz w:val="12"/>
          <w:szCs w:val="26"/>
        </w:rPr>
        <w:t xml:space="preserve"> in the cases criticized here </w:t>
      </w:r>
      <w:r w:rsidRPr="004E5399">
        <w:rPr>
          <w:rStyle w:val="StyleUnderline"/>
          <w:sz w:val="26"/>
          <w:szCs w:val="26"/>
          <w:highlight w:val="green"/>
        </w:rPr>
        <w:t>do not add</w:t>
      </w:r>
      <w:r w:rsidRPr="004E5399">
        <w:rPr>
          <w:rStyle w:val="StyleUnderline"/>
          <w:sz w:val="26"/>
          <w:szCs w:val="26"/>
        </w:rPr>
        <w:t xml:space="preserve"> anything </w:t>
      </w:r>
      <w:r w:rsidRPr="004E5399">
        <w:rPr>
          <w:rStyle w:val="StyleUnderline"/>
          <w:sz w:val="26"/>
          <w:szCs w:val="26"/>
          <w:highlight w:val="green"/>
        </w:rPr>
        <w:t>to our knowledge; nor do they explain</w:t>
      </w:r>
      <w:r w:rsidRPr="004E5399">
        <w:rPr>
          <w:sz w:val="12"/>
          <w:szCs w:val="26"/>
        </w:rPr>
        <w:t>. We have seen Fromm routinely abuse this technique. The vacuity of Fromm’s explanations by character type was the central point in my analysis of Escape , yet McLaughlin conveniently ignores it and, like Fromm, uses the method of labelling as somehow supporting his cause. ¶</w:t>
      </w:r>
      <w:r w:rsidRPr="004E5399">
        <w:rPr>
          <w:rStyle w:val="StyleUnderline"/>
          <w:sz w:val="26"/>
          <w:szCs w:val="26"/>
          <w:highlight w:val="green"/>
        </w:rPr>
        <w:t>The</w:t>
      </w:r>
      <w:r w:rsidRPr="004E5399">
        <w:rPr>
          <w:rStyle w:val="StyleUnderline"/>
          <w:sz w:val="26"/>
          <w:szCs w:val="26"/>
        </w:rPr>
        <w:t xml:space="preserve"> widely popular </w:t>
      </w:r>
      <w:r w:rsidRPr="004E5399">
        <w:rPr>
          <w:rStyle w:val="StyleUnderline"/>
          <w:sz w:val="26"/>
          <w:szCs w:val="26"/>
          <w:highlight w:val="green"/>
        </w:rPr>
        <w:t>practice of mistaking new labels for explanations has been exposed</w:t>
      </w:r>
      <w:r w:rsidRPr="004E5399">
        <w:rPr>
          <w:rStyle w:val="StyleUnderline"/>
          <w:sz w:val="26"/>
          <w:szCs w:val="26"/>
        </w:rPr>
        <w:t xml:space="preserve"> by many methodologists</w:t>
      </w:r>
      <w:r w:rsidRPr="004E5399">
        <w:rPr>
          <w:sz w:val="12"/>
          <w:szCs w:val="26"/>
        </w:rPr>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4E5399">
        <w:rPr>
          <w:sz w:val="12"/>
          <w:szCs w:val="26"/>
        </w:rPr>
        <w:t>virtus</w:t>
      </w:r>
      <w:proofErr w:type="spellEnd"/>
      <w:r w:rsidRPr="004E5399">
        <w:rPr>
          <w:sz w:val="12"/>
          <w:szCs w:val="26"/>
        </w:rPr>
        <w:t xml:space="preserve"> </w:t>
      </w:r>
      <w:proofErr w:type="spellStart"/>
      <w:r w:rsidRPr="004E5399">
        <w:rPr>
          <w:sz w:val="12"/>
          <w:szCs w:val="26"/>
        </w:rPr>
        <w:t>dormitiva</w:t>
      </w:r>
      <w:proofErr w:type="spellEnd"/>
      <w:r w:rsidRPr="004E5399">
        <w:rPr>
          <w:sz w:val="12"/>
          <w:szCs w:val="26"/>
        </w:rPr>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4E5399">
        <w:rPr>
          <w:rStyle w:val="StyleUnderline"/>
          <w:sz w:val="26"/>
          <w:szCs w:val="26"/>
        </w:rPr>
        <w:t>social scientists often</w:t>
      </w:r>
      <w:r w:rsidRPr="004E5399">
        <w:rPr>
          <w:sz w:val="12"/>
          <w:szCs w:val="26"/>
        </w:rPr>
        <w:t xml:space="preserve"> try to </w:t>
      </w:r>
      <w:r w:rsidRPr="004E5399">
        <w:rPr>
          <w:rStyle w:val="StyleUnderline"/>
          <w:sz w:val="26"/>
          <w:szCs w:val="26"/>
        </w:rPr>
        <w:t>answer the question, “What is this phenomenon?” by giving an “explanation-by-concept”</w:t>
      </w:r>
      <w:r w:rsidRPr="004E5399">
        <w:rPr>
          <w:sz w:val="12"/>
          <w:szCs w:val="26"/>
        </w:rPr>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 Hempel agrees with Dray that </w:t>
      </w:r>
      <w:r w:rsidRPr="004E5399">
        <w:rPr>
          <w:rStyle w:val="StyleUnderline"/>
          <w:sz w:val="26"/>
          <w:szCs w:val="26"/>
        </w:rPr>
        <w:t>such concepts may be explanatory, but they are so only if the chosen labels or classiﬁcatory tags refer to some uniformities</w:t>
      </w:r>
      <w:r w:rsidRPr="004E5399">
        <w:rPr>
          <w:sz w:val="12"/>
          <w:szCs w:val="26"/>
        </w:rPr>
        <w:t xml:space="preserve">, or are based on nomic analogies. In other words, </w:t>
      </w:r>
      <w:r w:rsidRPr="004E5399">
        <w:rPr>
          <w:rStyle w:val="StyleUnderline"/>
          <w:sz w:val="26"/>
          <w:szCs w:val="26"/>
          <w:highlight w:val="green"/>
        </w:rPr>
        <w:t>our new label has explanatory force if it</w:t>
      </w:r>
      <w:r w:rsidRPr="004E5399">
        <w:rPr>
          <w:sz w:val="12"/>
          <w:szCs w:val="26"/>
        </w:rPr>
        <w:t xml:space="preserve"> states or </w:t>
      </w:r>
      <w:r w:rsidRPr="004E5399">
        <w:rPr>
          <w:rStyle w:val="StyleUnderline"/>
          <w:sz w:val="26"/>
          <w:szCs w:val="26"/>
          <w:highlight w:val="green"/>
        </w:rPr>
        <w:t xml:space="preserve">implies </w:t>
      </w:r>
      <w:r w:rsidRPr="004E5399">
        <w:rPr>
          <w:rStyle w:val="StyleUnderline"/>
          <w:sz w:val="26"/>
          <w:szCs w:val="26"/>
        </w:rPr>
        <w:t xml:space="preserve">some </w:t>
      </w:r>
      <w:r w:rsidRPr="004E5399">
        <w:rPr>
          <w:rStyle w:val="StyleUnderline"/>
          <w:sz w:val="26"/>
          <w:szCs w:val="26"/>
          <w:highlight w:val="green"/>
        </w:rPr>
        <w:t>established regularity</w:t>
      </w:r>
    </w:p>
    <w:p w14:paraId="5E0F1DEF" w14:textId="77777777" w:rsidR="007034DF" w:rsidRPr="00B92D1E" w:rsidRDefault="007034DF" w:rsidP="007034DF">
      <w:pPr>
        <w:pStyle w:val="Heading3"/>
      </w:pPr>
      <w:r>
        <w:lastRenderedPageBreak/>
        <w:t xml:space="preserve"> AT: </w:t>
      </w:r>
      <w:r w:rsidRPr="002630C6">
        <w:t>Debate Bad</w:t>
      </w:r>
    </w:p>
    <w:p w14:paraId="04FC43B4" w14:textId="77777777" w:rsidR="007034DF" w:rsidRDefault="007034DF" w:rsidP="007034DF">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14:paraId="5CBDF6C1" w14:textId="77777777" w:rsidR="007034DF" w:rsidRDefault="007034DF" w:rsidP="007034DF">
      <w:pPr>
        <w:pStyle w:val="Heading4"/>
      </w:pPr>
      <w:r>
        <w:t xml:space="preserve">2] 20 years of empirics through debate bad </w:t>
      </w:r>
      <w:proofErr w:type="spellStart"/>
      <w:r>
        <w:t>kritiks</w:t>
      </w:r>
      <w:proofErr w:type="spellEnd"/>
      <w:r>
        <w:t xml:space="preserve"> flow negative. </w:t>
      </w:r>
    </w:p>
    <w:p w14:paraId="7EB023F3" w14:textId="77777777" w:rsidR="007034DF" w:rsidRDefault="007034DF" w:rsidP="007034DF">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14:paraId="46601950" w14:textId="77777777" w:rsidR="007034DF" w:rsidRPr="002630C6" w:rsidRDefault="007034DF" w:rsidP="007034DF">
      <w:pPr>
        <w:pStyle w:val="Heading4"/>
      </w:pPr>
      <w:r>
        <w:t xml:space="preserve">4] Unfairness does not give you uniqueness – fairness is key to having discussions about the </w:t>
      </w:r>
      <w:proofErr w:type="spellStart"/>
      <w:r>
        <w:t>affs</w:t>
      </w:r>
      <w:proofErr w:type="spellEnd"/>
      <w:r>
        <w:t xml:space="preserve"> methodology and iterative which you ROTB concedes the validity of. Being unfair will just cause people to prep you out in future rounds which proves you do not do anything.</w:t>
      </w:r>
    </w:p>
    <w:p w14:paraId="6FB7EB99" w14:textId="77777777" w:rsidR="007034DF" w:rsidRDefault="007034DF" w:rsidP="007034DF">
      <w:pPr>
        <w:pStyle w:val="Heading3"/>
      </w:pPr>
      <w:r>
        <w:lastRenderedPageBreak/>
        <w:t>LBL – St. Pierre 13</w:t>
      </w:r>
    </w:p>
    <w:p w14:paraId="7DD64F1B" w14:textId="77777777" w:rsidR="007034DF" w:rsidRDefault="007034DF" w:rsidP="007034DF">
      <w:pPr>
        <w:pStyle w:val="Heading4"/>
      </w:pPr>
      <w:r>
        <w:t>1] This card does not exist online.</w:t>
      </w:r>
    </w:p>
    <w:p w14:paraId="21A5A8D6" w14:textId="77777777" w:rsidR="007034DF" w:rsidRDefault="007034DF" w:rsidP="007034DF">
      <w:pPr>
        <w:pStyle w:val="Heading4"/>
        <w:rPr>
          <w:rFonts w:cs="Calibri"/>
        </w:rPr>
      </w:pPr>
      <w:r>
        <w:rPr>
          <w:rFonts w:cs="Calibri"/>
        </w:rPr>
        <w:t xml:space="preserve">2] </w:t>
      </w:r>
      <w:r w:rsidRPr="002F3221">
        <w:rPr>
          <w:rFonts w:cs="Calibri"/>
        </w:rPr>
        <w:t>This is a DA to your performance because it indicates that by becoming a public act of expression, the 1AC forces you to tie your success to your identity—we argue through that you should be free of that.</w:t>
      </w:r>
    </w:p>
    <w:p w14:paraId="6B4ACE1D" w14:textId="77777777" w:rsidR="007034DF" w:rsidRDefault="007034DF" w:rsidP="007034DF">
      <w:pPr>
        <w:pStyle w:val="Heading4"/>
        <w:rPr>
          <w:rFonts w:cs="Calibri"/>
        </w:rPr>
      </w:pPr>
      <w:r>
        <w:rPr>
          <w:rFonts w:cs="Calibri"/>
        </w:rPr>
        <w:t xml:space="preserve">3] St. Pierre is very </w:t>
      </w:r>
      <w:proofErr w:type="spellStart"/>
      <w:r>
        <w:rPr>
          <w:rFonts w:cs="Calibri"/>
        </w:rPr>
        <w:t>deleuzian</w:t>
      </w:r>
      <w:proofErr w:type="spellEnd"/>
      <w:r>
        <w:rPr>
          <w:rFonts w:cs="Calibri"/>
        </w:rPr>
        <w:t xml:space="preserve">. </w:t>
      </w:r>
      <w:r w:rsidRPr="00266A8C">
        <w:rPr>
          <w:rFonts w:cs="Calibri"/>
        </w:rPr>
        <w:t xml:space="preserve">Affective labor means that disability is fluid and contingent—if your actions and existence in the space are shaped by your labor and relations with others there is always the possibility for change – takes out all of their ontology claims. </w:t>
      </w:r>
    </w:p>
    <w:p w14:paraId="2FD22D77" w14:textId="77777777" w:rsidR="007034DF" w:rsidRPr="00030948" w:rsidRDefault="007034DF" w:rsidP="007034DF">
      <w:pPr>
        <w:pStyle w:val="Heading4"/>
        <w:rPr>
          <w:rFonts w:cs="Calibri"/>
        </w:rPr>
      </w:pPr>
      <w:r>
        <w:rPr>
          <w:rFonts w:cs="Calibri"/>
        </w:rPr>
        <w:t xml:space="preserve">4] </w:t>
      </w:r>
      <w:proofErr w:type="spellStart"/>
      <w:r w:rsidRPr="00266A8C">
        <w:rPr>
          <w:rFonts w:cs="Calibri"/>
        </w:rPr>
        <w:t>Perfcon</w:t>
      </w:r>
      <w:proofErr w:type="spellEnd"/>
      <w:r w:rsidRPr="00266A8C">
        <w:rPr>
          <w:rFonts w:cs="Calibri"/>
        </w:rPr>
        <w:t xml:space="preserve"> – you are within this debate space using communicative technologies and spreading at 300+ WPM which means you bite into the form of communication that you critique – outweighs – A) It’s premeditated murder which is a link turn and a reason to drop you B) Resolvability: you’ve made contradictory claims so we don’t know how to resolve them which outweighs since it takes it out of the debaters’ hands.</w:t>
      </w:r>
    </w:p>
    <w:p w14:paraId="7258B9C9" w14:textId="77777777" w:rsidR="007034DF" w:rsidRPr="007034DF" w:rsidRDefault="007034DF" w:rsidP="007034DF"/>
    <w:p w14:paraId="68B59E41" w14:textId="77777777" w:rsidR="00332215" w:rsidRDefault="00332215" w:rsidP="00332215">
      <w:pPr>
        <w:pStyle w:val="Heading3"/>
      </w:pPr>
      <w:r>
        <w:lastRenderedPageBreak/>
        <w:t xml:space="preserve">AT </w:t>
      </w:r>
      <w:proofErr w:type="spellStart"/>
      <w:r>
        <w:t>Mollow</w:t>
      </w:r>
      <w:proofErr w:type="spellEnd"/>
      <w:r>
        <w:t xml:space="preserve"> 15</w:t>
      </w:r>
    </w:p>
    <w:p w14:paraId="1A852385" w14:textId="77777777" w:rsidR="00332215" w:rsidRDefault="00332215" w:rsidP="00332215">
      <w:pPr>
        <w:pStyle w:val="Heading4"/>
      </w:pPr>
      <w:r>
        <w:t xml:space="preserve">1] Even if it’s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00B05B1E" w14:textId="77777777" w:rsidR="00332215" w:rsidRDefault="00332215" w:rsidP="00332215">
      <w:pPr>
        <w:pStyle w:val="Heading4"/>
      </w:pPr>
      <w:r>
        <w:t xml:space="preserve">2] Any </w:t>
      </w:r>
      <w:proofErr w:type="spellStart"/>
      <w:r>
        <w:t>arg</w:t>
      </w:r>
      <w:proofErr w:type="spellEnd"/>
      <w:r>
        <w:t xml:space="preserve"> that defines what </w:t>
      </w:r>
      <w:proofErr w:type="spellStart"/>
      <w:r>
        <w:t>indivuals</w:t>
      </w:r>
      <w:proofErr w:type="spellEnd"/>
      <w:r>
        <w:t xml:space="preserve"> can read or how they engage based on identity is causes </w:t>
      </w:r>
      <w:proofErr w:type="spellStart"/>
      <w:r>
        <w:t>authenticiy</w:t>
      </w:r>
      <w:proofErr w:type="spellEnd"/>
      <w:r>
        <w:t xml:space="preserve"> testing. Begs the question of who is disabled enough and people pretending to be disabled, this causes physic </w:t>
      </w:r>
      <w:proofErr w:type="spellStart"/>
      <w:r>
        <w:t>violenc</w:t>
      </w:r>
      <w:proofErr w:type="spellEnd"/>
      <w:r>
        <w:t xml:space="preserve"> and turns their violence posited in the 1AC</w:t>
      </w:r>
    </w:p>
    <w:p w14:paraId="08A4516A" w14:textId="77777777" w:rsidR="00332215" w:rsidRDefault="00332215" w:rsidP="00332215">
      <w:pPr>
        <w:pStyle w:val="Heading4"/>
      </w:pPr>
      <w:r>
        <w:t xml:space="preserve">3] Paternalism  DA- they deny the </w:t>
      </w:r>
      <w:proofErr w:type="spellStart"/>
      <w:r>
        <w:t>possibillity</w:t>
      </w:r>
      <w:proofErr w:type="spellEnd"/>
      <w:r>
        <w:t xml:space="preserve"> for a legit victory- voting </w:t>
      </w:r>
      <w:proofErr w:type="spellStart"/>
      <w:r>
        <w:t>aff</w:t>
      </w:r>
      <w:proofErr w:type="spellEnd"/>
      <w:r>
        <w:t xml:space="preserve"> doesn’t remedy </w:t>
      </w:r>
      <w:proofErr w:type="spellStart"/>
      <w:r>
        <w:t>strucutral</w:t>
      </w:r>
      <w:proofErr w:type="spellEnd"/>
      <w:r>
        <w:t xml:space="preserve"> harms, you recreate the logic of paternalism where people feel they are helping disabled debaters and reproduces stereotypes that disabled debaters can only win on identity based arguments</w:t>
      </w:r>
    </w:p>
    <w:p w14:paraId="22D3F5E0" w14:textId="77777777" w:rsidR="00332215" w:rsidRDefault="00332215" w:rsidP="00332215">
      <w:pPr>
        <w:pStyle w:val="Heading4"/>
      </w:pPr>
      <w:r>
        <w:t xml:space="preserve">4] </w:t>
      </w:r>
      <w:proofErr w:type="spellStart"/>
      <w:r>
        <w:t>Args</w:t>
      </w:r>
      <w:proofErr w:type="spellEnd"/>
      <w:r>
        <w:t xml:space="preserve"> in round cant remedy structural fairness, only procedural </w:t>
      </w:r>
      <w:proofErr w:type="spellStart"/>
      <w:r>
        <w:t>fairnes</w:t>
      </w:r>
      <w:proofErr w:type="spellEnd"/>
      <w:r>
        <w:t xml:space="preserve">,  a ballot for me can signal my </w:t>
      </w:r>
      <w:proofErr w:type="spellStart"/>
      <w:r>
        <w:t>inabillity</w:t>
      </w:r>
      <w:proofErr w:type="spellEnd"/>
      <w:r>
        <w:t xml:space="preserve"> to debate in this round but doesn’t solve </w:t>
      </w:r>
      <w:proofErr w:type="spellStart"/>
      <w:r>
        <w:t>ablesit</w:t>
      </w:r>
      <w:proofErr w:type="spellEnd"/>
      <w:r>
        <w:t xml:space="preserve"> violence.</w:t>
      </w:r>
    </w:p>
    <w:p w14:paraId="43532B6C" w14:textId="49356842" w:rsidR="00332215" w:rsidRDefault="00332215" w:rsidP="00332215"/>
    <w:p w14:paraId="5381111B" w14:textId="77777777" w:rsidR="000E3FC4" w:rsidRDefault="000E3FC4" w:rsidP="000E3FC4">
      <w:pPr>
        <w:pStyle w:val="Heading3"/>
      </w:pPr>
      <w:r>
        <w:lastRenderedPageBreak/>
        <w:t>LBL – Primary and Secondary Pity</w:t>
      </w:r>
    </w:p>
    <w:p w14:paraId="197A1606" w14:textId="77777777" w:rsidR="000E3FC4" w:rsidRDefault="000E3FC4" w:rsidP="000E3FC4">
      <w:pPr>
        <w:pStyle w:val="Heading4"/>
      </w:pPr>
      <w:r>
        <w:t xml:space="preserve">1] They have NOT warranted the disability drive – </w:t>
      </w:r>
      <w:proofErr w:type="spellStart"/>
      <w:r>
        <w:t>Mollow</w:t>
      </w:r>
      <w:proofErr w:type="spellEnd"/>
      <w:r>
        <w:t xml:space="preserve"> says the disability drive structures pity because it involves a drive towards disability, pity is the impact of that not the other way around proven by the idea that “one cannot bear not to look at disability” – if they have no justified the drive then they do not get access to ontology.</w:t>
      </w:r>
    </w:p>
    <w:p w14:paraId="7B1CCDF8" w14:textId="77777777" w:rsidR="005C6C89" w:rsidRPr="006460B6" w:rsidRDefault="005C6C89" w:rsidP="005C6C89">
      <w:pPr>
        <w:pStyle w:val="Heading4"/>
      </w:pPr>
      <w:r>
        <w:t xml:space="preserve">2] </w:t>
      </w:r>
      <w:r w:rsidRPr="006460B6">
        <w:t>There’s no reason this drive structures an ontological condition for the disabled body—the fact that we react in a certain way does not mean we have complete control over the disabled body.</w:t>
      </w:r>
    </w:p>
    <w:p w14:paraId="20ED87D7" w14:textId="77777777" w:rsidR="000E3FC4" w:rsidRPr="00332215" w:rsidRDefault="000E3FC4" w:rsidP="00332215"/>
    <w:sectPr w:rsidR="000E3FC4" w:rsidRPr="003322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3C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FC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41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1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4AB"/>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C89"/>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7E6"/>
    <w:rsid w:val="006529B9"/>
    <w:rsid w:val="00654695"/>
    <w:rsid w:val="0065500A"/>
    <w:rsid w:val="00655217"/>
    <w:rsid w:val="0065727C"/>
    <w:rsid w:val="00670C6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4DF"/>
    <w:rsid w:val="00717B01"/>
    <w:rsid w:val="007227D9"/>
    <w:rsid w:val="0072491F"/>
    <w:rsid w:val="00725598"/>
    <w:rsid w:val="007374A1"/>
    <w:rsid w:val="00752712"/>
    <w:rsid w:val="00753A84"/>
    <w:rsid w:val="00753CD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8F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6F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B688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7A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C1C"/>
    <w:rsid w:val="00F02046"/>
    <w:rsid w:val="00F053D8"/>
    <w:rsid w:val="00F07888"/>
    <w:rsid w:val="00F1313D"/>
    <w:rsid w:val="00F138DE"/>
    <w:rsid w:val="00F201E7"/>
    <w:rsid w:val="00F204E0"/>
    <w:rsid w:val="00F20B16"/>
    <w:rsid w:val="00F21C79"/>
    <w:rsid w:val="00F238C9"/>
    <w:rsid w:val="00F23CA5"/>
    <w:rsid w:val="00F277AA"/>
    <w:rsid w:val="00F31955"/>
    <w:rsid w:val="00F34B39"/>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C134CC"/>
  <w14:defaultImageDpi w14:val="300"/>
  <w15:docId w15:val="{AA859E70-9466-5448-AD76-7408DF8F7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C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3C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C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753C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753C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C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CD0"/>
  </w:style>
  <w:style w:type="character" w:customStyle="1" w:styleId="Heading1Char">
    <w:name w:val="Heading 1 Char"/>
    <w:aliases w:val="Pocket Char"/>
    <w:basedOn w:val="DefaultParagraphFont"/>
    <w:link w:val="Heading1"/>
    <w:uiPriority w:val="9"/>
    <w:rsid w:val="00753C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CD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Citation Char Char Char,Heading 3 Char1 Char Char Char,Citation Char Char Char Char Char,Citation Char1 Char Char Char,Heading 3 Char Char1 Char"/>
    <w:basedOn w:val="DefaultParagraphFont"/>
    <w:link w:val="Heading3"/>
    <w:uiPriority w:val="9"/>
    <w:rsid w:val="00753CD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53C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3CD0"/>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753CD0"/>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s"/>
    <w:basedOn w:val="DefaultParagraphFont"/>
    <w:link w:val="textbold"/>
    <w:uiPriority w:val="20"/>
    <w:qFormat/>
    <w:rsid w:val="00753C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3CD0"/>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753CD0"/>
    <w:rPr>
      <w:color w:val="auto"/>
      <w:u w:val="none"/>
    </w:rPr>
  </w:style>
  <w:style w:type="paragraph" w:styleId="DocumentMap">
    <w:name w:val="Document Map"/>
    <w:basedOn w:val="Normal"/>
    <w:link w:val="DocumentMapChar"/>
    <w:uiPriority w:val="99"/>
    <w:semiHidden/>
    <w:unhideWhenUsed/>
    <w:rsid w:val="00753C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CD0"/>
    <w:rPr>
      <w:rFonts w:ascii="Lucida Grande" w:hAnsi="Lucida Grande" w:cs="Lucida Grande"/>
    </w:rPr>
  </w:style>
  <w:style w:type="paragraph" w:customStyle="1" w:styleId="textbold">
    <w:name w:val="text bold"/>
    <w:basedOn w:val="Normal"/>
    <w:link w:val="Emphasis"/>
    <w:uiPriority w:val="20"/>
    <w:qFormat/>
    <w:rsid w:val="0033221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3322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32215"/>
    <w:rPr>
      <w:b/>
      <w:bCs/>
    </w:rPr>
  </w:style>
  <w:style w:type="paragraph" w:customStyle="1" w:styleId="Emphasis1">
    <w:name w:val="Emphasis1"/>
    <w:basedOn w:val="Normal"/>
    <w:uiPriority w:val="20"/>
    <w:qFormat/>
    <w:rsid w:val="007034D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457E6"/>
    <w:rPr>
      <w:color w:val="605E5C"/>
      <w:shd w:val="clear" w:color="auto" w:fill="E1DFDD"/>
    </w:rPr>
  </w:style>
  <w:style w:type="character" w:customStyle="1" w:styleId="dttext">
    <w:name w:val="dttext"/>
    <w:basedOn w:val="DefaultParagraphFont"/>
    <w:rsid w:val="006457E6"/>
  </w:style>
  <w:style w:type="character" w:customStyle="1" w:styleId="sdsense">
    <w:name w:val="sdsense"/>
    <w:basedOn w:val="DefaultParagraphFont"/>
    <w:rsid w:val="006457E6"/>
  </w:style>
  <w:style w:type="character" w:customStyle="1" w:styleId="sd">
    <w:name w:val="sd"/>
    <w:basedOn w:val="DefaultParagraphFont"/>
    <w:rsid w:val="00645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5882">
      <w:bodyDiv w:val="1"/>
      <w:marLeft w:val="0"/>
      <w:marRight w:val="0"/>
      <w:marTop w:val="0"/>
      <w:marBottom w:val="0"/>
      <w:divBdr>
        <w:top w:val="none" w:sz="0" w:space="0" w:color="auto"/>
        <w:left w:val="none" w:sz="0" w:space="0" w:color="auto"/>
        <w:bottom w:val="none" w:sz="0" w:space="0" w:color="auto"/>
        <w:right w:val="none" w:sz="0" w:space="0" w:color="auto"/>
      </w:divBdr>
    </w:div>
    <w:div w:id="647125758">
      <w:bodyDiv w:val="1"/>
      <w:marLeft w:val="0"/>
      <w:marRight w:val="0"/>
      <w:marTop w:val="0"/>
      <w:marBottom w:val="0"/>
      <w:divBdr>
        <w:top w:val="none" w:sz="0" w:space="0" w:color="auto"/>
        <w:left w:val="none" w:sz="0" w:space="0" w:color="auto"/>
        <w:bottom w:val="none" w:sz="0" w:space="0" w:color="auto"/>
        <w:right w:val="none" w:sz="0" w:space="0" w:color="auto"/>
      </w:divBdr>
    </w:div>
    <w:div w:id="1683510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vestopedia.com/ask/answers/09/how-to-value-shares-in-private-company.as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terms/p/publiccompany.asp" TargetMode="External"/><Relationship Id="rId5" Type="http://schemas.openxmlformats.org/officeDocument/2006/relationships/numbering" Target="numbering.xml"/><Relationship Id="rId10" Type="http://schemas.openxmlformats.org/officeDocument/2006/relationships/hyperlink" Target="https://www.investopedia.com/terms/i/ipo.asp"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4358</Words>
  <Characters>24847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16</cp:revision>
  <dcterms:created xsi:type="dcterms:W3CDTF">2021-12-18T17:18:00Z</dcterms:created>
  <dcterms:modified xsi:type="dcterms:W3CDTF">2021-12-18T18:43:00Z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