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50DE3" w14:textId="1C68F765" w:rsidR="00B73CF2" w:rsidRDefault="00B73CF2" w:rsidP="00B73CF2">
      <w:pPr>
        <w:pStyle w:val="Heading2"/>
      </w:pPr>
      <w:r>
        <w:t>1</w:t>
      </w:r>
    </w:p>
    <w:p w14:paraId="53E524DB" w14:textId="77777777" w:rsidR="00B73CF2" w:rsidRPr="00DE33BD" w:rsidRDefault="00B73CF2" w:rsidP="00B73CF2">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8C3D834" w14:textId="77777777" w:rsidR="00B73CF2" w:rsidRPr="00DE33BD" w:rsidRDefault="00B73CF2" w:rsidP="00B73CF2">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C49F2EC" w14:textId="77777777" w:rsidR="00B73CF2" w:rsidRPr="00DE33BD" w:rsidRDefault="00B73CF2" w:rsidP="00B73CF2">
      <w:pPr>
        <w:rPr>
          <w:sz w:val="16"/>
          <w:szCs w:val="16"/>
        </w:rPr>
      </w:pPr>
      <w:r w:rsidRPr="00DE33BD">
        <w:rPr>
          <w:sz w:val="16"/>
          <w:szCs w:val="16"/>
        </w:rPr>
        <w:t>V. MITIGATION VS. REMOVAL</w:t>
      </w:r>
    </w:p>
    <w:p w14:paraId="2BF90BC5" w14:textId="77777777" w:rsidR="00B73CF2" w:rsidRPr="00DE33BD" w:rsidRDefault="00B73CF2" w:rsidP="00B73CF2">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0C455BB6" w14:textId="77777777" w:rsidR="00B73CF2" w:rsidRPr="00DD79F1" w:rsidRDefault="00B73CF2" w:rsidP="00B73CF2">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5BDC121C" w14:textId="77777777" w:rsidR="00B73CF2" w:rsidRPr="00DE33BD" w:rsidRDefault="00B73CF2" w:rsidP="00B73CF2">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4AF9078" w14:textId="77777777" w:rsidR="00B73CF2" w:rsidRPr="00DE33BD" w:rsidRDefault="00B73CF2" w:rsidP="00B73CF2">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7E460C54" w14:textId="77777777" w:rsidR="00B73CF2" w:rsidRPr="00DE33BD" w:rsidRDefault="00B73CF2" w:rsidP="00B73CF2">
      <w:pPr>
        <w:rPr>
          <w:rStyle w:val="StyleUnderline"/>
        </w:rPr>
      </w:pPr>
      <w:r w:rsidRPr="00DE33BD">
        <w:rPr>
          <w:rStyle w:val="StyleUnderline"/>
        </w:rPr>
        <w:t xml:space="preserve">A global effort to remediate debris would, by necessity, involve the three major spacefaring nations: </w:t>
      </w:r>
      <w:proofErr w:type="gramStart"/>
      <w:r w:rsidRPr="00DE33BD">
        <w:rPr>
          <w:rStyle w:val="StyleUnderline"/>
        </w:rPr>
        <w:t>the</w:t>
      </w:r>
      <w:proofErr w:type="gramEnd"/>
      <w:r w:rsidRPr="00DE33BD">
        <w:rPr>
          <w:rStyle w:val="StyleUnderline"/>
        </w:rPr>
        <w:t xml:space="preserv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6053F052" w14:textId="77777777" w:rsidR="00B73CF2" w:rsidRPr="00212B24" w:rsidRDefault="00B73CF2" w:rsidP="00B73CF2">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0F3752BB" w14:textId="77777777" w:rsidR="00B73CF2" w:rsidRDefault="00B73CF2" w:rsidP="00B73CF2">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586D9AB6" w14:textId="77777777" w:rsidR="00B73CF2" w:rsidRPr="00EB170E" w:rsidRDefault="00B73CF2" w:rsidP="00B73CF2">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7FD51C98" w14:textId="77777777" w:rsidR="00B73CF2" w:rsidRPr="00FE63F2" w:rsidRDefault="00B73CF2" w:rsidP="00B73CF2">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2DB6E350" w14:textId="77777777" w:rsidR="00B73CF2" w:rsidRPr="00FE63F2" w:rsidRDefault="00B73CF2" w:rsidP="00B73CF2">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C3B43B6" w14:textId="77777777" w:rsidR="00B73CF2" w:rsidRPr="00FE63F2" w:rsidRDefault="00B73CF2" w:rsidP="00B73CF2">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8A17A2D" w14:textId="77777777" w:rsidR="00B73CF2" w:rsidRPr="00FE63F2" w:rsidRDefault="00B73CF2" w:rsidP="00B73CF2">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15D9011E" w14:textId="77777777" w:rsidR="00B73CF2" w:rsidRPr="00E54708" w:rsidRDefault="00B73CF2" w:rsidP="00B73CF2">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410C9D89" w14:textId="77777777" w:rsidR="00B73CF2" w:rsidRPr="00FE63F2" w:rsidRDefault="00B73CF2" w:rsidP="00B73CF2">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1C046F1B" w14:textId="77777777" w:rsidR="00B73CF2" w:rsidRPr="00FE63F2" w:rsidRDefault="00B73CF2" w:rsidP="00B73CF2">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71272C95" w14:textId="77777777" w:rsidR="00B73CF2" w:rsidRPr="00FE63F2" w:rsidRDefault="00B73CF2" w:rsidP="00B73CF2">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06E63ECD" w14:textId="77777777" w:rsidR="00B73CF2" w:rsidRPr="007F01F5" w:rsidRDefault="00B73CF2" w:rsidP="00B73CF2">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4A03FCE3" w14:textId="77777777" w:rsidR="00B73CF2" w:rsidRDefault="00B73CF2" w:rsidP="00B73CF2">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16097612" w14:textId="77777777" w:rsidR="00B73CF2" w:rsidRDefault="00B73CF2" w:rsidP="00B73CF2">
      <w:pPr>
        <w:pStyle w:val="Heading4"/>
      </w:pPr>
      <w:r>
        <w:t>The PPWT prohibits space-based missile defense</w:t>
      </w:r>
    </w:p>
    <w:p w14:paraId="04034FB5" w14:textId="77777777" w:rsidR="00B73CF2" w:rsidRDefault="00B73CF2" w:rsidP="00B73CF2">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0E158AF4" w14:textId="77777777" w:rsidR="00B73CF2" w:rsidRPr="00CA7AC9" w:rsidRDefault="00B73CF2" w:rsidP="00B73CF2">
      <w:pPr>
        <w:rPr>
          <w:sz w:val="16"/>
          <w:szCs w:val="16"/>
        </w:rPr>
      </w:pPr>
      <w:r w:rsidRPr="00CA7AC9">
        <w:rPr>
          <w:sz w:val="16"/>
          <w:szCs w:val="16"/>
        </w:rPr>
        <w:t>B. Avoid Arms Control Traps in Space</w:t>
      </w:r>
    </w:p>
    <w:p w14:paraId="6B806EF5" w14:textId="77777777" w:rsidR="00B73CF2" w:rsidRPr="00212B24" w:rsidRDefault="00B73CF2" w:rsidP="00B73CF2">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392D8F50" w14:textId="77777777" w:rsidR="00B73CF2" w:rsidRPr="00212B24" w:rsidRDefault="00B73CF2" w:rsidP="00B73CF2">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23DFAF87" w14:textId="77777777" w:rsidR="00B73CF2" w:rsidRPr="00CA7AC9" w:rsidRDefault="00B73CF2" w:rsidP="00B73CF2">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75DA21D" w14:textId="77777777" w:rsidR="00B73CF2" w:rsidRPr="00CA7AC9" w:rsidRDefault="00B73CF2" w:rsidP="00B73CF2">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3E2104BB" w14:textId="77777777" w:rsidR="00B73CF2" w:rsidRPr="00212B24" w:rsidRDefault="00B73CF2" w:rsidP="00B73CF2">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13BF5DBE" w14:textId="77777777" w:rsidR="00B73CF2" w:rsidRDefault="00B73CF2" w:rsidP="00B73CF2">
      <w:pPr>
        <w:pStyle w:val="Heading4"/>
      </w:pPr>
      <w:r>
        <w:t>Causes rogue state missile threats---that escalates</w:t>
      </w:r>
    </w:p>
    <w:p w14:paraId="2F7BF367" w14:textId="77777777" w:rsidR="00B73CF2" w:rsidRPr="00826255" w:rsidRDefault="00B73CF2" w:rsidP="00B73CF2">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13584CB" w14:textId="77777777" w:rsidR="00B73CF2" w:rsidRPr="001C1B40" w:rsidRDefault="00B73CF2" w:rsidP="00B73CF2">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3D343970" w14:textId="77777777" w:rsidR="00B73CF2" w:rsidRPr="001C1B40" w:rsidRDefault="00B73CF2" w:rsidP="00B73CF2">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178C416D" w14:textId="77777777" w:rsidR="00B73CF2" w:rsidRPr="00422DF9" w:rsidRDefault="00B73CF2" w:rsidP="00B73CF2">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AB6ADDD" w14:textId="77777777" w:rsidR="00B73CF2" w:rsidRPr="00A86086" w:rsidRDefault="00B73CF2" w:rsidP="00B73CF2">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4D38EB20" w14:textId="77777777" w:rsidR="00B73CF2" w:rsidRPr="00587AC9" w:rsidRDefault="00B73CF2" w:rsidP="00B73CF2">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1BA0FD93" w14:textId="77777777" w:rsidR="00B73CF2" w:rsidRPr="00252179" w:rsidRDefault="00B73CF2" w:rsidP="00B73CF2">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0A2CA6CE" w14:textId="77777777" w:rsidR="00B73CF2" w:rsidRPr="00252179" w:rsidRDefault="00B73CF2" w:rsidP="00B73CF2">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1E78D6D" w14:textId="77777777" w:rsidR="00B73CF2" w:rsidRPr="00B73CF2" w:rsidRDefault="00B73CF2" w:rsidP="00B73CF2"/>
    <w:p w14:paraId="3E777745" w14:textId="1F641F52" w:rsidR="00B73CF2" w:rsidRDefault="00B73CF2" w:rsidP="00B73CF2">
      <w:pPr>
        <w:pStyle w:val="Heading2"/>
      </w:pPr>
      <w:r>
        <w:t>2</w:t>
      </w:r>
    </w:p>
    <w:p w14:paraId="312BBCAA" w14:textId="76D9625E" w:rsidR="00B73CF2" w:rsidRDefault="00B73CF2" w:rsidP="00B73CF2">
      <w:pPr>
        <w:pStyle w:val="Heading4"/>
      </w:pPr>
      <w:r>
        <w:t>States</w:t>
      </w:r>
      <w:r>
        <w:t xml:space="preserve"> ought to:</w:t>
      </w:r>
    </w:p>
    <w:p w14:paraId="75F1A5E3" w14:textId="77777777" w:rsidR="00B73CF2" w:rsidRPr="007529D5" w:rsidRDefault="00B73CF2" w:rsidP="00B73CF2">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275F764" w14:textId="77777777" w:rsidR="00B73CF2" w:rsidRPr="007529D5" w:rsidRDefault="00B73CF2" w:rsidP="00B73CF2">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12A08FF9" w14:textId="77777777" w:rsidR="00B73CF2" w:rsidRPr="007529D5" w:rsidRDefault="00B73CF2" w:rsidP="00B73CF2">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34BFF25D" w14:textId="77777777" w:rsidR="00B73CF2" w:rsidRPr="007529D5" w:rsidRDefault="00B73CF2" w:rsidP="00B73CF2"/>
    <w:p w14:paraId="42C1A863" w14:textId="77777777" w:rsidR="00B73CF2" w:rsidRPr="00DE27BE" w:rsidRDefault="00B73CF2" w:rsidP="00B73CF2">
      <w:pPr>
        <w:pStyle w:val="Heading4"/>
      </w:pPr>
      <w:r>
        <w:t xml:space="preserve">Solves the </w:t>
      </w:r>
      <w:proofErr w:type="spellStart"/>
      <w:r>
        <w:t>Aff</w:t>
      </w:r>
      <w:proofErr w:type="spellEnd"/>
      <w:r>
        <w:t>.</w:t>
      </w:r>
    </w:p>
    <w:p w14:paraId="1A65A633" w14:textId="77777777" w:rsidR="00B73CF2" w:rsidRPr="0050183F" w:rsidRDefault="00B73CF2" w:rsidP="00B73CF2">
      <w:pPr>
        <w:rPr>
          <w:szCs w:val="22"/>
        </w:rPr>
      </w:pPr>
      <w:hyperlink r:id="rId10"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48A5A9E6" w14:textId="77777777" w:rsidR="00B73CF2" w:rsidRDefault="00B73CF2" w:rsidP="00B73CF2"/>
    <w:p w14:paraId="1673BF50" w14:textId="77777777" w:rsidR="00B73CF2" w:rsidRDefault="00B73CF2" w:rsidP="00B73CF2"/>
    <w:p w14:paraId="717F22F9" w14:textId="77777777" w:rsidR="00B73CF2" w:rsidRPr="00DE33BD" w:rsidRDefault="00B73CF2" w:rsidP="00B73CF2"/>
    <w:p w14:paraId="356D8C2A" w14:textId="77777777" w:rsidR="00B73CF2" w:rsidRPr="00DE27BE" w:rsidRDefault="00B73CF2" w:rsidP="00B73CF2">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46A6FBB4" w14:textId="77777777" w:rsidR="00B73CF2" w:rsidRPr="00DE33BD" w:rsidRDefault="00B73CF2" w:rsidP="00B73CF2"/>
    <w:p w14:paraId="0F12F712" w14:textId="77777777" w:rsidR="00B73CF2" w:rsidRPr="00DE27BE" w:rsidRDefault="00B73CF2" w:rsidP="00B73CF2"/>
    <w:p w14:paraId="659D165F" w14:textId="77777777" w:rsidR="00B73CF2" w:rsidRDefault="00B73CF2" w:rsidP="00B73CF2">
      <w:pPr>
        <w:pStyle w:val="Heading4"/>
        <w:rPr>
          <w:rFonts w:cs="Calibri"/>
        </w:rPr>
      </w:pPr>
      <w:r>
        <w:rPr>
          <w:rFonts w:cs="Calibri"/>
        </w:rPr>
        <w:t>That competes ---</w:t>
      </w:r>
    </w:p>
    <w:p w14:paraId="56703A7D" w14:textId="77777777" w:rsidR="00B73CF2" w:rsidRDefault="00B73CF2" w:rsidP="00B73CF2">
      <w:pPr>
        <w:pStyle w:val="Heading4"/>
      </w:pPr>
      <w:r>
        <w:t>1] Widespread support for OST overhaul means a new treaty is likely---top military leaders are pushing it.</w:t>
      </w:r>
    </w:p>
    <w:p w14:paraId="2A80B08B" w14:textId="77777777" w:rsidR="00B73CF2" w:rsidRPr="00CF7516" w:rsidRDefault="00B73CF2" w:rsidP="00B73CF2">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260183E3" w14:textId="77777777" w:rsidR="00B73CF2" w:rsidRPr="00B63600" w:rsidRDefault="00B73CF2" w:rsidP="00B73CF2"/>
    <w:p w14:paraId="232D6891" w14:textId="77777777" w:rsidR="00B73CF2" w:rsidRPr="00804FA2" w:rsidRDefault="00B73CF2" w:rsidP="00B73CF2"/>
    <w:p w14:paraId="201158FF" w14:textId="77777777" w:rsidR="00B73CF2" w:rsidRPr="00CF7516" w:rsidRDefault="00B73CF2" w:rsidP="00B73CF2">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548FEBB4" w14:textId="77777777" w:rsidR="00B73CF2" w:rsidRPr="00CF7516" w:rsidRDefault="00B73CF2" w:rsidP="00B73CF2">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305233A8" w14:textId="77777777" w:rsidR="00B73CF2" w:rsidRPr="00CF7516" w:rsidRDefault="00B73CF2" w:rsidP="00B73CF2">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5C9470A6" w14:textId="77777777" w:rsidR="00B73CF2" w:rsidRPr="00CF7516" w:rsidRDefault="00B73CF2" w:rsidP="00B73CF2">
      <w:pPr>
        <w:rPr>
          <w:szCs w:val="22"/>
        </w:rPr>
      </w:pPr>
      <w:r w:rsidRPr="00CF7516">
        <w:rPr>
          <w:szCs w:val="22"/>
        </w:rPr>
        <w:t>The year-long study, </w:t>
      </w:r>
      <w:hyperlink r:id="rId14" w:history="1">
        <w:r w:rsidRPr="00CF7516">
          <w:rPr>
            <w:rStyle w:val="Hyperlink"/>
            <w:rFonts w:eastAsiaTheme="majorEastAsia"/>
            <w:szCs w:val="22"/>
          </w:rPr>
          <w:t xml:space="preserve">“The Future of Security </w:t>
        </w:r>
        <w:proofErr w:type="gramStart"/>
        <w:r w:rsidRPr="00CF7516">
          <w:rPr>
            <w:rStyle w:val="Hyperlink"/>
            <w:rFonts w:eastAsiaTheme="majorEastAsia"/>
            <w:szCs w:val="22"/>
          </w:rPr>
          <w:t>In</w:t>
        </w:r>
        <w:proofErr w:type="gramEnd"/>
        <w:r w:rsidRPr="00CF7516">
          <w:rPr>
            <w:rStyle w:val="Hyperlink"/>
            <w:rFonts w:eastAsiaTheme="majorEastAsia"/>
            <w:szCs w:val="22"/>
          </w:rPr>
          <w:t xml:space="preserve">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45B2681F" w14:textId="77777777" w:rsidR="00B73CF2" w:rsidRPr="00CF7516" w:rsidRDefault="00B73CF2" w:rsidP="00B73CF2">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6851429A" w14:textId="77777777" w:rsidR="00B73CF2" w:rsidRDefault="00B73CF2" w:rsidP="00B73CF2">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107509E1" w14:textId="77777777" w:rsidR="00B73CF2" w:rsidRDefault="00B73CF2" w:rsidP="00B73CF2">
      <w:pPr>
        <w:pStyle w:val="Heading4"/>
      </w:pPr>
      <w:r>
        <w:t>2] Space law is typically treaty-based---Russian and Chinese proposals prove.</w:t>
      </w:r>
    </w:p>
    <w:p w14:paraId="7508C0D8" w14:textId="77777777" w:rsidR="00B73CF2" w:rsidRDefault="00B73CF2" w:rsidP="00B73CF2">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6BDB22F1" w14:textId="77777777" w:rsidR="00B73CF2" w:rsidRPr="00937040" w:rsidRDefault="00B73CF2" w:rsidP="00B73CF2">
      <w:pPr>
        <w:rPr>
          <w:szCs w:val="22"/>
        </w:rPr>
      </w:pPr>
    </w:p>
    <w:p w14:paraId="50D856C9" w14:textId="77777777" w:rsidR="00B73CF2" w:rsidRPr="00477939" w:rsidRDefault="00B73CF2" w:rsidP="00B73CF2">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168631C4" w14:textId="77777777" w:rsidR="00B73CF2" w:rsidRPr="00477939" w:rsidRDefault="00B73CF2" w:rsidP="00B73CF2">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352FF064" w14:textId="77777777" w:rsidR="00B73CF2" w:rsidRPr="00477939" w:rsidRDefault="00B73CF2" w:rsidP="00B73CF2">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0B25EB0C" w14:textId="77777777" w:rsidR="00B73CF2" w:rsidRPr="00477939" w:rsidRDefault="00B73CF2" w:rsidP="00B73CF2">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48B6E01C" w14:textId="77777777" w:rsidR="00B73CF2" w:rsidRPr="00477939" w:rsidRDefault="00B73CF2" w:rsidP="00B73CF2">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2AC06738" w14:textId="77777777" w:rsidR="00B73CF2" w:rsidRDefault="00B73CF2" w:rsidP="00B73CF2">
      <w:pPr>
        <w:pStyle w:val="Heading4"/>
      </w:pPr>
      <w:r>
        <w:t>3] Treaties are the foundation of space law.</w:t>
      </w:r>
    </w:p>
    <w:p w14:paraId="3244890A" w14:textId="77777777" w:rsidR="00B73CF2" w:rsidRPr="00937040" w:rsidRDefault="00B73CF2" w:rsidP="00B73CF2">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0A4A193B" w14:textId="77777777" w:rsidR="00B73CF2" w:rsidRPr="00937040" w:rsidRDefault="00B73CF2" w:rsidP="00B73CF2"/>
    <w:p w14:paraId="57B6A2AE" w14:textId="77777777" w:rsidR="00B73CF2" w:rsidRPr="00253B27" w:rsidRDefault="00B73CF2" w:rsidP="00B73CF2">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48BDA89" w14:textId="77777777" w:rsidR="00B73CF2" w:rsidRDefault="00B73CF2" w:rsidP="00B73CF2"/>
    <w:p w14:paraId="544B6DC5" w14:textId="77777777" w:rsidR="00B73CF2" w:rsidRPr="00840343" w:rsidRDefault="00B73CF2" w:rsidP="00B73CF2"/>
    <w:p w14:paraId="6CBEFAA7" w14:textId="77777777" w:rsidR="00B73CF2" w:rsidRPr="00B63600" w:rsidRDefault="00B73CF2" w:rsidP="00B73CF2">
      <w:pPr>
        <w:rPr>
          <w:szCs w:val="22"/>
        </w:rPr>
      </w:pPr>
    </w:p>
    <w:p w14:paraId="75A2BB92" w14:textId="77777777" w:rsidR="00B73CF2" w:rsidRPr="00DE33BD" w:rsidRDefault="00B73CF2" w:rsidP="00B73CF2">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7F02C73F" w14:textId="77777777" w:rsidR="00B73CF2" w:rsidRPr="00DE33BD" w:rsidRDefault="00B73CF2" w:rsidP="00B73CF2">
      <w:r w:rsidRPr="00DE33BD">
        <w:rPr>
          <w:rStyle w:val="Style13ptBold"/>
        </w:rPr>
        <w:t>Koplow, 9</w:t>
      </w:r>
      <w:r w:rsidRPr="00DE33BD">
        <w:t xml:space="preserve"> – Professor of Law, Georgetown University Law Center.</w:t>
      </w:r>
    </w:p>
    <w:p w14:paraId="28A2BBCB" w14:textId="77777777" w:rsidR="00B73CF2" w:rsidRPr="00DE33BD" w:rsidRDefault="00B73CF2" w:rsidP="00B73CF2">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060B10A0" w14:textId="77777777" w:rsidR="00B73CF2" w:rsidRPr="00DE33BD" w:rsidRDefault="00B73CF2" w:rsidP="00B73CF2"/>
    <w:p w14:paraId="71896E3D" w14:textId="77777777" w:rsidR="00B73CF2" w:rsidRPr="00DE33BD" w:rsidRDefault="00B73CF2" w:rsidP="00B73CF2"/>
    <w:p w14:paraId="40570921" w14:textId="77777777" w:rsidR="00B73CF2" w:rsidRPr="00DE33BD" w:rsidRDefault="00B73CF2" w:rsidP="00B73CF2">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2C2BAACA" w14:textId="517FF582" w:rsidR="00B73CF2" w:rsidRPr="004C35A1" w:rsidRDefault="00B73CF2" w:rsidP="00B73CF2">
      <w:pPr>
        <w:rPr>
          <w:b/>
          <w:iCs/>
          <w:u w:val="single"/>
          <w:bdr w:val="single" w:sz="12" w:space="0" w:color="auto"/>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7B6CBB0" w14:textId="1AB100A6" w:rsidR="00B73CF2" w:rsidRDefault="00B73CF2" w:rsidP="00B73CF2"/>
    <w:p w14:paraId="13728E63" w14:textId="2CCD3AA4" w:rsidR="00B73CF2" w:rsidRDefault="00B73CF2" w:rsidP="00B73CF2"/>
    <w:p w14:paraId="584F74C7" w14:textId="7B3FCFE7" w:rsidR="00B73CF2" w:rsidRDefault="00B73CF2" w:rsidP="00B73CF2"/>
    <w:p w14:paraId="5A17DA69" w14:textId="600B66C9" w:rsidR="00B73CF2" w:rsidRDefault="00B73CF2" w:rsidP="00B73CF2">
      <w:pPr>
        <w:pStyle w:val="Heading2"/>
      </w:pPr>
      <w:r>
        <w:t>Case</w:t>
      </w:r>
    </w:p>
    <w:p w14:paraId="3073262E" w14:textId="0F2CD568" w:rsidR="00B73CF2" w:rsidRPr="00B73CF2" w:rsidRDefault="00B73CF2" w:rsidP="00B73CF2">
      <w:pPr>
        <w:pStyle w:val="Heading3"/>
      </w:pPr>
      <w:r>
        <w:t>A2: OST/ILAW</w:t>
      </w:r>
    </w:p>
    <w:p w14:paraId="04C3C43A" w14:textId="77777777" w:rsidR="00102D1D" w:rsidRPr="00DE3E0D" w:rsidRDefault="00102D1D" w:rsidP="00102D1D">
      <w:pPr>
        <w:pStyle w:val="Heading4"/>
        <w:rPr>
          <w:rFonts w:cs="Calibri"/>
        </w:rPr>
      </w:pPr>
      <w:r w:rsidRPr="00DE3E0D">
        <w:rPr>
          <w:rFonts w:cs="Calibri"/>
        </w:rPr>
        <w:t xml:space="preserve">Outer Space Laws are unclear – private corporations are still capable of escaping due to loopholes in the plan. </w:t>
      </w:r>
    </w:p>
    <w:p w14:paraId="654B9625" w14:textId="77777777" w:rsidR="00102D1D" w:rsidRPr="00DE3E0D" w:rsidRDefault="00102D1D" w:rsidP="00102D1D">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1FCC08AC" w14:textId="77777777" w:rsidR="00102D1D" w:rsidRPr="00DE3E0D" w:rsidRDefault="00102D1D" w:rsidP="00102D1D">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20"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7175724B" w14:textId="77777777" w:rsidR="00102D1D" w:rsidRPr="00DE3E0D" w:rsidRDefault="00102D1D" w:rsidP="00102D1D">
      <w:pPr>
        <w:rPr>
          <w:rStyle w:val="Emphasis"/>
        </w:rPr>
      </w:pPr>
      <w:r w:rsidRPr="00DE3E0D">
        <w:rPr>
          <w:sz w:val="16"/>
        </w:rPr>
        <w:t>The “Outer Space Treaty” espouses communal themes in characterizing space as the “province of all mankind,” the “common heritage of mankind” and to the “benefit of all countries</w:t>
      </w:r>
      <w:proofErr w:type="gramStart"/>
      <w:r w:rsidRPr="00DE3E0D">
        <w:rPr>
          <w:sz w:val="16"/>
        </w:rPr>
        <w:t>.”[</w:t>
      </w:r>
      <w:proofErr w:type="gramEnd"/>
      <w:r w:rsidRPr="00DE3E0D">
        <w:rPr>
          <w:sz w:val="16"/>
        </w:rPr>
        <w:t xml:space="preserve">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41AE8FD9" w14:textId="77777777" w:rsidR="00102D1D" w:rsidRPr="00DE3E0D" w:rsidRDefault="00102D1D" w:rsidP="00102D1D">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60D1412F" w14:textId="77777777" w:rsidR="00102D1D" w:rsidRPr="00DE3E0D" w:rsidRDefault="00102D1D" w:rsidP="00102D1D">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6E2461AB" w14:textId="77777777" w:rsidR="00102D1D" w:rsidRDefault="00102D1D" w:rsidP="00B73CF2">
      <w:pPr>
        <w:spacing w:line="256" w:lineRule="auto"/>
      </w:pPr>
    </w:p>
    <w:p w14:paraId="119DFA56" w14:textId="0281E683" w:rsidR="00B73CF2" w:rsidRDefault="00B73CF2" w:rsidP="00B73CF2"/>
    <w:p w14:paraId="4C74F02D" w14:textId="5BAACD7B" w:rsidR="00B73CF2" w:rsidRDefault="00B73CF2" w:rsidP="00B73CF2">
      <w:pPr>
        <w:pStyle w:val="Heading3"/>
      </w:pPr>
      <w:r>
        <w:t xml:space="preserve">A2: </w:t>
      </w:r>
      <w:r w:rsidR="004C35A1">
        <w:t>Space Debris</w:t>
      </w:r>
    </w:p>
    <w:p w14:paraId="4299C2B9" w14:textId="59CE4160" w:rsidR="00102D1D" w:rsidRPr="00102D1D" w:rsidRDefault="00102D1D" w:rsidP="00102D1D">
      <w:pPr>
        <w:pStyle w:val="Heading4"/>
      </w:pPr>
      <w:r>
        <w:t xml:space="preserve">Top level – this contention contradicts the one above – </w:t>
      </w:r>
      <w:proofErr w:type="spellStart"/>
      <w:r>
        <w:t>tronchetti</w:t>
      </w:r>
      <w:proofErr w:type="spellEnd"/>
      <w:r>
        <w:t xml:space="preserve"> </w:t>
      </w:r>
      <w:proofErr w:type="spellStart"/>
      <w:r>
        <w:t>ev</w:t>
      </w:r>
      <w:proofErr w:type="spellEnd"/>
      <w:r>
        <w:t xml:space="preserve"> says we have been in space for 40 years – why haven’t these impacts happened already? They haven’t identified why the private sector is </w:t>
      </w:r>
      <w:proofErr w:type="spellStart"/>
      <w:r>
        <w:t>uq</w:t>
      </w:r>
      <w:proofErr w:type="spellEnd"/>
      <w:r>
        <w:t xml:space="preserve"> k2 space debris or these impacts</w:t>
      </w:r>
    </w:p>
    <w:p w14:paraId="593A9E01" w14:textId="77777777" w:rsidR="00B73CF2" w:rsidRPr="0084140D" w:rsidRDefault="00B73CF2" w:rsidP="00B73CF2">
      <w:pPr>
        <w:pStyle w:val="Heading4"/>
      </w:pPr>
      <w:r w:rsidRPr="0084140D">
        <w:t>The probability of satellite collision is low – current measures check</w:t>
      </w:r>
    </w:p>
    <w:p w14:paraId="38CC7291" w14:textId="77777777" w:rsidR="00B73CF2" w:rsidRPr="0084140D" w:rsidRDefault="00B73CF2" w:rsidP="00B73CF2">
      <w:pPr>
        <w:rPr>
          <w:rStyle w:val="Style13ptBold"/>
        </w:rPr>
      </w:pPr>
      <w:proofErr w:type="spellStart"/>
      <w:r w:rsidRPr="0084140D">
        <w:rPr>
          <w:rStyle w:val="Style13ptBold"/>
        </w:rPr>
        <w:t>Pultarova</w:t>
      </w:r>
      <w:proofErr w:type="spellEnd"/>
      <w:r w:rsidRPr="0084140D">
        <w:rPr>
          <w:rStyle w:val="Style13ptBold"/>
        </w:rPr>
        <w:t xml:space="preserve"> 21</w:t>
      </w:r>
    </w:p>
    <w:p w14:paraId="1653F53A" w14:textId="77777777" w:rsidR="00B73CF2" w:rsidRPr="0084140D" w:rsidRDefault="00B73CF2" w:rsidP="00B73CF2">
      <w:r w:rsidRPr="0084140D">
        <w:t xml:space="preserve">Tereza </w:t>
      </w:r>
      <w:proofErr w:type="spellStart"/>
      <w:r w:rsidRPr="0084140D">
        <w:t>Pultarova</w:t>
      </w:r>
      <w:proofErr w:type="spellEnd"/>
      <w:r w:rsidRPr="0084140D">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18 August 2021, “SpaceX </w:t>
      </w:r>
      <w:proofErr w:type="spellStart"/>
      <w:r w:rsidRPr="0084140D">
        <w:t>Starlink</w:t>
      </w:r>
      <w:proofErr w:type="spellEnd"/>
      <w:r w:rsidRPr="0084140D">
        <w:t xml:space="preserve"> satellites responsible for over half of close encounters in orbit, scientist says”, </w:t>
      </w:r>
      <w:hyperlink r:id="rId21" w:history="1">
        <w:r w:rsidRPr="0084140D">
          <w:rPr>
            <w:rStyle w:val="Hyperlink"/>
          </w:rPr>
          <w:t>https://www.space.com/spacex-starlink-satellite-collision-alerts-on-the-rise //</w:t>
        </w:r>
      </w:hyperlink>
      <w:r w:rsidRPr="0084140D">
        <w:t xml:space="preserve"> AK</w:t>
      </w:r>
    </w:p>
    <w:p w14:paraId="2DF36FAA" w14:textId="77777777" w:rsidR="00B73CF2" w:rsidRPr="0084140D" w:rsidRDefault="00B73CF2" w:rsidP="00B73CF2">
      <w:pPr>
        <w:rPr>
          <w:sz w:val="16"/>
        </w:rPr>
      </w:pPr>
      <w:proofErr w:type="spellStart"/>
      <w:r w:rsidRPr="0084140D">
        <w:rPr>
          <w:sz w:val="16"/>
        </w:rPr>
        <w:t>Siemak</w:t>
      </w:r>
      <w:proofErr w:type="spellEnd"/>
      <w:r w:rsidRPr="0084140D">
        <w:rPr>
          <w:sz w:val="16"/>
        </w:rPr>
        <w:t xml:space="preserve"> </w:t>
      </w:r>
      <w:proofErr w:type="spellStart"/>
      <w:r w:rsidRPr="0084140D">
        <w:rPr>
          <w:sz w:val="16"/>
        </w:rPr>
        <w:t>Hesar</w:t>
      </w:r>
      <w:proofErr w:type="spellEnd"/>
      <w:r w:rsidRPr="0084140D">
        <w:rPr>
          <w:sz w:val="16"/>
        </w:rPr>
        <w:t xml:space="preserve">, CEO and co-founder of Boulder, Colorado, based </w:t>
      </w:r>
      <w:proofErr w:type="spellStart"/>
      <w:r w:rsidRPr="0084140D">
        <w:rPr>
          <w:sz w:val="16"/>
        </w:rPr>
        <w:t>Kayhan</w:t>
      </w:r>
      <w:proofErr w:type="spellEnd"/>
      <w:r w:rsidRPr="0084140D">
        <w:rPr>
          <w:sz w:val="16"/>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 </w:t>
      </w:r>
      <w:r w:rsidRPr="0084140D">
        <w:rPr>
          <w:rStyle w:val="StyleUnderline"/>
          <w:highlight w:val="green"/>
        </w:rPr>
        <w:t>Out of</w:t>
      </w:r>
      <w:r w:rsidRPr="0084140D">
        <w:rPr>
          <w:rStyle w:val="StyleUnderline"/>
        </w:rPr>
        <w:t xml:space="preserve"> these </w:t>
      </w:r>
      <w:r w:rsidRPr="0084140D">
        <w:rPr>
          <w:rStyle w:val="StyleUnderline"/>
          <w:highlight w:val="green"/>
        </w:rPr>
        <w:t>300 alerts</w:t>
      </w:r>
      <w:r w:rsidRPr="0084140D">
        <w:rPr>
          <w:rStyle w:val="StyleUnderline"/>
        </w:rPr>
        <w:t xml:space="preserve">, </w:t>
      </w:r>
      <w:r w:rsidRPr="0084140D">
        <w:rPr>
          <w:rStyle w:val="StyleUnderline"/>
          <w:highlight w:val="green"/>
        </w:rPr>
        <w:t>up to ten might require operators to perform avoidance maneuvers</w:t>
      </w:r>
      <w:r w:rsidRPr="0084140D">
        <w:rPr>
          <w:rStyle w:val="StyleUnderline"/>
        </w:rPr>
        <w:t xml:space="preserve">, </w:t>
      </w:r>
      <w:proofErr w:type="spellStart"/>
      <w:r w:rsidRPr="0084140D">
        <w:rPr>
          <w:rStyle w:val="StyleUnderline"/>
        </w:rPr>
        <w:t>Hesar</w:t>
      </w:r>
      <w:proofErr w:type="spellEnd"/>
      <w:r w:rsidRPr="0084140D">
        <w:rPr>
          <w:rStyle w:val="StyleUnderline"/>
        </w:rPr>
        <w:t xml:space="preserve"> told Space.com</w:t>
      </w:r>
      <w:r w:rsidRPr="0084140D">
        <w:rPr>
          <w:sz w:val="16"/>
        </w:rPr>
        <w:t xml:space="preserve">. Advertisement </w:t>
      </w:r>
      <w:proofErr w:type="spellStart"/>
      <w:r w:rsidRPr="0084140D">
        <w:rPr>
          <w:sz w:val="16"/>
        </w:rPr>
        <w:t>Kayhan</w:t>
      </w:r>
      <w:proofErr w:type="spellEnd"/>
      <w:r w:rsidRPr="0084140D">
        <w:rPr>
          <w:sz w:val="16"/>
        </w:rPr>
        <w:t xml:space="preserve"> Space bases their estimates on data provided by the U.S. Space Surveillance Network. </w:t>
      </w:r>
      <w:r w:rsidRPr="0084140D">
        <w:rPr>
          <w:rStyle w:val="StyleUnderline"/>
        </w:rPr>
        <w:t xml:space="preserve">This network of radars and telescopes, managed by </w:t>
      </w:r>
      <w:r w:rsidRPr="0084140D">
        <w:rPr>
          <w:rStyle w:val="StyleUnderline"/>
          <w:highlight w:val="green"/>
        </w:rPr>
        <w:t>the U.S. Space Force</w:t>
      </w:r>
      <w:r w:rsidRPr="0084140D">
        <w:rPr>
          <w:rStyle w:val="StyleUnderline"/>
        </w:rPr>
        <w:t xml:space="preserve">, </w:t>
      </w:r>
      <w:r w:rsidRPr="0084140D">
        <w:rPr>
          <w:rStyle w:val="StyleUnderline"/>
          <w:highlight w:val="green"/>
        </w:rPr>
        <w:t>closely monitors about 30,000 live and defunct satellites</w:t>
      </w:r>
      <w:r w:rsidRPr="0084140D">
        <w:rPr>
          <w:rStyle w:val="StyleUnderline"/>
        </w:rPr>
        <w:t xml:space="preserve"> and pieces of debris down </w:t>
      </w:r>
      <w:r w:rsidRPr="0084140D">
        <w:rPr>
          <w:rStyle w:val="StyleUnderline"/>
          <w:highlight w:val="green"/>
        </w:rPr>
        <w:t>to the size of 4 inches</w:t>
      </w:r>
      <w:r w:rsidRPr="0084140D">
        <w:rPr>
          <w:rStyle w:val="StyleUnderline"/>
        </w:rPr>
        <w:t xml:space="preserve"> (10 centimeters) </w:t>
      </w:r>
      <w:r w:rsidRPr="0084140D">
        <w:rPr>
          <w:rStyle w:val="StyleUnderline"/>
          <w:highlight w:val="green"/>
        </w:rPr>
        <w:t>and provides</w:t>
      </w:r>
      <w:r w:rsidRPr="0084140D">
        <w:rPr>
          <w:rStyle w:val="StyleUnderline"/>
        </w:rPr>
        <w:t xml:space="preserve"> the most </w:t>
      </w:r>
      <w:r w:rsidRPr="0084140D">
        <w:rPr>
          <w:rStyle w:val="StyleUnderline"/>
          <w:highlight w:val="green"/>
        </w:rPr>
        <w:t>accurate location data</w:t>
      </w:r>
      <w:r w:rsidRPr="0084140D">
        <w:rPr>
          <w:rStyle w:val="StyleUnderline"/>
        </w:rPr>
        <w:t xml:space="preserve"> of the orbiting objects</w:t>
      </w:r>
      <w:r w:rsidRPr="0084140D">
        <w:rPr>
          <w:sz w:val="16"/>
        </w:rPr>
        <w:t xml:space="preserve">. The size of this catalog is expected to increase ten times in the near future, </w:t>
      </w:r>
      <w:proofErr w:type="spellStart"/>
      <w:r w:rsidRPr="0084140D">
        <w:rPr>
          <w:sz w:val="16"/>
        </w:rPr>
        <w:t>Hesar</w:t>
      </w:r>
      <w:proofErr w:type="spellEnd"/>
      <w:r w:rsidRPr="0084140D">
        <w:rPr>
          <w:sz w:val="16"/>
        </w:rPr>
        <w:t xml:space="preserve"> added, partly due to the growth of </w:t>
      </w:r>
      <w:proofErr w:type="spellStart"/>
      <w:r w:rsidRPr="0084140D">
        <w:rPr>
          <w:sz w:val="16"/>
        </w:rPr>
        <w:t>megaconstellations</w:t>
      </w:r>
      <w:proofErr w:type="spellEnd"/>
      <w:r w:rsidRPr="0084140D">
        <w:rPr>
          <w:sz w:val="16"/>
        </w:rPr>
        <w:t xml:space="preserve">, such as </w:t>
      </w:r>
      <w:proofErr w:type="spellStart"/>
      <w:r w:rsidRPr="0084140D">
        <w:rPr>
          <w:sz w:val="16"/>
        </w:rPr>
        <w:t>Starlink</w:t>
      </w:r>
      <w:proofErr w:type="spellEnd"/>
      <w:r w:rsidRPr="0084140D">
        <w:rPr>
          <w:sz w:val="16"/>
        </w:rPr>
        <w:t xml:space="preserve">, and partly as sensors improve and enable detection of even smaller objects. The more objects in the catalog mean more dangerously close encounters. "This problem is really getting out of control," </w:t>
      </w:r>
      <w:proofErr w:type="spellStart"/>
      <w:r w:rsidRPr="0084140D">
        <w:rPr>
          <w:sz w:val="16"/>
        </w:rPr>
        <w:t>Hesar</w:t>
      </w:r>
      <w:proofErr w:type="spellEnd"/>
      <w:r w:rsidRPr="0084140D">
        <w:rPr>
          <w:sz w:val="16"/>
        </w:rPr>
        <w:t xml:space="preserve"> said. "The processes that are currently in place are very manual, not scalable, and there is not enough information sharing between parties that might be affected if a collision happens." </w:t>
      </w:r>
      <w:proofErr w:type="spellStart"/>
      <w:r w:rsidRPr="0084140D">
        <w:rPr>
          <w:sz w:val="16"/>
        </w:rPr>
        <w:t>Hesar</w:t>
      </w:r>
      <w:proofErr w:type="spellEnd"/>
      <w:r w:rsidRPr="0084140D">
        <w:rPr>
          <w:sz w:val="16"/>
        </w:rPr>
        <w:t xml:space="preserve">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w:t>
      </w:r>
      <w:proofErr w:type="spellStart"/>
      <w:r w:rsidRPr="0084140D">
        <w:rPr>
          <w:sz w:val="16"/>
        </w:rPr>
        <w:t>neighbourhood</w:t>
      </w:r>
      <w:proofErr w:type="spellEnd"/>
      <w:r w:rsidRPr="0084140D">
        <w:rPr>
          <w:sz w:val="16"/>
        </w:rPr>
        <w:t xml:space="preserve">," </w:t>
      </w:r>
      <w:proofErr w:type="spellStart"/>
      <w:r w:rsidRPr="0084140D">
        <w:rPr>
          <w:sz w:val="16"/>
        </w:rPr>
        <w:t>Hesar</w:t>
      </w:r>
      <w:proofErr w:type="spellEnd"/>
      <w:r w:rsidRPr="0084140D">
        <w:rPr>
          <w:sz w:val="16"/>
        </w:rPr>
        <w:t xml:space="preserve"> said. </w:t>
      </w:r>
      <w:r w:rsidRPr="0084140D">
        <w:rPr>
          <w:rStyle w:val="StyleUnderline"/>
          <w:highlight w:val="green"/>
        </w:rPr>
        <w:t>Despite</w:t>
      </w:r>
      <w:r w:rsidRPr="0084140D">
        <w:rPr>
          <w:rStyle w:val="StyleUnderline"/>
        </w:rPr>
        <w:t xml:space="preserve"> the </w:t>
      </w:r>
      <w:r w:rsidRPr="0084140D">
        <w:rPr>
          <w:rStyle w:val="StyleUnderline"/>
          <w:highlight w:val="green"/>
        </w:rPr>
        <w:t>concerns</w:t>
      </w:r>
      <w:r w:rsidRPr="0084140D">
        <w:rPr>
          <w:rStyle w:val="StyleUnderline"/>
        </w:rPr>
        <w:t xml:space="preserve">, </w:t>
      </w:r>
      <w:r w:rsidRPr="0084140D">
        <w:rPr>
          <w:rStyle w:val="StyleUnderline"/>
          <w:highlight w:val="green"/>
        </w:rPr>
        <w:t>only three confirmed orbital collisions have happened so far</w:t>
      </w:r>
      <w:r w:rsidRPr="0084140D">
        <w:rPr>
          <w:sz w:val="16"/>
        </w:rPr>
        <w:t xml:space="preserve">.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84140D">
        <w:rPr>
          <w:sz w:val="16"/>
        </w:rPr>
        <w:t>Yunhai</w:t>
      </w:r>
      <w:proofErr w:type="spellEnd"/>
      <w:r w:rsidRPr="0084140D">
        <w:rPr>
          <w:sz w:val="16"/>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84140D">
        <w:rPr>
          <w:sz w:val="16"/>
        </w:rPr>
        <w:t>kilometres</w:t>
      </w:r>
      <w:proofErr w:type="spellEnd"/>
      <w:r w:rsidRPr="0084140D">
        <w:rPr>
          <w:sz w:val="16"/>
        </w:rPr>
        <w:t xml:space="preserve">). The incident spawned over 1,000 pieces of debris larger than 4 inches (10 cm). Many of these fragments were then involved in further orbital incidents. </w:t>
      </w:r>
    </w:p>
    <w:p w14:paraId="6F0F8C12" w14:textId="77777777" w:rsidR="00B73CF2" w:rsidRDefault="00B73CF2" w:rsidP="00B73CF2">
      <w:pPr>
        <w:rPr>
          <w:sz w:val="16"/>
        </w:rPr>
      </w:pPr>
    </w:p>
    <w:p w14:paraId="37E63AA6" w14:textId="77777777" w:rsidR="004C35A1" w:rsidRPr="0010587B" w:rsidRDefault="004C35A1" w:rsidP="004C35A1">
      <w:pPr>
        <w:rPr>
          <w:rFonts w:asciiTheme="minorHAnsi" w:hAnsiTheme="minorHAnsi" w:cstheme="minorHAnsi"/>
        </w:rPr>
      </w:pPr>
    </w:p>
    <w:p w14:paraId="7384799B" w14:textId="77777777" w:rsidR="004C35A1" w:rsidRDefault="004C35A1" w:rsidP="004C35A1">
      <w:pPr>
        <w:pStyle w:val="Heading4"/>
      </w:pPr>
      <w:r>
        <w:t>Thousands of satellites and a half-million objects in space now and only 15 collisions have ever happened.</w:t>
      </w:r>
    </w:p>
    <w:p w14:paraId="3C3A1E94" w14:textId="77777777" w:rsidR="004C35A1" w:rsidRDefault="004C35A1" w:rsidP="004C35A1">
      <w:r w:rsidRPr="00B42CC5">
        <w:rPr>
          <w:b/>
          <w:bCs/>
          <w:szCs w:val="26"/>
        </w:rPr>
        <w:t xml:space="preserve">Albrecht </w:t>
      </w:r>
      <w:r>
        <w:rPr>
          <w:b/>
          <w:bCs/>
          <w:szCs w:val="26"/>
        </w:rPr>
        <w:t xml:space="preserve">and Graziani </w:t>
      </w:r>
      <w:r w:rsidRPr="00B42CC5">
        <w:rPr>
          <w:b/>
          <w:bCs/>
          <w:szCs w:val="26"/>
        </w:rPr>
        <w:t>16</w:t>
      </w:r>
      <w:r>
        <w:t xml:space="preserve"> [</w:t>
      </w:r>
      <w:r w:rsidRPr="00B42CC5">
        <w:t>Mark Albrecht</w:t>
      </w:r>
      <w:r>
        <w:t xml:space="preserve"> and Paul Graziani</w:t>
      </w:r>
      <w:r w:rsidRPr="00B42CC5">
        <w:t xml:space="preserve">, 5-9-2016, "Op-ed," </w:t>
      </w:r>
      <w:proofErr w:type="spellStart"/>
      <w:r w:rsidRPr="00B42CC5">
        <w:t>SpaceNews</w:t>
      </w:r>
      <w:proofErr w:type="spellEnd"/>
      <w:r w:rsidRPr="00B42CC5">
        <w:t>, https://spacenews.com/op-ed-congested-space-is-a-serious-problem-solved-by-hard-work-not-hysteria/</w:t>
      </w:r>
      <w:r>
        <w:t>]//DDPT</w:t>
      </w:r>
    </w:p>
    <w:p w14:paraId="1CB3E391" w14:textId="77777777" w:rsidR="004C35A1" w:rsidRPr="00B42CC5" w:rsidRDefault="004C35A1" w:rsidP="004C35A1">
      <w:r w:rsidRPr="00B42CC5">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5E113D">
        <w:rPr>
          <w:rStyle w:val="StyleUnderline"/>
        </w:rPr>
        <w:t xml:space="preserve">Many in </w:t>
      </w:r>
      <w:r w:rsidRPr="00584252">
        <w:rPr>
          <w:rStyle w:val="Emphasis"/>
          <w:highlight w:val="green"/>
        </w:rPr>
        <w:t>the space community</w:t>
      </w:r>
      <w:r w:rsidRPr="005E113D">
        <w:rPr>
          <w:rStyle w:val="StyleUnderline"/>
        </w:rPr>
        <w:t xml:space="preserve"> have </w:t>
      </w:r>
      <w:r w:rsidRPr="00584252">
        <w:rPr>
          <w:rStyle w:val="Emphasis"/>
          <w:highlight w:val="green"/>
        </w:rPr>
        <w:t>called</w:t>
      </w:r>
      <w:r w:rsidRPr="00457E7C">
        <w:rPr>
          <w:rStyle w:val="Emphasis"/>
        </w:rPr>
        <w:t xml:space="preserve"> the collision hazard caused by </w:t>
      </w:r>
      <w:r w:rsidRPr="00584252">
        <w:rPr>
          <w:rStyle w:val="Emphasis"/>
          <w:highlight w:val="green"/>
        </w:rPr>
        <w:t>space debris a crisis</w:t>
      </w:r>
      <w:r w:rsidRPr="00457E7C">
        <w:rPr>
          <w:rStyle w:val="Emphasis"/>
        </w:rPr>
        <w:t>.</w:t>
      </w:r>
    </w:p>
    <w:p w14:paraId="3C2DF650" w14:textId="77777777" w:rsidR="004C35A1" w:rsidRPr="00B42CC5" w:rsidRDefault="004C35A1" w:rsidP="004C35A1">
      <w:r w:rsidRPr="00B42CC5">
        <w:t xml:space="preserve">Popular culture has embraced the risks of collisions in space in films like Gravity. Some </w:t>
      </w:r>
      <w:r w:rsidRPr="00584252">
        <w:rPr>
          <w:rStyle w:val="Emphasis"/>
          <w:highlight w:val="green"/>
        </w:rPr>
        <w:t>participants</w:t>
      </w:r>
      <w:r w:rsidRPr="00584252">
        <w:rPr>
          <w:rStyle w:val="StyleUnderline"/>
          <w:highlight w:val="green"/>
        </w:rPr>
        <w:t xml:space="preserve"> have </w:t>
      </w:r>
      <w:r w:rsidRPr="00584252">
        <w:rPr>
          <w:rStyle w:val="Emphasis"/>
          <w:highlight w:val="green"/>
        </w:rPr>
        <w:t>dramatized the issue</w:t>
      </w:r>
      <w:r w:rsidRPr="00457E7C">
        <w:rPr>
          <w:rStyle w:val="Emphasis"/>
        </w:rPr>
        <w:t xml:space="preserve"> by producing graphics of Earth</w:t>
      </w:r>
      <w:r w:rsidRPr="005E113D">
        <w:rPr>
          <w:rStyle w:val="StyleUnderline"/>
        </w:rPr>
        <w:t xml:space="preserve"> and its satellites, which make our planet look like a fuzzy marble</w:t>
      </w:r>
      <w:r w:rsidRPr="00B42CC5">
        <w:t>, almost obscured by a dense cloud of white pellets meant to conceptualize space congestion.</w:t>
      </w:r>
    </w:p>
    <w:p w14:paraId="4A4F1D39" w14:textId="77777777" w:rsidR="004C35A1" w:rsidRPr="00B42CC5" w:rsidRDefault="004C35A1" w:rsidP="004C35A1">
      <w:r w:rsidRPr="00B42CC5">
        <w:t xml:space="preserve">Unfortunately, for the sake of a good visual, </w:t>
      </w:r>
      <w:r w:rsidRPr="00584252">
        <w:rPr>
          <w:rStyle w:val="Emphasis"/>
          <w:highlight w:val="green"/>
        </w:rPr>
        <w:t>satellites</w:t>
      </w:r>
      <w:r w:rsidRPr="005E113D">
        <w:rPr>
          <w:rStyle w:val="StyleUnderline"/>
        </w:rPr>
        <w:t xml:space="preserve"> are </w:t>
      </w:r>
      <w:r w:rsidRPr="00584252">
        <w:rPr>
          <w:rStyle w:val="Emphasis"/>
          <w:highlight w:val="green"/>
        </w:rPr>
        <w:t>depicted as if they were hundreds of miles wide</w:t>
      </w:r>
      <w:r w:rsidRPr="00B42CC5">
        <w:t xml:space="preserve">, like the state of Pennsylvania (for the record, there are no space objects the size of Pennsylvania in orbit). Unfortunately, this is the rule, not the exception, and </w:t>
      </w:r>
      <w:r w:rsidRPr="00584252">
        <w:rPr>
          <w:rStyle w:val="StyleUnderline"/>
          <w:highlight w:val="green"/>
        </w:rPr>
        <w:t xml:space="preserve">almost all of </w:t>
      </w:r>
      <w:r w:rsidRPr="00584252">
        <w:rPr>
          <w:rStyle w:val="Emphasis"/>
          <w:highlight w:val="green"/>
        </w:rPr>
        <w:t>these articles</w:t>
      </w:r>
      <w:r w:rsidRPr="00457E7C">
        <w:rPr>
          <w:rStyle w:val="Emphasis"/>
        </w:rPr>
        <w:t xml:space="preserve">, movies, graphics, and simulations </w:t>
      </w:r>
      <w:r w:rsidRPr="00584252">
        <w:rPr>
          <w:rStyle w:val="Emphasis"/>
          <w:highlight w:val="green"/>
        </w:rPr>
        <w:t>are</w:t>
      </w:r>
      <w:r w:rsidRPr="00584252">
        <w:rPr>
          <w:rStyle w:val="StyleUnderline"/>
          <w:highlight w:val="green"/>
        </w:rPr>
        <w:t xml:space="preserve"> exaggerated and </w:t>
      </w:r>
      <w:r w:rsidRPr="00584252">
        <w:rPr>
          <w:rStyle w:val="Emphasis"/>
          <w:highlight w:val="green"/>
        </w:rPr>
        <w:t>misleading</w:t>
      </w:r>
      <w:r w:rsidRPr="00B42CC5">
        <w:t xml:space="preserve">. </w:t>
      </w:r>
      <w:r w:rsidRPr="00584252">
        <w:rPr>
          <w:rStyle w:val="Emphasis"/>
          <w:highlight w:val="green"/>
        </w:rPr>
        <w:t>Space debris</w:t>
      </w:r>
      <w:r w:rsidRPr="00B42CC5">
        <w:t xml:space="preserve"> and collision risk is real, but it </w:t>
      </w:r>
      <w:r w:rsidRPr="00584252">
        <w:rPr>
          <w:rStyle w:val="StyleUnderline"/>
          <w:highlight w:val="green"/>
        </w:rPr>
        <w:t xml:space="preserve">certainly </w:t>
      </w:r>
      <w:r w:rsidRPr="00584252">
        <w:rPr>
          <w:rStyle w:val="Emphasis"/>
          <w:highlight w:val="green"/>
        </w:rPr>
        <w:t>is not a crisis</w:t>
      </w:r>
      <w:r w:rsidRPr="00B42CC5">
        <w:t>.</w:t>
      </w:r>
    </w:p>
    <w:p w14:paraId="5820FC75" w14:textId="77777777" w:rsidR="004C35A1" w:rsidRPr="00B42CC5" w:rsidRDefault="004C35A1" w:rsidP="004C35A1">
      <w:proofErr w:type="gramStart"/>
      <w:r w:rsidRPr="00B42CC5">
        <w:t>So</w:t>
      </w:r>
      <w:proofErr w:type="gramEnd"/>
      <w:r w:rsidRPr="00B42CC5">
        <w:t xml:space="preserve"> what are the facts?</w:t>
      </w:r>
    </w:p>
    <w:p w14:paraId="0481EBCD" w14:textId="77777777" w:rsidR="004C35A1" w:rsidRPr="00CB1332" w:rsidRDefault="004C35A1" w:rsidP="004C35A1">
      <w:pPr>
        <w:rPr>
          <w:rStyle w:val="StyleUnderline"/>
        </w:rPr>
      </w:pPr>
      <w:r w:rsidRPr="00B42CC5">
        <w:t xml:space="preserve">On the positive side, </w:t>
      </w:r>
      <w:r w:rsidRPr="00584252">
        <w:rPr>
          <w:rStyle w:val="Emphasis"/>
          <w:highlight w:val="green"/>
        </w:rPr>
        <w:t>space is empty</w:t>
      </w:r>
      <w:r w:rsidRPr="00584252">
        <w:rPr>
          <w:rStyle w:val="StyleUnderline"/>
          <w:highlight w:val="green"/>
        </w:rPr>
        <w:t xml:space="preserve"> and</w:t>
      </w:r>
      <w:r w:rsidRPr="005E113D">
        <w:rPr>
          <w:rStyle w:val="StyleUnderline"/>
        </w:rPr>
        <w:t xml:space="preserve"> it is </w:t>
      </w:r>
      <w:r w:rsidRPr="00584252">
        <w:rPr>
          <w:rStyle w:val="StyleUnderline"/>
          <w:highlight w:val="green"/>
        </w:rPr>
        <w:t>vast</w:t>
      </w:r>
      <w:r w:rsidRPr="00B42CC5">
        <w:t xml:space="preserve">. At the altitude of the International Space Station, </w:t>
      </w:r>
      <w:r w:rsidRPr="00584252">
        <w:rPr>
          <w:rStyle w:val="StyleUnderline"/>
          <w:highlight w:val="green"/>
        </w:rPr>
        <w:t>one half a degree of Earth longitude is</w:t>
      </w:r>
      <w:r w:rsidRPr="005E113D">
        <w:rPr>
          <w:rStyle w:val="StyleUnderline"/>
        </w:rPr>
        <w:t xml:space="preserve"> almost </w:t>
      </w:r>
      <w:r w:rsidRPr="00584252">
        <w:rPr>
          <w:rStyle w:val="StyleUnderline"/>
          <w:highlight w:val="green"/>
        </w:rPr>
        <w:t>40 miles</w:t>
      </w:r>
      <w:r w:rsidRPr="005E113D">
        <w:rPr>
          <w:rStyle w:val="StyleUnderline"/>
        </w:rPr>
        <w:t xml:space="preserve"> long</w:t>
      </w:r>
      <w:r w:rsidRPr="00B42CC5">
        <w:t xml:space="preserve">. That same one half a degree at geostationary orbit, some 22,000 miles up is over 230 miles long. Generally, </w:t>
      </w:r>
      <w:r w:rsidRPr="00584252">
        <w:rPr>
          <w:rStyle w:val="Emphasis"/>
          <w:highlight w:val="green"/>
        </w:rPr>
        <w:t>we don’t</w:t>
      </w:r>
      <w:r w:rsidRPr="00CB1332">
        <w:rPr>
          <w:rStyle w:val="StyleUnderline"/>
        </w:rPr>
        <w:t xml:space="preserve"> intentionally </w:t>
      </w:r>
      <w:r w:rsidRPr="00584252">
        <w:rPr>
          <w:rStyle w:val="Emphasis"/>
          <w:highlight w:val="green"/>
        </w:rPr>
        <w:t>put satellites closer together than one-half degree</w:t>
      </w:r>
      <w:r w:rsidRPr="00B42CC5">
        <w:t xml:space="preserve">. That means </w:t>
      </w:r>
      <w:r w:rsidRPr="00CB1332">
        <w:rPr>
          <w:rStyle w:val="StyleUnderline"/>
        </w:rPr>
        <w:t xml:space="preserve">at geostationary orbit, </w:t>
      </w:r>
      <w:r w:rsidRPr="00457E7C">
        <w:rPr>
          <w:rStyle w:val="Emphasis"/>
        </w:rPr>
        <w:t>they are no closer than 11 times as far as the eye can see on flat ground</w:t>
      </w:r>
      <w:r w:rsidRPr="00CB1332">
        <w:rPr>
          <w:rStyle w:val="StyleUnderline"/>
        </w:rPr>
        <w:t xml:space="preserve"> or on the sea</w:t>
      </w:r>
      <w:r w:rsidRPr="00B42CC5">
        <w:t xml:space="preserve">: </w:t>
      </w:r>
      <w:r w:rsidRPr="00CB1332">
        <w:rPr>
          <w:rStyle w:val="StyleUnderline"/>
        </w:rPr>
        <w:t>That’s the horizon over the horizon 10 times over</w:t>
      </w:r>
      <w:r w:rsidRPr="00B42CC5">
        <w:t xml:space="preserve">. In addition, other than minute forces like solar winds and sparse bits of atmosphere that still exist 500 miles up, </w:t>
      </w:r>
      <w:r w:rsidRPr="00CB1332">
        <w:rPr>
          <w:rStyle w:val="StyleUnderline"/>
        </w:rPr>
        <w:t xml:space="preserve">nothing gets in the way of </w:t>
      </w:r>
      <w:r w:rsidRPr="00584252">
        <w:rPr>
          <w:rStyle w:val="Emphasis"/>
          <w:highlight w:val="green"/>
        </w:rPr>
        <w:t>orbiting objects</w:t>
      </w:r>
      <w:r w:rsidRPr="00CB1332">
        <w:rPr>
          <w:rStyle w:val="StyleUnderline"/>
        </w:rPr>
        <w:t xml:space="preserve"> and they </w:t>
      </w:r>
      <w:r w:rsidRPr="00584252">
        <w:rPr>
          <w:rStyle w:val="Emphasis"/>
          <w:highlight w:val="green"/>
        </w:rPr>
        <w:t>behave</w:t>
      </w:r>
      <w:r w:rsidRPr="00584252">
        <w:rPr>
          <w:rStyle w:val="StyleUnderline"/>
          <w:highlight w:val="green"/>
        </w:rPr>
        <w:t xml:space="preserve"> quite </w:t>
      </w:r>
      <w:r w:rsidRPr="00584252">
        <w:rPr>
          <w:rStyle w:val="Emphasis"/>
          <w:highlight w:val="green"/>
        </w:rPr>
        <w:t>predictably</w:t>
      </w:r>
      <w:r w:rsidRPr="00CB1332">
        <w:rPr>
          <w:rStyle w:val="StyleUnderline"/>
        </w:rPr>
        <w:t xml:space="preserve">. The location of </w:t>
      </w:r>
      <w:r w:rsidRPr="00584252">
        <w:rPr>
          <w:rStyle w:val="Emphasis"/>
          <w:highlight w:val="green"/>
        </w:rPr>
        <w:t xml:space="preserve">the smallest spacecraft can be predicated within </w:t>
      </w:r>
      <w:proofErr w:type="gramStart"/>
      <w:r w:rsidRPr="00457E7C">
        <w:rPr>
          <w:rStyle w:val="StyleUnderline"/>
        </w:rPr>
        <w:t xml:space="preserve">a </w:t>
      </w:r>
      <w:r w:rsidRPr="00584252">
        <w:rPr>
          <w:rStyle w:val="Emphasis"/>
          <w:highlight w:val="green"/>
        </w:rPr>
        <w:t>1,000 feet</w:t>
      </w:r>
      <w:proofErr w:type="gramEnd"/>
      <w:r w:rsidRPr="00584252">
        <w:rPr>
          <w:rStyle w:val="StyleUnderline"/>
          <w:highlight w:val="green"/>
        </w:rPr>
        <w:t>, 24 hours in advance.</w:t>
      </w:r>
    </w:p>
    <w:p w14:paraId="073FBC0B" w14:textId="77777777" w:rsidR="004C35A1" w:rsidRDefault="004C35A1" w:rsidP="004C35A1">
      <w:pPr>
        <w:rPr>
          <w:rStyle w:val="StyleUnderline"/>
        </w:rPr>
      </w:pPr>
      <w:r w:rsidRPr="00B42CC5">
        <w:t xml:space="preserve">Since we first started placing objects into space </w:t>
      </w:r>
      <w:r w:rsidRPr="00CB1332">
        <w:rPr>
          <w:rStyle w:val="StyleUnderline"/>
        </w:rPr>
        <w:t xml:space="preserve">there have been </w:t>
      </w:r>
      <w:r w:rsidRPr="00584252">
        <w:rPr>
          <w:rStyle w:val="Emphasis"/>
          <w:highlight w:val="green"/>
        </w:rPr>
        <w:t>11 known low Earth orbit collisions</w:t>
      </w:r>
      <w:r w:rsidRPr="00CB1332">
        <w:rPr>
          <w:rStyle w:val="StyleUnderline"/>
        </w:rPr>
        <w:t xml:space="preserve">, and </w:t>
      </w:r>
      <w:r w:rsidRPr="00584252">
        <w:rPr>
          <w:rStyle w:val="Emphasis"/>
          <w:highlight w:val="green"/>
        </w:rPr>
        <w:t>three</w:t>
      </w:r>
      <w:r w:rsidRPr="00CB1332">
        <w:rPr>
          <w:rStyle w:val="StyleUnderline"/>
        </w:rPr>
        <w:t xml:space="preserve"> known collisions </w:t>
      </w:r>
      <w:r w:rsidRPr="00584252">
        <w:rPr>
          <w:rStyle w:val="StyleUnderline"/>
          <w:highlight w:val="green"/>
        </w:rPr>
        <w:t xml:space="preserve">at </w:t>
      </w:r>
      <w:r w:rsidRPr="00584252">
        <w:rPr>
          <w:rStyle w:val="Emphasis"/>
          <w:highlight w:val="green"/>
        </w:rPr>
        <w:t>geostationary orbit</w:t>
      </w:r>
      <w:r w:rsidRPr="00B42CC5">
        <w:t xml:space="preserve">. Think of it: </w:t>
      </w:r>
      <w:r w:rsidRPr="00584252">
        <w:rPr>
          <w:rStyle w:val="StyleUnderline"/>
          <w:highlight w:val="green"/>
        </w:rPr>
        <w:t>135 space shuttle flights</w:t>
      </w:r>
      <w:r w:rsidRPr="00CB1332">
        <w:rPr>
          <w:rStyle w:val="StyleUnderline"/>
        </w:rPr>
        <w:t xml:space="preserve">, all of </w:t>
      </w:r>
      <w:r w:rsidRPr="00584252">
        <w:rPr>
          <w:rStyle w:val="StyleUnderline"/>
          <w:highlight w:val="green"/>
        </w:rPr>
        <w:t>the Apollo</w:t>
      </w:r>
      <w:r w:rsidRPr="00CB1332">
        <w:rPr>
          <w:rStyle w:val="StyleUnderline"/>
        </w:rPr>
        <w:t xml:space="preserve">, </w:t>
      </w:r>
      <w:r w:rsidRPr="00584252">
        <w:rPr>
          <w:rStyle w:val="StyleUnderline"/>
          <w:highlight w:val="green"/>
        </w:rPr>
        <w:t>Gemini and Mercury flights</w:t>
      </w:r>
      <w:r w:rsidRPr="00CB1332">
        <w:rPr>
          <w:rStyle w:val="StyleUnderline"/>
        </w:rPr>
        <w:t xml:space="preserve">, hundreds of </w:t>
      </w:r>
      <w:r w:rsidRPr="00584252">
        <w:rPr>
          <w:rStyle w:val="StyleUnderline"/>
          <w:highlight w:val="green"/>
        </w:rPr>
        <w:t>telecommunications satellites</w:t>
      </w:r>
      <w:r w:rsidRPr="00CB1332">
        <w:rPr>
          <w:rStyle w:val="StyleUnderline"/>
        </w:rPr>
        <w:t xml:space="preserve">, </w:t>
      </w:r>
      <w:r w:rsidRPr="00584252">
        <w:rPr>
          <w:rStyle w:val="Emphasis"/>
          <w:highlight w:val="green"/>
        </w:rPr>
        <w:t>1,300 functioning satellites</w:t>
      </w:r>
      <w:r w:rsidRPr="00CB1332">
        <w:rPr>
          <w:rStyle w:val="StyleUnderline"/>
        </w:rPr>
        <w:t xml:space="preserve"> on orbit today, </w:t>
      </w:r>
      <w:r w:rsidRPr="00584252">
        <w:rPr>
          <w:rStyle w:val="Emphasis"/>
          <w:highlight w:val="green"/>
        </w:rPr>
        <w:t>half a million total objects in space</w:t>
      </w:r>
      <w:r w:rsidRPr="00CB1332">
        <w:rPr>
          <w:rStyle w:val="StyleUnderline"/>
        </w:rPr>
        <w:t xml:space="preserve"> larger than a marble, and </w:t>
      </w:r>
      <w:r w:rsidRPr="00584252">
        <w:rPr>
          <w:rStyle w:val="Emphasis"/>
          <w:highlight w:val="green"/>
        </w:rPr>
        <w:t>fewer than 15</w:t>
      </w:r>
      <w:r w:rsidRPr="00584252">
        <w:rPr>
          <w:rStyle w:val="StyleUnderline"/>
          <w:highlight w:val="green"/>
        </w:rPr>
        <w:t xml:space="preserve"> known </w:t>
      </w:r>
      <w:r w:rsidRPr="00584252">
        <w:rPr>
          <w:rStyle w:val="Emphasis"/>
          <w:highlight w:val="green"/>
        </w:rPr>
        <w:t>collisions</w:t>
      </w:r>
      <w:r w:rsidRPr="00CB1332">
        <w:rPr>
          <w:rStyle w:val="StyleUnderline"/>
        </w:rPr>
        <w:t>. Why do people worry?</w:t>
      </w:r>
    </w:p>
    <w:p w14:paraId="5345D1A8" w14:textId="77777777" w:rsidR="004C35A1" w:rsidRDefault="004C35A1" w:rsidP="00B73CF2">
      <w:pPr>
        <w:rPr>
          <w:rStyle w:val="StyleUnderline"/>
        </w:rPr>
      </w:pPr>
    </w:p>
    <w:p w14:paraId="61DF50A9" w14:textId="77777777" w:rsidR="00B73CF2" w:rsidRPr="00B73CF2" w:rsidRDefault="00B73CF2" w:rsidP="00B73CF2"/>
    <w:sectPr w:rsidR="00B73CF2" w:rsidRPr="00B73C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3C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D1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5A1"/>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5A6"/>
    <w:rsid w:val="00B3569C"/>
    <w:rsid w:val="00B43676"/>
    <w:rsid w:val="00B5602D"/>
    <w:rsid w:val="00B60125"/>
    <w:rsid w:val="00B6656B"/>
    <w:rsid w:val="00B71625"/>
    <w:rsid w:val="00B73CF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36E6BB"/>
  <w14:defaultImageDpi w14:val="300"/>
  <w15:docId w15:val="{C2A9B92D-751C-BB4C-B736-FB2A5D3E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3CF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73C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3C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3C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73CF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73C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3CF2"/>
  </w:style>
  <w:style w:type="character" w:customStyle="1" w:styleId="Heading1Char">
    <w:name w:val="Heading 1 Char"/>
    <w:aliases w:val="Pocket Char"/>
    <w:basedOn w:val="DefaultParagraphFont"/>
    <w:link w:val="Heading1"/>
    <w:uiPriority w:val="9"/>
    <w:rsid w:val="00B73C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3C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3CF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B73C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3CF2"/>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B73CF2"/>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B73CF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73CF2"/>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NoSpacing"/>
    <w:uiPriority w:val="99"/>
    <w:unhideWhenUsed/>
    <w:rsid w:val="00B73CF2"/>
    <w:rPr>
      <w:color w:val="auto"/>
      <w:u w:val="none"/>
    </w:rPr>
  </w:style>
  <w:style w:type="paragraph" w:styleId="DocumentMap">
    <w:name w:val="Document Map"/>
    <w:basedOn w:val="Normal"/>
    <w:link w:val="DocumentMapChar"/>
    <w:uiPriority w:val="99"/>
    <w:semiHidden/>
    <w:unhideWhenUsed/>
    <w:rsid w:val="00B73C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3CF2"/>
    <w:rPr>
      <w:rFonts w:ascii="Lucida Grande" w:hAnsi="Lucida Grande" w:cs="Lucida Grande"/>
    </w:rPr>
  </w:style>
  <w:style w:type="paragraph" w:styleId="BalloonText">
    <w:name w:val="Balloon Text"/>
    <w:basedOn w:val="Normal"/>
    <w:link w:val="BalloonTextChar"/>
    <w:uiPriority w:val="99"/>
    <w:semiHidden/>
    <w:unhideWhenUsed/>
    <w:rsid w:val="00B73CF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3CF2"/>
    <w:rPr>
      <w:rFonts w:ascii="Times New Roman" w:hAnsi="Times New Roman" w:cs="Times New Roman"/>
      <w:sz w:val="18"/>
      <w:szCs w:val="18"/>
    </w:rPr>
  </w:style>
  <w:style w:type="paragraph" w:customStyle="1" w:styleId="textbold">
    <w:name w:val="text bold"/>
    <w:basedOn w:val="Normal"/>
    <w:link w:val="Emphasis"/>
    <w:uiPriority w:val="20"/>
    <w:qFormat/>
    <w:rsid w:val="00B73CF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B73CF2"/>
    <w:rPr>
      <w:b/>
      <w:bCs/>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C35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3" Type="http://schemas.openxmlformats.org/officeDocument/2006/relationships/customXml" Target="../customXml/item3.xml"/><Relationship Id="rId21" Type="http://schemas.openxmlformats.org/officeDocument/2006/relationships/hyperlink" Target="https://www.space.com/spacex-starlink-satellite-collision-alerts-on-the-rise%20//" TargetMode="Externa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www.fr.com/fish-litigation/ip-rights-outer-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23" Type="http://schemas.openxmlformats.org/officeDocument/2006/relationships/theme" Target="theme/theme1.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6384</Words>
  <Characters>36389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1</cp:revision>
  <dcterms:created xsi:type="dcterms:W3CDTF">2022-01-29T13:37:00Z</dcterms:created>
  <dcterms:modified xsi:type="dcterms:W3CDTF">2022-01-29T14:10:00Z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