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50E2B" w14:textId="77777777" w:rsidR="0045682E" w:rsidRDefault="0045682E" w:rsidP="0045682E">
      <w:pPr>
        <w:pStyle w:val="Heading1"/>
      </w:pPr>
      <w:r>
        <w:t xml:space="preserve">R4 Crestian </w:t>
      </w:r>
    </w:p>
    <w:p w14:paraId="256D4318" w14:textId="77777777" w:rsidR="0045682E" w:rsidRDefault="0045682E" w:rsidP="0045682E">
      <w:pPr>
        <w:pStyle w:val="Heading2"/>
      </w:pPr>
      <w:r>
        <w:t>1</w:t>
      </w:r>
    </w:p>
    <w:p w14:paraId="038888F4" w14:textId="1BCEE832" w:rsidR="0045682E" w:rsidRDefault="0045682E" w:rsidP="0045682E">
      <w:pPr>
        <w:pStyle w:val="Heading4"/>
      </w:pPr>
      <w:r>
        <w:t xml:space="preserve">Interpretation: </w:t>
      </w:r>
      <w:r>
        <w:t>the af</w:t>
      </w:r>
      <w:r w:rsidR="00B05DD3">
        <w:t xml:space="preserve">firamtive cannot specify prison “workers” </w:t>
      </w:r>
    </w:p>
    <w:p w14:paraId="33E7DCCE" w14:textId="155168F7" w:rsidR="0045682E" w:rsidRPr="0045682E" w:rsidRDefault="0045682E" w:rsidP="00B05DD3">
      <w:pPr>
        <w:pStyle w:val="Heading4"/>
      </w:pPr>
      <w:r>
        <w:t xml:space="preserve">Prisoners </w:t>
      </w:r>
      <w:r w:rsidR="00B05DD3">
        <w:t>aren’t</w:t>
      </w:r>
      <w:r>
        <w:t xml:space="preserve"> included under workers definition – Hurst 20 </w:t>
      </w:r>
    </w:p>
    <w:p w14:paraId="6F85592F" w14:textId="52D127E7" w:rsidR="0045682E" w:rsidRPr="0045682E" w:rsidRDefault="0045682E" w:rsidP="0045682E">
      <w:r w:rsidRPr="0045682E">
        <w:t>https://uclawreview.org/2020/11/24/prisoners-are-not-for-sale-incarcerated-workers-deserve-employee-status/</w:t>
      </w:r>
    </w:p>
    <w:p w14:paraId="0BCD1EFF" w14:textId="6E51F96A" w:rsidR="0045682E" w:rsidRPr="00B05DD3" w:rsidRDefault="0045682E" w:rsidP="0045682E">
      <w:pPr>
        <w:rPr>
          <w:b/>
          <w:bCs/>
          <w:u w:val="single"/>
        </w:rPr>
      </w:pPr>
      <w:r w:rsidRPr="0045682E">
        <w:t>I</w:t>
      </w:r>
      <w:r w:rsidRPr="0045682E">
        <w:rPr>
          <w:b/>
          <w:bCs/>
          <w:u w:val="single"/>
        </w:rPr>
        <w:t>n 1938, the FLSA was adopted to protect employees by establishing “minimum wage, overtime pay, recordkeeping, and child labor standards affecting full-time and part-time workers in the private sector and in Federal, State, and local governments.”</w:t>
      </w:r>
      <w:hyperlink r:id="rId9" w:anchor="_ftn9" w:history="1">
        <w:r w:rsidRPr="0045682E">
          <w:rPr>
            <w:rStyle w:val="Hyperlink"/>
          </w:rPr>
          <w:t>[9]</w:t>
        </w:r>
      </w:hyperlink>
      <w:r w:rsidRPr="0045682E">
        <w:t> </w:t>
      </w:r>
      <w:r w:rsidRPr="0045682E">
        <w:rPr>
          <w:b/>
          <w:bCs/>
          <w:u w:val="single"/>
        </w:rPr>
        <w:t>T</w:t>
      </w:r>
      <w:r w:rsidRPr="0045682E">
        <w:rPr>
          <w:b/>
          <w:bCs/>
          <w:highlight w:val="yellow"/>
          <w:u w:val="single"/>
        </w:rPr>
        <w:t>he FLSA defines an employees as “any individual employed by an employer,”</w:t>
      </w:r>
      <w:hyperlink r:id="rId10" w:anchor="_ftn10" w:history="1">
        <w:r w:rsidRPr="0045682E">
          <w:rPr>
            <w:b/>
            <w:bCs/>
            <w:u w:val="single"/>
          </w:rPr>
          <w:t>[10]</w:t>
        </w:r>
      </w:hyperlink>
      <w:r w:rsidRPr="0045682E">
        <w:rPr>
          <w:b/>
          <w:bCs/>
          <w:u w:val="single"/>
        </w:rPr>
        <w:t xml:space="preserve"> while also </w:t>
      </w:r>
      <w:r w:rsidRPr="0045682E">
        <w:rPr>
          <w:b/>
          <w:bCs/>
          <w:highlight w:val="yellow"/>
          <w:u w:val="single"/>
        </w:rPr>
        <w:t>providing exceptions for persons not considered employees, such as family farm workers</w:t>
      </w:r>
      <w:r w:rsidRPr="0045682E">
        <w:rPr>
          <w:b/>
          <w:bCs/>
          <w:u w:val="single"/>
        </w:rPr>
        <w:t>, volunteers for public agencies, and volunteers for purely humanitarian purposes</w:t>
      </w:r>
      <w:r w:rsidRPr="0045682E">
        <w:t>.</w:t>
      </w:r>
      <w:hyperlink r:id="rId11" w:anchor="_ftn11" w:history="1">
        <w:r w:rsidRPr="0045682E">
          <w:rPr>
            <w:rStyle w:val="Hyperlink"/>
          </w:rPr>
          <w:t>[11]</w:t>
        </w:r>
      </w:hyperlink>
      <w:r w:rsidRPr="0045682E">
        <w:t> Notably, the exceptions defined in the FLSA do not specify that prisoners are not considered employees.</w:t>
      </w:r>
      <w:r>
        <w:t xml:space="preserve"> </w:t>
      </w:r>
      <w:r w:rsidRPr="0045682E">
        <w:t xml:space="preserve">However, </w:t>
      </w:r>
      <w:r w:rsidRPr="0045682E">
        <w:rPr>
          <w:b/>
          <w:bCs/>
          <w:highlight w:val="yellow"/>
          <w:u w:val="single"/>
        </w:rPr>
        <w:t>court precedents have established that prisoners are not considered “employees” under the intended meaning in the FLSA</w:t>
      </w:r>
      <w:r w:rsidRPr="0045682E">
        <w:t>.</w:t>
      </w:r>
      <w:hyperlink r:id="rId12" w:anchor="_ftn12" w:history="1">
        <w:r w:rsidRPr="0045682E">
          <w:rPr>
            <w:rStyle w:val="Hyperlink"/>
          </w:rPr>
          <w:t>[12]</w:t>
        </w:r>
      </w:hyperlink>
      <w:r w:rsidRPr="0045682E">
        <w:t xml:space="preserve">  An important case from the </w:t>
      </w:r>
      <w:r w:rsidRPr="0045682E">
        <w:rPr>
          <w:b/>
          <w:bCs/>
          <w:u w:val="single"/>
        </w:rPr>
        <w:t>Fourth District Court of Appeals in Maryland, Harker v. State Use Industries, highlights this reasoning.</w:t>
      </w:r>
      <w:hyperlink r:id="rId13" w:anchor="_ftn13" w:history="1">
        <w:r w:rsidRPr="0045682E">
          <w:rPr>
            <w:b/>
            <w:bCs/>
            <w:u w:val="single"/>
          </w:rPr>
          <w:t>[13]</w:t>
        </w:r>
      </w:hyperlink>
      <w:r w:rsidRPr="0045682E">
        <w:rPr>
          <w:b/>
          <w:bCs/>
          <w:u w:val="single"/>
        </w:rPr>
        <w:t xml:space="preserve"> In Harker, Maryland state </w:t>
      </w:r>
      <w:r w:rsidRPr="0045682E">
        <w:rPr>
          <w:b/>
          <w:bCs/>
          <w:highlight w:val="yellow"/>
          <w:u w:val="single"/>
        </w:rPr>
        <w:t>prisoners sued the entity responsible for the prison labor industries alleging that the FLSA was violated because they were not being compensated at the rate of the federal minimum wag</w:t>
      </w:r>
      <w:r w:rsidRPr="0045682E">
        <w:rPr>
          <w:b/>
          <w:bCs/>
          <w:u w:val="single"/>
        </w:rPr>
        <w:t>e</w:t>
      </w:r>
      <w:r w:rsidRPr="0045682E">
        <w:t>.</w:t>
      </w:r>
      <w:hyperlink r:id="rId14" w:anchor="_ftn14" w:history="1">
        <w:r w:rsidRPr="0045682E">
          <w:rPr>
            <w:rStyle w:val="Hyperlink"/>
          </w:rPr>
          <w:t>[14]</w:t>
        </w:r>
      </w:hyperlink>
      <w:r w:rsidRPr="0045682E">
        <w:t> </w:t>
      </w:r>
      <w:r w:rsidRPr="0045682E">
        <w:rPr>
          <w:b/>
          <w:bCs/>
          <w:u w:val="single"/>
        </w:rPr>
        <w:t>The c</w:t>
      </w:r>
      <w:r w:rsidRPr="0045682E">
        <w:rPr>
          <w:b/>
          <w:bCs/>
          <w:highlight w:val="yellow"/>
          <w:u w:val="single"/>
        </w:rPr>
        <w:t>ourt rejected the prisoners’ argument by distinguishing the custodial relationship of prisoners from the employee-employer relationship covered in the FLSA</w:t>
      </w:r>
      <w:r w:rsidRPr="0045682E">
        <w:rPr>
          <w:b/>
          <w:bCs/>
          <w:u w:val="single"/>
        </w:rPr>
        <w:t>.</w:t>
      </w:r>
      <w:hyperlink r:id="rId15" w:anchor="_ftn15" w:history="1">
        <w:r w:rsidRPr="0045682E">
          <w:rPr>
            <w:b/>
            <w:bCs/>
            <w:u w:val="single"/>
          </w:rPr>
          <w:t>[15]</w:t>
        </w:r>
      </w:hyperlink>
      <w:r w:rsidRPr="0045682E">
        <w:t xml:space="preserve"> Moreover, the court noted that the </w:t>
      </w:r>
      <w:r w:rsidRPr="0045682E">
        <w:rPr>
          <w:b/>
          <w:bCs/>
          <w:u w:val="single"/>
        </w:rPr>
        <w:t>FLSA was intended to maintain a “standard of living” for workers and not wards of the state whom are provided “standard of living” care by the state while incarcerated</w:t>
      </w:r>
      <w:r w:rsidRPr="0045682E">
        <w:t>.</w:t>
      </w:r>
      <w:hyperlink r:id="rId16" w:anchor="_ftn16" w:history="1">
        <w:r w:rsidRPr="0045682E">
          <w:rPr>
            <w:rStyle w:val="Hyperlink"/>
          </w:rPr>
          <w:t>[16]</w:t>
        </w:r>
      </w:hyperlink>
      <w:r w:rsidRPr="0045682E">
        <w:t xml:space="preserve"> Finally, </w:t>
      </w:r>
      <w:r w:rsidRPr="0045682E">
        <w:rPr>
          <w:b/>
          <w:bCs/>
          <w:u w:val="single"/>
        </w:rPr>
        <w:t>the court concluded that “if the FLSA’s coverage is to extend within prison walls, Congress must says so, not the courts</w:t>
      </w:r>
      <w:r w:rsidRPr="0045682E">
        <w:t>.”</w:t>
      </w:r>
      <w:hyperlink r:id="rId17" w:anchor="_ftn17" w:history="1">
        <w:r w:rsidRPr="0045682E">
          <w:rPr>
            <w:rStyle w:val="Hyperlink"/>
          </w:rPr>
          <w:t>[17]</w:t>
        </w:r>
      </w:hyperlink>
      <w:r w:rsidRPr="0045682E">
        <w:t> </w:t>
      </w:r>
      <w:r w:rsidRPr="0045682E">
        <w:rPr>
          <w:b/>
          <w:bCs/>
          <w:u w:val="single"/>
        </w:rPr>
        <w:t>Other court cases have relied on similar reasoning to reject extending FLSA coverage to prisoners.</w:t>
      </w:r>
      <w:hyperlink r:id="rId18" w:anchor="_ftn18" w:history="1">
        <w:r w:rsidRPr="0045682E">
          <w:rPr>
            <w:b/>
            <w:bCs/>
            <w:u w:val="single"/>
          </w:rPr>
          <w:t>[18]</w:t>
        </w:r>
      </w:hyperlink>
      <w:r w:rsidRPr="0045682E">
        <w:rPr>
          <w:b/>
          <w:bCs/>
          <w:u w:val="single"/>
        </w:rPr>
        <w:t> Additionally, courts have also rejected inmates’ employment discrimination claims on the same basis.</w:t>
      </w:r>
      <w:hyperlink r:id="rId19" w:anchor="_ftn19" w:history="1">
        <w:r w:rsidRPr="0045682E">
          <w:rPr>
            <w:b/>
            <w:bCs/>
            <w:u w:val="single"/>
          </w:rPr>
          <w:t>[19]</w:t>
        </w:r>
      </w:hyperlink>
    </w:p>
    <w:p w14:paraId="0FEB1A1F" w14:textId="77777777" w:rsidR="0045682E" w:rsidRDefault="0045682E" w:rsidP="0045682E">
      <w:pPr>
        <w:pStyle w:val="Heading4"/>
      </w:pPr>
      <w:r>
        <w:t>Vote neg –</w:t>
      </w:r>
    </w:p>
    <w:p w14:paraId="4955C950" w14:textId="77777777" w:rsidR="0045682E" w:rsidRDefault="0045682E" w:rsidP="0045682E">
      <w:pPr>
        <w:pStyle w:val="Heading4"/>
      </w:pPr>
      <w:r>
        <w:t>1] Precision –</w:t>
      </w:r>
    </w:p>
    <w:p w14:paraId="7B18E8C9" w14:textId="77777777" w:rsidR="0045682E" w:rsidRDefault="0045682E" w:rsidP="0045682E">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05A7685A" w14:textId="77777777" w:rsidR="0045682E" w:rsidRDefault="0045682E" w:rsidP="0045682E">
      <w:pPr>
        <w:pStyle w:val="Heading4"/>
      </w:pPr>
      <w:r>
        <w:rPr>
          <w:color w:val="000000"/>
        </w:rPr>
        <w:t>B]</w:t>
      </w:r>
      <w:r>
        <w:t xml:space="preserve"> internal link turn – violating semantics justifies the aff talking about whatever with zero neg prep or prediction which is the most unfair and uneducational</w:t>
      </w:r>
    </w:p>
    <w:p w14:paraId="025AE598" w14:textId="77777777" w:rsidR="0045682E" w:rsidRDefault="0045682E" w:rsidP="0045682E">
      <w:pPr>
        <w:pStyle w:val="Heading4"/>
      </w:pPr>
      <w:r>
        <w:t xml:space="preserve">C] Jurisdiction – you can’t vote for them because the ballot and the tournament invitation say to vote for the better debater in the context of the resolution </w:t>
      </w:r>
    </w:p>
    <w:p w14:paraId="7426A1BA" w14:textId="77777777" w:rsidR="0045682E" w:rsidRDefault="0045682E" w:rsidP="0045682E">
      <w:pPr>
        <w:pStyle w:val="Heading4"/>
      </w:pPr>
      <w:r>
        <w:t xml:space="preserve">D] grammar first – all args assume grammatical correctness to evaluate them </w:t>
      </w:r>
    </w:p>
    <w:p w14:paraId="09174E8B" w14:textId="77777777" w:rsidR="0045682E" w:rsidRDefault="0045682E" w:rsidP="0045682E">
      <w:pPr>
        <w:pStyle w:val="Heading4"/>
      </w:pPr>
      <w:r>
        <w:t>E] objectivity – only semantics are objective whereas pragmatics are subjective which means intervention</w:t>
      </w:r>
    </w:p>
    <w:p w14:paraId="5E2CD92D" w14:textId="1E8AFA1A" w:rsidR="0045682E" w:rsidRDefault="0045682E" w:rsidP="0045682E">
      <w:pPr>
        <w:pStyle w:val="Heading4"/>
      </w:pPr>
      <w:r>
        <w:t xml:space="preserve">2] Limits – </w:t>
      </w:r>
      <w:r w:rsidR="00B05DD3">
        <w:t xml:space="preserve">extempted </w:t>
      </w:r>
    </w:p>
    <w:p w14:paraId="79947367" w14:textId="50FBE2B2" w:rsidR="0045682E" w:rsidRDefault="0045682E" w:rsidP="0045682E">
      <w:pPr>
        <w:pStyle w:val="Heading4"/>
      </w:pPr>
      <w:r>
        <w:t xml:space="preserve">3] TVA – </w:t>
      </w:r>
      <w:r w:rsidR="00B05DD3">
        <w:t xml:space="preserve">extempted </w:t>
      </w:r>
    </w:p>
    <w:p w14:paraId="66D2244D" w14:textId="3373D289" w:rsidR="00B05DD3" w:rsidRDefault="00B05DD3" w:rsidP="00B05DD3">
      <w:pPr>
        <w:pStyle w:val="Heading4"/>
      </w:pPr>
      <w:r>
        <w:t xml:space="preserve">Fairness – extempted </w:t>
      </w:r>
    </w:p>
    <w:p w14:paraId="2D082EA8" w14:textId="0C213024" w:rsidR="00B05DD3" w:rsidRDefault="00B05DD3" w:rsidP="00B05DD3">
      <w:pPr>
        <w:pStyle w:val="Heading4"/>
      </w:pPr>
      <w:r>
        <w:t xml:space="preserve">Education – extempted </w:t>
      </w:r>
    </w:p>
    <w:p w14:paraId="479EAFD9" w14:textId="15C27D3B" w:rsidR="00B05DD3" w:rsidRDefault="00B05DD3" w:rsidP="00B05DD3">
      <w:pPr>
        <w:pStyle w:val="Heading4"/>
      </w:pPr>
      <w:r>
        <w:t xml:space="preserve">No RVI – extempted </w:t>
      </w:r>
    </w:p>
    <w:p w14:paraId="225FB651" w14:textId="1FC834CA" w:rsidR="00B05DD3" w:rsidRDefault="00B05DD3" w:rsidP="00B05DD3">
      <w:pPr>
        <w:pStyle w:val="Heading4"/>
      </w:pPr>
      <w:r>
        <w:t xml:space="preserve">DTD – extempted </w:t>
      </w:r>
    </w:p>
    <w:p w14:paraId="13DAEF3A" w14:textId="091BEA20" w:rsidR="00B05DD3" w:rsidRDefault="00B05DD3" w:rsidP="00B05DD3">
      <w:pPr>
        <w:pStyle w:val="Heading4"/>
      </w:pPr>
      <w:r>
        <w:t xml:space="preserve">CI – extempted </w:t>
      </w:r>
    </w:p>
    <w:p w14:paraId="5FE54644" w14:textId="296D30A0" w:rsidR="00B05DD3" w:rsidRDefault="00B05DD3" w:rsidP="00B05DD3">
      <w:pPr>
        <w:pStyle w:val="Heading4"/>
      </w:pPr>
      <w:r>
        <w:t xml:space="preserve">T First – extempted </w:t>
      </w:r>
    </w:p>
    <w:p w14:paraId="36EE6D96" w14:textId="0F5EFC12" w:rsidR="00B05DD3" w:rsidRDefault="00B05DD3" w:rsidP="00B05DD3">
      <w:pPr>
        <w:pStyle w:val="Heading4"/>
      </w:pPr>
      <w:r>
        <w:t xml:space="preserve">Can’t Weigh Case – extempted </w:t>
      </w:r>
    </w:p>
    <w:p w14:paraId="5B75CB0E" w14:textId="55830B45" w:rsidR="00B05DD3" w:rsidRPr="00B05DD3" w:rsidRDefault="00B05DD3" w:rsidP="00B05DD3">
      <w:r>
        <w:t xml:space="preserve">(extempted all of the above) </w:t>
      </w:r>
    </w:p>
    <w:p w14:paraId="3A8DECE7" w14:textId="147C84B2" w:rsidR="0045682E" w:rsidRDefault="0045682E" w:rsidP="0045682E">
      <w:pPr>
        <w:pStyle w:val="Heading2"/>
      </w:pPr>
      <w:r>
        <w:t xml:space="preserve">2 </w:t>
      </w:r>
    </w:p>
    <w:p w14:paraId="50677448" w14:textId="77777777" w:rsidR="0045682E" w:rsidRPr="00EB3B01" w:rsidRDefault="0045682E" w:rsidP="0045682E">
      <w:pPr>
        <w:pStyle w:val="Heading4"/>
      </w:pPr>
      <w:r>
        <w:t>The telos of the 1ac’s politics is the strike – that naturalizes capital’s control and is parasitic on political organizing.</w:t>
      </w:r>
    </w:p>
    <w:p w14:paraId="2BE4DFAD" w14:textId="77777777" w:rsidR="0045682E" w:rsidRPr="00EB3B01" w:rsidRDefault="0045682E" w:rsidP="0045682E">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0665AA72" w14:textId="77777777" w:rsidR="0045682E" w:rsidRPr="00EB3B01" w:rsidRDefault="0045682E" w:rsidP="0045682E">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20"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21"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22"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05488C8B" w14:textId="77777777" w:rsidR="0045682E" w:rsidRPr="00B9082B" w:rsidRDefault="0045682E" w:rsidP="0045682E">
      <w:pPr>
        <w:pStyle w:val="Heading4"/>
      </w:pPr>
      <w:r>
        <w:t>Recognizing a right to strike reduces revolutionary potential and fractures class organizing – turns the perm.</w:t>
      </w:r>
    </w:p>
    <w:p w14:paraId="4B445BA8" w14:textId="77777777" w:rsidR="0045682E" w:rsidRPr="00B9082B" w:rsidRDefault="0045682E" w:rsidP="0045682E">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187D077D" w14:textId="77777777" w:rsidR="0045682E" w:rsidRPr="001F33C5" w:rsidRDefault="0045682E" w:rsidP="0045682E">
      <w:pPr>
        <w:rPr>
          <w:rStyle w:val="Emphasis"/>
        </w:rPr>
      </w:pPr>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fect illustration of the aforementioned hypothesis. Yet, there are two lines of ques</w:t>
      </w:r>
      <w:r w:rsidRPr="001F33C5">
        <w:rPr>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1F33C5">
        <w:rPr>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tain class strugles,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as a consequence,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tifies the strike</w:t>
      </w:r>
      <w:r w:rsidRPr="001F33C5">
        <w:rPr>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1F33C5">
        <w:rPr>
          <w:sz w:val="14"/>
        </w:rPr>
        <w:softHyphen/>
        <w:t xml:space="preserve"> ing it to avoid recognizing the intrinsic violence of a given social or economic situ</w:t>
      </w:r>
      <w:r w:rsidRPr="001F33C5">
        <w:rPr>
          <w:sz w:val="14"/>
        </w:rPr>
        <w:softHyphen/>
        <w:t xml:space="preserve"> ation,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07FB57E4" w14:textId="77777777" w:rsidR="0045682E" w:rsidRPr="0045682E" w:rsidRDefault="0045682E" w:rsidP="0045682E"/>
    <w:p w14:paraId="18A79317" w14:textId="77777777" w:rsidR="0045682E" w:rsidRDefault="0045682E" w:rsidP="0045682E">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6FC29C44" w14:textId="77777777" w:rsidR="0045682E" w:rsidRPr="00463796" w:rsidRDefault="0045682E" w:rsidP="0045682E">
      <w:r w:rsidRPr="00045BAD">
        <w:t>Dean, Jodi. Comrade: An essay on political belonging. Verso, 2019.</w:t>
      </w:r>
      <w:r>
        <w:t xml:space="preserve"> // LHP BT + LHP PS </w:t>
      </w:r>
    </w:p>
    <w:p w14:paraId="17F1BE6A" w14:textId="77777777" w:rsidR="0045682E" w:rsidRPr="00506194" w:rsidRDefault="0045682E" w:rsidP="0045682E">
      <w:pPr>
        <w:spacing w:before="24"/>
        <w:jc w:val="both"/>
        <w:rPr>
          <w:b/>
          <w:color w:val="000000"/>
          <w:highlight w:val="yellow"/>
          <w:u w:val="single"/>
        </w:rPr>
      </w:pPr>
      <w:r w:rsidRPr="00B96633">
        <w:rPr>
          <w:color w:val="000000"/>
          <w:sz w:val="16"/>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23">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24">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25">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26">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E4415">
        <w:rPr>
          <w:b/>
          <w:color w:val="000000"/>
          <w:highlight w:val="yellow"/>
          <w:u w:val="single"/>
        </w:rPr>
        <w:t xml:space="preserve">Comrades have to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27">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28">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29">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30">
        <w:r w:rsidRPr="00463796">
          <w:rPr>
            <w:color w:val="0000FF"/>
            <w:u w:val="single"/>
            <w:vertAlign w:val="superscript"/>
          </w:rPr>
          <w:t>9</w:t>
        </w:r>
      </w:hyperlink>
      <w:r w:rsidRPr="00B96633">
        <w:rPr>
          <w:color w:val="000000"/>
          <w:sz w:val="16"/>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E4415">
        <w:rPr>
          <w:b/>
          <w:color w:val="000000"/>
          <w:highlight w:val="yellow"/>
          <w:u w:val="single"/>
        </w:rPr>
        <w:t>the communist horizon is the horizon of political struggle</w:t>
      </w:r>
      <w:r w:rsidRPr="00B96633">
        <w:rPr>
          <w:color w:val="000000"/>
          <w:sz w:val="16"/>
        </w:rPr>
        <w:t xml:space="preserve"> not for the nation but </w:t>
      </w:r>
      <w:r w:rsidRPr="00AE441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E4415">
        <w:rPr>
          <w:b/>
          <w:color w:val="000000"/>
          <w:highlight w:val="yellow"/>
          <w:u w:val="single"/>
        </w:rPr>
        <w:t>rejection of the party</w:t>
      </w:r>
      <w:r w:rsidRPr="00B96633">
        <w:rPr>
          <w:color w:val="000000"/>
          <w:sz w:val="16"/>
        </w:rPr>
        <w:t xml:space="preserve"> 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E441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E441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have to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31">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32">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33">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34">
        <w:r w:rsidRPr="00463796">
          <w:rPr>
            <w:color w:val="0000FF"/>
            <w:u w:val="single"/>
            <w:vertAlign w:val="superscript"/>
          </w:rPr>
          <w:t>13</w:t>
        </w:r>
      </w:hyperlink>
      <w:r w:rsidRPr="00B96633">
        <w:rPr>
          <w:color w:val="000000"/>
          <w:sz w:val="16"/>
        </w:rPr>
        <w:t> Wilderson chides himself for what he calls a “childish need for recognition.”</w:t>
      </w:r>
      <w:hyperlink r:id="rId35">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E441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E4415">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36">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E441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E441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E441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E4415">
        <w:rPr>
          <w:b/>
          <w:color w:val="000000"/>
          <w:highlight w:val="yellow"/>
          <w:u w:val="single"/>
        </w:rPr>
        <w:t>equalizing sameness of those on the same side of a political struggle</w:t>
      </w:r>
      <w:r w:rsidRPr="003A0143">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506194">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506194">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506194">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37">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506194">
        <w:rPr>
          <w:b/>
          <w:color w:val="000000" w:themeColor="text1"/>
          <w:highlight w:val="yellow"/>
          <w:u w:val="single"/>
        </w:rPr>
        <w:t>mobilizes the negativity of disidentification and disinvestment</w:t>
      </w:r>
      <w:r w:rsidRPr="00506194">
        <w:rPr>
          <w:color w:val="000000" w:themeColor="text1"/>
          <w:sz w:val="16"/>
        </w:rPr>
        <w:t xml:space="preserve">. </w:t>
      </w:r>
      <w:r w:rsidRPr="00506194">
        <w:rPr>
          <w:b/>
          <w:color w:val="000000" w:themeColor="text1"/>
          <w:highlight w:val="yellow"/>
          <w:u w:val="single"/>
        </w:rPr>
        <w:t>Present relations</w:t>
      </w:r>
      <w:r w:rsidRPr="00506194">
        <w:rPr>
          <w:color w:val="000000" w:themeColor="text1"/>
          <w:sz w:val="16"/>
        </w:rPr>
        <w:t xml:space="preserve"> </w:t>
      </w:r>
      <w:r w:rsidRPr="00506194">
        <w:rPr>
          <w:b/>
          <w:color w:val="000000" w:themeColor="text1"/>
          <w:highlight w:val="yellow"/>
          <w:u w:val="single"/>
        </w:rPr>
        <w:t>become</w:t>
      </w:r>
      <w:r w:rsidRPr="00506194">
        <w:rPr>
          <w:color w:val="000000" w:themeColor="text1"/>
          <w:sz w:val="16"/>
        </w:rPr>
        <w:t xml:space="preserve"> strange, </w:t>
      </w:r>
      <w:r w:rsidRPr="00506194">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506194">
        <w:rPr>
          <w:b/>
          <w:color w:val="000000" w:themeColor="text1"/>
          <w:highlight w:val="yellow"/>
          <w:u w:val="single"/>
        </w:rPr>
        <w:t xml:space="preserve">redirects “our attention </w:t>
      </w:r>
      <w:r w:rsidRPr="00506194">
        <w:rPr>
          <w:b/>
          <w:color w:val="000000" w:themeColor="text1"/>
          <w:u w:val="single"/>
        </w:rPr>
        <w:t xml:space="preserve">and energies </w:t>
      </w:r>
      <w:r w:rsidRPr="00506194">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38">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30229697" w14:textId="77777777" w:rsidR="0045682E" w:rsidRDefault="0045682E" w:rsidP="0045682E">
      <w:pPr>
        <w:pStyle w:val="Heading4"/>
      </w:pPr>
      <w:r>
        <w:t>The role of the ballot is fidelity to the truth – dedication to a shared horizon is liberatory, Dean 19:</w:t>
      </w:r>
    </w:p>
    <w:p w14:paraId="39F7ED88" w14:textId="77777777" w:rsidR="0045682E" w:rsidRPr="00D15BD8" w:rsidRDefault="0045682E" w:rsidP="0045682E">
      <w:r w:rsidRPr="00D15BD8">
        <w:t xml:space="preserve">Dean, Jodi. Comrade: An essay on political belonging. Verso, 2019. // LHP BT + LHP PS </w:t>
      </w:r>
    </w:p>
    <w:p w14:paraId="7760499A" w14:textId="77777777" w:rsidR="0045682E" w:rsidRPr="00202B02" w:rsidRDefault="0045682E" w:rsidP="0045682E">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39">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E4415">
        <w:rPr>
          <w:b/>
          <w:color w:val="000000"/>
          <w:highlight w:val="yellow"/>
          <w:u w:val="single"/>
        </w:rPr>
        <w:t>an “exercise of fidelity</w:t>
      </w:r>
      <w:r w:rsidRPr="00132AC2">
        <w:rPr>
          <w:color w:val="000000"/>
          <w:sz w:val="8"/>
        </w:rPr>
        <w:t>.”</w:t>
      </w:r>
      <w:hyperlink r:id="rId40">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41">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42">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43">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44">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45">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46">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evental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47">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48">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49027274" w14:textId="77777777" w:rsidR="0045682E" w:rsidRPr="0045682E" w:rsidRDefault="0045682E" w:rsidP="0045682E"/>
    <w:p w14:paraId="799FE472" w14:textId="33B17979" w:rsidR="00E42E4C" w:rsidRDefault="0045682E" w:rsidP="0045682E">
      <w:pPr>
        <w:pStyle w:val="Heading2"/>
      </w:pPr>
      <w:r>
        <w:br w:type="page"/>
      </w:r>
      <w:r>
        <w:t xml:space="preserve"> </w:t>
      </w:r>
    </w:p>
    <w:p w14:paraId="673B7994" w14:textId="77777777" w:rsidR="0045682E" w:rsidRPr="0045682E" w:rsidRDefault="0045682E" w:rsidP="0045682E"/>
    <w:sectPr w:rsidR="0045682E" w:rsidRPr="004568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8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CFE"/>
    <w:rsid w:val="00452EE4"/>
    <w:rsid w:val="00452F0B"/>
    <w:rsid w:val="004536D6"/>
    <w:rsid w:val="0045682E"/>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503"/>
    <w:rsid w:val="00B0505F"/>
    <w:rsid w:val="00B05C2D"/>
    <w:rsid w:val="00B05DD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7C2AB"/>
  <w14:defaultImageDpi w14:val="300"/>
  <w15:docId w15:val="{684E1573-4F77-F245-A4BF-D3E29F60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8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68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68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68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4568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68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82E"/>
  </w:style>
  <w:style w:type="character" w:customStyle="1" w:styleId="Heading1Char">
    <w:name w:val="Heading 1 Char"/>
    <w:aliases w:val="Pocket Char"/>
    <w:basedOn w:val="DefaultParagraphFont"/>
    <w:link w:val="Heading1"/>
    <w:uiPriority w:val="9"/>
    <w:rsid w:val="004568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68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682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4568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682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45682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4568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682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5682E"/>
    <w:rPr>
      <w:color w:val="auto"/>
      <w:u w:val="none"/>
    </w:rPr>
  </w:style>
  <w:style w:type="paragraph" w:styleId="DocumentMap">
    <w:name w:val="Document Map"/>
    <w:basedOn w:val="Normal"/>
    <w:link w:val="DocumentMapChar"/>
    <w:uiPriority w:val="99"/>
    <w:semiHidden/>
    <w:unhideWhenUsed/>
    <w:rsid w:val="004568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682E"/>
    <w:rPr>
      <w:rFonts w:ascii="Lucida Grande" w:hAnsi="Lucida Grande" w:cs="Lucida Grande"/>
    </w:rPr>
  </w:style>
  <w:style w:type="paragraph" w:styleId="NormalWeb">
    <w:name w:val="Normal (Web)"/>
    <w:basedOn w:val="Normal"/>
    <w:uiPriority w:val="99"/>
    <w:semiHidden/>
    <w:unhideWhenUsed/>
    <w:rsid w:val="0045682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5682E"/>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4568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300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lawreview.org/2020/11/24/prisoners-are-not-for-sale-incarcerated-workers-deserve-employee-status/" TargetMode="External"/><Relationship Id="rId18" Type="http://schemas.openxmlformats.org/officeDocument/2006/relationships/hyperlink" Target="https://uclawreview.org/2020/11/24/prisoners-are-not-for-sale-incarcerated-workers-deserve-employee-status/"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https://onlinelibrary.wiley.com/doi/abs/10.1111/wusa.12021"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hyperlink" Target="about:blank"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clawreview.org/2020/11/24/prisoners-are-not-for-sale-incarcerated-workers-deserve-employee-status/" TargetMode="External"/><Relationship Id="rId29" Type="http://schemas.openxmlformats.org/officeDocument/2006/relationships/hyperlink" Target="about:blank" TargetMode="External"/><Relationship Id="rId11" Type="http://schemas.openxmlformats.org/officeDocument/2006/relationships/hyperlink" Target="https://uclawreview.org/2020/11/24/prisoners-are-not-for-sale-incarcerated-workers-deserve-employee-status/"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s://uclawreview.org/2020/11/24/prisoners-are-not-for-sale-incarcerated-workers-deserve-employee-status/"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49" Type="http://schemas.openxmlformats.org/officeDocument/2006/relationships/fontTable" Target="fontTable.xml"/><Relationship Id="rId10" Type="http://schemas.openxmlformats.org/officeDocument/2006/relationships/hyperlink" Target="https://uclawreview.org/2020/11/24/prisoners-are-not-for-sale-incarcerated-workers-deserve-employee-status/" TargetMode="External"/><Relationship Id="rId19" Type="http://schemas.openxmlformats.org/officeDocument/2006/relationships/hyperlink" Target="https://uclawreview.org/2020/11/24/prisoners-are-not-for-sale-incarcerated-workers-deserve-employee-status/" TargetMode="External"/><Relationship Id="rId31" Type="http://schemas.openxmlformats.org/officeDocument/2006/relationships/hyperlink" Target="about:blank" TargetMode="External"/><Relationship Id="rId44"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uclawreview.org/2020/11/24/prisoners-are-not-for-sale-incarcerated-workers-deserve-employee-status/" TargetMode="External"/><Relationship Id="rId14" Type="http://schemas.openxmlformats.org/officeDocument/2006/relationships/hyperlink" Target="https://uclawreview.org/2020/11/24/prisoners-are-not-for-sale-incarcerated-workers-deserve-employee-status/" TargetMode="External"/><Relationship Id="rId22" Type="http://schemas.openxmlformats.org/officeDocument/2006/relationships/hyperlink" Target="https://www.amazon.com/Wage-Labour-Capital-Value-Price-Profit/dp/0717804704"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uclawreview.org/2020/11/24/prisoners-are-not-for-sale-incarcerated-workers-deserve-employee-status/" TargetMode="External"/><Relationship Id="rId17" Type="http://schemas.openxmlformats.org/officeDocument/2006/relationships/hyperlink" Target="https://uclawreview.org/2020/11/24/prisoners-are-not-for-sale-incarcerated-workers-deserve-employee-status/"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hyperlink" Target="about:blank" TargetMode="External"/><Relationship Id="rId20" Type="http://schemas.openxmlformats.org/officeDocument/2006/relationships/hyperlink" Target="https://www.oxfordhandbooks.com/view/10.1093/oxfordhb/9780190695545.001.0001/oxfordhb-9780190695545" TargetMode="External"/><Relationship Id="rId41"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7304</Words>
  <Characters>39592</Characters>
  <Application>Microsoft Office Word</Application>
  <DocSecurity>0</DocSecurity>
  <Lines>392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2021-11-13T20:09:00Z</dcterms:created>
  <dcterms:modified xsi:type="dcterms:W3CDTF">2021-11-13T21:17:00Z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