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5D1FC" w14:textId="1629D11C" w:rsidR="00E42E4C" w:rsidRDefault="00D4787D" w:rsidP="00D4787D">
      <w:pPr>
        <w:pStyle w:val="Heading1"/>
      </w:pPr>
      <w:r>
        <w:t xml:space="preserve">1N Barkley Forum R2 </w:t>
      </w:r>
    </w:p>
    <w:p w14:paraId="5D47CC94" w14:textId="5E4BA0EE" w:rsidR="00D4787D" w:rsidRDefault="00D4787D" w:rsidP="00D4787D">
      <w:pPr>
        <w:pStyle w:val="Heading2"/>
      </w:pPr>
      <w:r>
        <w:t xml:space="preserve">1 </w:t>
      </w:r>
    </w:p>
    <w:p w14:paraId="1669B7A2" w14:textId="65EBF907" w:rsidR="00D4787D" w:rsidRPr="00D4787D" w:rsidRDefault="00D4787D" w:rsidP="00D4787D">
      <w:pPr>
        <w:pStyle w:val="Heading3"/>
      </w:pPr>
      <w:r>
        <w:t>Framework</w:t>
      </w:r>
    </w:p>
    <w:p w14:paraId="6204B543" w14:textId="77777777" w:rsidR="00D4787D" w:rsidRDefault="00D4787D" w:rsidP="00D4787D">
      <w:pPr>
        <w:pStyle w:val="Heading4"/>
      </w:pPr>
      <w:r>
        <w:t xml:space="preserve">The meta-ethic is practical reason. </w:t>
      </w:r>
    </w:p>
    <w:p w14:paraId="69AAADF1" w14:textId="77777777" w:rsidR="00D4787D" w:rsidRDefault="00D4787D" w:rsidP="00D4787D">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53DFF840" w14:textId="77777777" w:rsidR="00D4787D" w:rsidRPr="005F59D3" w:rsidRDefault="00D4787D" w:rsidP="00D4787D">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52439933" w14:textId="77777777" w:rsidR="00D4787D" w:rsidRDefault="00D4787D" w:rsidP="00D4787D">
      <w:pPr>
        <w:pStyle w:val="Heading4"/>
      </w:pPr>
      <w:r>
        <w:t xml:space="preserve">That justifies universalizability. </w:t>
      </w:r>
    </w:p>
    <w:p w14:paraId="06590D3A" w14:textId="77777777" w:rsidR="00D4787D" w:rsidRDefault="00D4787D" w:rsidP="00D4787D">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215D196D" w14:textId="77777777" w:rsidR="00D4787D" w:rsidRDefault="00D4787D" w:rsidP="00D4787D">
      <w:pPr>
        <w:pStyle w:val="Heading4"/>
      </w:pPr>
      <w: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7F2E7CB2" w14:textId="77777777" w:rsidR="00D4787D" w:rsidRDefault="00D4787D" w:rsidP="00D4787D">
      <w:pPr>
        <w:pStyle w:val="Heading4"/>
      </w:pPr>
      <w:r>
        <w:t xml:space="preserve">That justifies a minimalist libertarian state – </w:t>
      </w:r>
      <w:proofErr w:type="spellStart"/>
      <w:r>
        <w:t>Otteson</w:t>
      </w:r>
      <w:proofErr w:type="spellEnd"/>
      <w:r>
        <w:t xml:space="preserve"> 09</w:t>
      </w:r>
    </w:p>
    <w:p w14:paraId="3572BFC3" w14:textId="77777777" w:rsidR="00D4787D" w:rsidRPr="004566BE" w:rsidRDefault="00D4787D" w:rsidP="00D4787D">
      <w:r w:rsidRPr="004566BE">
        <w:t xml:space="preserve">James R. </w:t>
      </w:r>
      <w:proofErr w:type="spellStart"/>
      <w:r w:rsidRPr="004566BE">
        <w:t>Otteson</w:t>
      </w:r>
      <w:proofErr w:type="spellEnd"/>
      <w:r w:rsidRPr="004566BE">
        <w:t xml:space="preserve">, 2009, “Kantian Individualism and Political Libertarianism,” The Independent Review, v. 13, n. 3., Winter 2009, available at </w:t>
      </w:r>
      <w:hyperlink r:id="rId9" w:history="1">
        <w:r w:rsidRPr="00F032F5">
          <w:rPr>
            <w:rStyle w:val="Hyperlink"/>
          </w:rPr>
          <w:t>https://www.independent.org/pdf/tir/tir_13_03_4_otteson.pdf //</w:t>
        </w:r>
      </w:hyperlink>
      <w:r>
        <w:t xml:space="preserve"> LHP PS </w:t>
      </w:r>
    </w:p>
    <w:p w14:paraId="0E336280" w14:textId="77777777" w:rsidR="00D4787D" w:rsidRPr="002740B6" w:rsidRDefault="00D4787D" w:rsidP="00D4787D">
      <w:pPr>
        <w:rPr>
          <w:b/>
          <w:bCs/>
          <w:u w:val="single"/>
        </w:rPr>
      </w:pPr>
      <w:r w:rsidRPr="00AB2CDE">
        <w:rPr>
          <w:b/>
          <w:bCs/>
          <w:u w:val="single"/>
        </w:rPr>
        <w:t xml:space="preserve">The link between </w:t>
      </w:r>
      <w:r w:rsidRPr="00856EE5">
        <w:rPr>
          <w:b/>
          <w:bCs/>
          <w:highlight w:val="yellow"/>
          <w:u w:val="single"/>
        </w:rPr>
        <w:t>Kantian agency</w:t>
      </w:r>
      <w:r w:rsidRPr="00AB2CDE">
        <w:rPr>
          <w:b/>
          <w:bCs/>
          <w:u w:val="single"/>
        </w:rPr>
        <w:t xml:space="preserve"> </w:t>
      </w:r>
      <w:r w:rsidRPr="00856EE5">
        <w:rPr>
          <w:b/>
          <w:bCs/>
          <w:highlight w:val="yellow"/>
          <w:u w:val="single"/>
        </w:rPr>
        <w:t>and</w:t>
      </w:r>
      <w:r w:rsidRPr="00AB2CDE">
        <w:rPr>
          <w:b/>
          <w:bCs/>
          <w:u w:val="single"/>
        </w:rPr>
        <w:t xml:space="preserve"> the </w:t>
      </w:r>
      <w:r w:rsidRPr="00856EE5">
        <w:rPr>
          <w:b/>
          <w:bCs/>
          <w:highlight w:val="yellow"/>
          <w:u w:val="single"/>
        </w:rPr>
        <w:t>limited libertarian</w:t>
      </w:r>
      <w:r w:rsidRPr="00AB2CDE">
        <w:rPr>
          <w:b/>
          <w:bCs/>
          <w:u w:val="single"/>
        </w:rPr>
        <w:t xml:space="preserve"> state is plausible, and indeed the </w:t>
      </w:r>
      <w:r w:rsidRPr="00856EE5">
        <w:rPr>
          <w:b/>
          <w:bCs/>
          <w:highlight w:val="yellow"/>
          <w:u w:val="single"/>
        </w:rPr>
        <w:t>former explains the latter</w:t>
      </w:r>
      <w:r w:rsidRPr="00AB2CDE">
        <w:rPr>
          <w:b/>
          <w:bCs/>
          <w:u w:val="single"/>
        </w:rPr>
        <w:t xml:space="preserve">; </w:t>
      </w:r>
      <w:r w:rsidRPr="00151C51">
        <w:rPr>
          <w:sz w:val="10"/>
        </w:rPr>
        <w:t xml:space="preserve">moreover, </w:t>
      </w:r>
      <w:r w:rsidRPr="00AB2CDE">
        <w:rPr>
          <w:b/>
          <w:bCs/>
          <w:u w:val="single"/>
        </w:rPr>
        <w:t xml:space="preserve">the evidence suggests that Kant himself believed that the </w:t>
      </w:r>
      <w:r w:rsidRPr="00856EE5">
        <w:rPr>
          <w:b/>
          <w:bCs/>
          <w:highlight w:val="yellow"/>
          <w:u w:val="single"/>
        </w:rPr>
        <w:t>former implied the latter</w:t>
      </w:r>
      <w:r w:rsidRPr="00151C51">
        <w:rPr>
          <w:sz w:val="10"/>
        </w:rPr>
        <w:t xml:space="preserve">. That conclusion leaves us, however, with the final question of how exactly to characterize Kant’s position. To approach this question, consider two claims. </w:t>
      </w:r>
      <w:r w:rsidRPr="00AB2CDE">
        <w:rPr>
          <w:b/>
          <w:bCs/>
          <w:u w:val="single"/>
        </w:rPr>
        <w:t xml:space="preserve">First, Kant believes that </w:t>
      </w:r>
      <w:r w:rsidRPr="00856EE5">
        <w:rPr>
          <w:b/>
          <w:bCs/>
          <w:highlight w:val="yellow"/>
          <w:u w:val="single"/>
        </w:rPr>
        <w:t xml:space="preserve">people create a state </w:t>
      </w:r>
      <w:proofErr w:type="gramStart"/>
      <w:r w:rsidRPr="00856EE5">
        <w:rPr>
          <w:b/>
          <w:bCs/>
          <w:highlight w:val="yellow"/>
          <w:u w:val="single"/>
        </w:rPr>
        <w:t>in order to</w:t>
      </w:r>
      <w:proofErr w:type="gramEnd"/>
      <w:r w:rsidRPr="00856EE5">
        <w:rPr>
          <w:b/>
          <w:bCs/>
          <w:highlight w:val="yellow"/>
          <w:u w:val="single"/>
        </w:rPr>
        <w:t xml:space="preserve"> protect their rational</w:t>
      </w:r>
      <w:r w:rsidRPr="00AB2CDE">
        <w:rPr>
          <w:b/>
          <w:bCs/>
          <w:u w:val="single"/>
        </w:rPr>
        <w:t xml:space="preserve">, </w:t>
      </w:r>
      <w:r w:rsidRPr="00856EE5">
        <w:rPr>
          <w:b/>
          <w:bCs/>
          <w:highlight w:val="yellow"/>
          <w:u w:val="single"/>
        </w:rPr>
        <w:t>autonomous agency and that this state is justified insofar as it protects that agency</w:t>
      </w:r>
      <w:r w:rsidRPr="00AB2CDE">
        <w:rPr>
          <w:b/>
          <w:bCs/>
          <w:u w:val="single"/>
        </w:rPr>
        <w:t>.</w:t>
      </w:r>
      <w:r w:rsidRPr="00151C51">
        <w:rPr>
          <w:sz w:val="10"/>
        </w:rPr>
        <w:t xml:space="preserve"> </w:t>
      </w:r>
      <w:r w:rsidRPr="00DA4F13">
        <w:rPr>
          <w:b/>
          <w:bCs/>
          <w:u w:val="single"/>
        </w:rPr>
        <w:t xml:space="preserve">Moreover, </w:t>
      </w:r>
      <w:r w:rsidRPr="00856EE5">
        <w:rPr>
          <w:b/>
          <w:bCs/>
          <w:highlight w:val="yellow"/>
          <w:u w:val="single"/>
        </w:rPr>
        <w:t>coercive state action</w:t>
      </w:r>
      <w:r w:rsidRPr="00DA4F13">
        <w:rPr>
          <w:b/>
          <w:bCs/>
          <w:u w:val="single"/>
        </w:rPr>
        <w:t xml:space="preserve"> </w:t>
      </w:r>
      <w:r w:rsidRPr="00856EE5">
        <w:rPr>
          <w:b/>
          <w:bCs/>
          <w:highlight w:val="yellow"/>
          <w:u w:val="single"/>
        </w:rPr>
        <w:t>can</w:t>
      </w:r>
      <w:r w:rsidRPr="00DA4F13">
        <w:rPr>
          <w:b/>
          <w:bCs/>
          <w:u w:val="single"/>
        </w:rPr>
        <w:t xml:space="preserve"> also </w:t>
      </w:r>
      <w:r w:rsidRPr="00856EE5">
        <w:rPr>
          <w:b/>
          <w:bCs/>
          <w:highlight w:val="yellow"/>
          <w:u w:val="single"/>
        </w:rPr>
        <w:t>be justified</w:t>
      </w:r>
      <w:r w:rsidRPr="00DA4F13">
        <w:rPr>
          <w:b/>
          <w:bCs/>
          <w:u w:val="single"/>
        </w:rPr>
        <w:t xml:space="preserve"> </w:t>
      </w:r>
      <w:r w:rsidRPr="00856EE5">
        <w:rPr>
          <w:b/>
          <w:bCs/>
          <w:highlight w:val="yellow"/>
          <w:u w:val="single"/>
        </w:rPr>
        <w:t>if it serves</w:t>
      </w:r>
      <w:r w:rsidRPr="00DA4F13">
        <w:rPr>
          <w:b/>
          <w:bCs/>
          <w:u w:val="single"/>
        </w:rPr>
        <w:t xml:space="preserve"> only </w:t>
      </w:r>
      <w:r w:rsidRPr="00856EE5">
        <w:rPr>
          <w:b/>
          <w:bCs/>
          <w:highlight w:val="yellow"/>
          <w:u w:val="single"/>
        </w:rPr>
        <w:t>to secure the conditions</w:t>
      </w:r>
      <w:r w:rsidRPr="00DA4F13">
        <w:rPr>
          <w:b/>
          <w:bCs/>
          <w:u w:val="single"/>
        </w:rPr>
        <w:t xml:space="preserve"> necessary for continued or more effective protection </w:t>
      </w:r>
      <w:r w:rsidRPr="00856EE5">
        <w:rPr>
          <w:b/>
          <w:bCs/>
          <w:highlight w:val="yellow"/>
          <w:u w:val="single"/>
        </w:rPr>
        <w:t>of this agency</w:t>
      </w:r>
      <w:r w:rsidRPr="00151C51">
        <w:rPr>
          <w:sz w:val="10"/>
        </w:rPr>
        <w:t xml:space="preserve">. A plausible extension of this argument is that the </w:t>
      </w:r>
      <w:r w:rsidRPr="00856EE5">
        <w:rPr>
          <w:b/>
          <w:bCs/>
          <w:highlight w:val="yellow"/>
          <w:u w:val="single"/>
        </w:rPr>
        <w:t>conditions of morality</w:t>
      </w:r>
      <w:r w:rsidRPr="00DA4F13">
        <w:rPr>
          <w:b/>
          <w:bCs/>
          <w:u w:val="single"/>
        </w:rPr>
        <w:t xml:space="preserve"> themselves </w:t>
      </w:r>
      <w:r w:rsidRPr="00856EE5">
        <w:rPr>
          <w:b/>
          <w:bCs/>
          <w:highlight w:val="yellow"/>
          <w:u w:val="single"/>
        </w:rPr>
        <w:t>are possible only within the protections of a Kantian minimal state</w:t>
      </w:r>
      <w:r w:rsidRPr="00151C51">
        <w:rPr>
          <w:sz w:val="10"/>
        </w:rPr>
        <w:t xml:space="preserve">. Given that extension, Kant’s endorsement of limited, state-based welfare measures might have been motivated by a belief that they exemplify </w:t>
      </w:r>
      <w:r w:rsidRPr="002740B6">
        <w:rPr>
          <w:b/>
          <w:bCs/>
          <w:u w:val="single"/>
        </w:rPr>
        <w:t>state coercion necessary to secure the conditions of agency</w:t>
      </w:r>
      <w:r w:rsidRPr="00151C51">
        <w:rPr>
          <w:sz w:val="10"/>
        </w:rPr>
        <w:t xml:space="preserve">. For the reasons explained earlier, I deny that such institutions can be defended successfully on these grounds, but the </w:t>
      </w:r>
      <w:proofErr w:type="gramStart"/>
      <w:r w:rsidRPr="00151C51">
        <w:rPr>
          <w:sz w:val="10"/>
        </w:rPr>
        <w:t>particular application</w:t>
      </w:r>
      <w:proofErr w:type="gramEnd"/>
      <w:r w:rsidRPr="00151C51">
        <w:rPr>
          <w:sz w:val="10"/>
        </w:rPr>
        <w:t xml:space="preserve"> notwithstanding, we may be able to endorse—consistently and rationally—Kant’s principle of granting the state those, and only those, coercive powers necessary for the protection of “right.” Second, Kant may not have been as convinced as one might be today of intermediary “civil” institutions’ ability to do the work of foundling hospitals and so on. Substantial evidence now attests, however, to the perhaps surprisingly effective scope and reach of civil society’s private institutions to find and meet the needs of society’s most destitute (for a recent treatment, see </w:t>
      </w:r>
      <w:proofErr w:type="spellStart"/>
      <w:r w:rsidRPr="00151C51">
        <w:rPr>
          <w:sz w:val="10"/>
        </w:rPr>
        <w:t>Beito</w:t>
      </w:r>
      <w:proofErr w:type="spellEnd"/>
      <w:r w:rsidRPr="00151C51">
        <w:rPr>
          <w:sz w:val="10"/>
        </w:rPr>
        <w:t xml:space="preserve">, Gordon, and Tabarrok 2002). Kant might well have been unaware of such institutions, or—for reasons owing to his </w:t>
      </w:r>
      <w:proofErr w:type="gramStart"/>
      <w:r w:rsidRPr="00151C51">
        <w:rPr>
          <w:sz w:val="10"/>
        </w:rPr>
        <w:t>particular time</w:t>
      </w:r>
      <w:proofErr w:type="gramEnd"/>
      <w:r w:rsidRPr="00151C51">
        <w:rPr>
          <w:sz w:val="10"/>
        </w:rPr>
        <w:t xml:space="preserve"> and place—he might have been positively suspicious of them, including organized churches. I believe these two points absolve Kant of the claim of contradiction. He can claim consistently that the state’s purpose is to protect individual free agency and that it is justified in using coercion to secure the conditions that allow such protection—but not in any other circumstances. If this account correctly represents Kant’s position, then </w:t>
      </w:r>
      <w:r w:rsidRPr="00856EE5">
        <w:rPr>
          <w:b/>
          <w:bCs/>
          <w:highlight w:val="yellow"/>
          <w:u w:val="single"/>
        </w:rPr>
        <w:t>we may</w:t>
      </w:r>
      <w:r w:rsidRPr="002740B6">
        <w:rPr>
          <w:b/>
          <w:bCs/>
          <w:u w:val="single"/>
        </w:rPr>
        <w:t xml:space="preserve"> properly </w:t>
      </w:r>
      <w:r w:rsidRPr="00856EE5">
        <w:rPr>
          <w:b/>
          <w:bCs/>
          <w:highlight w:val="yellow"/>
          <w:u w:val="single"/>
        </w:rPr>
        <w:t>describe him as a political libertarian</w:t>
      </w:r>
      <w:r w:rsidRPr="002740B6">
        <w:rPr>
          <w:b/>
          <w:bCs/>
          <w:u w:val="single"/>
        </w:rPr>
        <w:t xml:space="preserve">, though one </w:t>
      </w:r>
      <w:r w:rsidRPr="00856EE5">
        <w:rPr>
          <w:b/>
          <w:bCs/>
          <w:highlight w:val="yellow"/>
          <w:u w:val="single"/>
        </w:rPr>
        <w:t>sensitive</w:t>
      </w:r>
      <w:r w:rsidRPr="002740B6">
        <w:rPr>
          <w:b/>
          <w:bCs/>
          <w:u w:val="single"/>
        </w:rPr>
        <w:t xml:space="preserve"> </w:t>
      </w:r>
      <w:r w:rsidRPr="00856EE5">
        <w:rPr>
          <w:b/>
          <w:bCs/>
          <w:highlight w:val="yellow"/>
          <w:u w:val="single"/>
        </w:rPr>
        <w:t>to libertarianism’s limitations</w:t>
      </w:r>
      <w:r w:rsidRPr="002740B6">
        <w:rPr>
          <w:b/>
          <w:bCs/>
          <w:u w:val="single"/>
        </w:rPr>
        <w:t xml:space="preserve">. Thus, we might aptly call his position </w:t>
      </w:r>
      <w:r w:rsidRPr="00856EE5">
        <w:rPr>
          <w:b/>
          <w:bCs/>
          <w:highlight w:val="yellow"/>
          <w:u w:val="single"/>
        </w:rPr>
        <w:t>constrained libertarianism</w:t>
      </w:r>
      <w:r w:rsidRPr="002740B6">
        <w:rPr>
          <w:b/>
          <w:bCs/>
          <w:u w:val="single"/>
        </w:rPr>
        <w:t>.</w:t>
      </w:r>
    </w:p>
    <w:p w14:paraId="116CC70B" w14:textId="77777777" w:rsidR="00D4787D" w:rsidRDefault="00D4787D" w:rsidP="00D4787D">
      <w:pPr>
        <w:pStyle w:val="Heading3"/>
      </w:pPr>
      <w:r>
        <w:t>Contention</w:t>
      </w:r>
    </w:p>
    <w:p w14:paraId="151CBEB3" w14:textId="77777777" w:rsidR="00D4787D" w:rsidRDefault="00D4787D" w:rsidP="00D4787D">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0ACC9A5E" w14:textId="77777777" w:rsidR="00D4787D" w:rsidRDefault="00D4787D" w:rsidP="00D4787D">
      <w:r>
        <w:t xml:space="preserve">Edward </w:t>
      </w:r>
      <w:proofErr w:type="spellStart"/>
      <w:r>
        <w:t>Feser</w:t>
      </w:r>
      <w:proofErr w:type="spellEnd"/>
      <w:r>
        <w:t>, [Associate Professor of Philosophy at Pasadena City College] “THERE IS NO SUCH THING AS AN UNJUST INITIAL ACQUISITION,” 2005 //LHP AV</w:t>
      </w:r>
    </w:p>
    <w:p w14:paraId="664ACA9C" w14:textId="77777777" w:rsidR="00D4787D" w:rsidRDefault="00D4787D" w:rsidP="00D4787D">
      <w:pPr>
        <w:rPr>
          <w:sz w:val="10"/>
          <w:szCs w:val="10"/>
        </w:rPr>
      </w:pPr>
      <w:r>
        <w:rPr>
          <w:sz w:val="10"/>
          <w:szCs w:val="10"/>
        </w:rPr>
        <w:t xml:space="preserve">The reason </w:t>
      </w:r>
      <w:r>
        <w:rPr>
          <w:b/>
          <w:highlight w:val="yellow"/>
          <w:u w:val="single"/>
        </w:rPr>
        <w:t>there is no</w:t>
      </w:r>
      <w:r>
        <w:rPr>
          <w:b/>
          <w:u w:val="single"/>
        </w:rPr>
        <w:t xml:space="preserve"> such thing as an </w:t>
      </w:r>
      <w:r>
        <w:rPr>
          <w:b/>
          <w:highlight w:val="yellow"/>
          <w:u w:val="single"/>
        </w:rPr>
        <w:t>unjust initial acquisition</w:t>
      </w:r>
      <w:r>
        <w:rPr>
          <w:sz w:val="10"/>
          <w:szCs w:val="10"/>
          <w:highlight w:val="yellow"/>
        </w:rPr>
        <w:t xml:space="preserve"> </w:t>
      </w:r>
      <w:r>
        <w:rPr>
          <w:sz w:val="10"/>
          <w:szCs w:val="10"/>
        </w:rPr>
        <w:t xml:space="preserve">of resources is that there is no such thing as either a just or an unjust initial acquisition of resources. </w:t>
      </w:r>
      <w:proofErr w:type="gramStart"/>
      <w:r>
        <w:rPr>
          <w:sz w:val="10"/>
          <w:szCs w:val="10"/>
        </w:rPr>
        <w:t xml:space="preserve">The concept of </w:t>
      </w:r>
      <w:r>
        <w:rPr>
          <w:b/>
          <w:u w:val="single"/>
        </w:rPr>
        <w:t>justice</w:t>
      </w:r>
      <w:r>
        <w:rPr>
          <w:sz w:val="10"/>
          <w:szCs w:val="10"/>
        </w:rPr>
        <w:t>,</w:t>
      </w:r>
      <w:proofErr w:type="gramEnd"/>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w:t>
      </w:r>
      <w:proofErr w:type="gramStart"/>
      <w:r>
        <w:rPr>
          <w:sz w:val="10"/>
          <w:szCs w:val="10"/>
        </w:rPr>
        <w:t>In particular, it</w:t>
      </w:r>
      <w:proofErr w:type="gramEnd"/>
      <w:r>
        <w:rPr>
          <w:sz w:val="10"/>
          <w:szCs w:val="10"/>
        </w:rPr>
        <w:t xml:space="preserve"> applies only to transfers of property (and derivatively, to the rectification of injustices in transfer). This, it seems to me, is a clear implication of the assumption (rightly) made by Nozick that </w:t>
      </w:r>
      <w:r>
        <w:rPr>
          <w:b/>
          <w:highlight w:val="yellow"/>
          <w:u w:val="single"/>
        </w:rPr>
        <w:t>external resources are initially unowned</w:t>
      </w:r>
      <w:r>
        <w:rPr>
          <w:sz w:val="10"/>
          <w:szCs w:val="10"/>
        </w:rPr>
        <w:t xml:space="preserve">. Consider the following example. </w:t>
      </w:r>
      <w:r>
        <w:rPr>
          <w:b/>
          <w:highlight w:val="yellow"/>
          <w:u w:val="single"/>
        </w:rPr>
        <w:t>Suppose</w:t>
      </w:r>
      <w:r>
        <w:rPr>
          <w:sz w:val="10"/>
          <w:szCs w:val="10"/>
          <w:highlight w:val="yellow"/>
        </w:rPr>
        <w:t xml:space="preserve"> </w:t>
      </w:r>
      <w:r>
        <w:rPr>
          <w:b/>
          <w:u w:val="single"/>
        </w:rPr>
        <w:t xml:space="preserve">an </w:t>
      </w:r>
      <w:r>
        <w:rPr>
          <w:b/>
          <w:highlight w:val="yellow"/>
          <w:u w:val="single"/>
        </w:rPr>
        <w:t>individual</w:t>
      </w:r>
      <w:r>
        <w:rPr>
          <w:sz w:val="10"/>
          <w:szCs w:val="10"/>
          <w:highlight w:val="yellow"/>
        </w:rPr>
        <w:t xml:space="preserve"> </w:t>
      </w:r>
      <w:r>
        <w:rPr>
          <w:b/>
          <w:highlight w:val="yellow"/>
          <w:u w:val="single"/>
        </w:rPr>
        <w:t xml:space="preserve">A seeks to acquire </w:t>
      </w:r>
      <w:r>
        <w:rPr>
          <w:b/>
          <w:u w:val="single"/>
        </w:rPr>
        <w:t xml:space="preserve">some previously </w:t>
      </w:r>
      <w:r>
        <w:rPr>
          <w:b/>
          <w:highlight w:val="yellow"/>
          <w:u w:val="single"/>
        </w:rPr>
        <w:t>unowned resource R</w:t>
      </w:r>
      <w:r>
        <w:rPr>
          <w:sz w:val="10"/>
          <w:szCs w:val="10"/>
        </w:rPr>
        <w:t xml:space="preserve">. </w:t>
      </w:r>
      <w:r>
        <w:rPr>
          <w:b/>
          <w:highlight w:val="yellow"/>
          <w:u w:val="single"/>
        </w:rPr>
        <w:t>For it to be</w:t>
      </w:r>
      <w:r>
        <w:rPr>
          <w:sz w:val="10"/>
          <w:szCs w:val="10"/>
        </w:rPr>
        <w:t xml:space="preserve"> the case that A commits an </w:t>
      </w:r>
      <w:r>
        <w:rPr>
          <w:b/>
          <w:highlight w:val="yellow"/>
          <w:u w:val="single"/>
        </w:rPr>
        <w:t>injustice</w:t>
      </w:r>
      <w:r>
        <w:rPr>
          <w:sz w:val="10"/>
          <w:szCs w:val="10"/>
          <w:highlight w:val="yellow"/>
        </w:rPr>
        <w:t xml:space="preserve"> </w:t>
      </w:r>
      <w:r>
        <w:rPr>
          <w:sz w:val="10"/>
          <w:szCs w:val="10"/>
        </w:rPr>
        <w:t xml:space="preserve">in acquiring R, it would also have to be the case that </w:t>
      </w:r>
      <w:r>
        <w:rPr>
          <w:b/>
          <w:highlight w:val="yellow"/>
          <w:u w:val="single"/>
        </w:rPr>
        <w:t>there is some individual</w:t>
      </w:r>
      <w:r>
        <w:rPr>
          <w:sz w:val="10"/>
          <w:szCs w:val="10"/>
          <w:highlight w:val="yellow"/>
        </w:rPr>
        <w:t xml:space="preserve"> </w:t>
      </w:r>
      <w:r>
        <w:rPr>
          <w:b/>
          <w:highlight w:val="yellow"/>
          <w:u w:val="single"/>
        </w:rPr>
        <w:t>B</w:t>
      </w:r>
      <w:r>
        <w:rPr>
          <w:sz w:val="10"/>
          <w:szCs w:val="10"/>
        </w:rPr>
        <w:t xml:space="preserve"> (or perhaps a group of individuals) </w:t>
      </w:r>
      <w:r>
        <w:rPr>
          <w:b/>
          <w:highlight w:val="yellow"/>
          <w:u w:val="single"/>
        </w:rPr>
        <w:t xml:space="preserve">against whom A commits </w:t>
      </w:r>
      <w:r>
        <w:rPr>
          <w:b/>
          <w:u w:val="single"/>
        </w:rPr>
        <w:t xml:space="preserve">the </w:t>
      </w:r>
      <w:r>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Pr>
          <w:b/>
          <w:highlight w:val="yellow"/>
          <w:u w:val="single"/>
        </w:rPr>
        <w:t>however</w:t>
      </w:r>
      <w:r>
        <w:rPr>
          <w:sz w:val="10"/>
          <w:szCs w:val="10"/>
          <w:highlight w:val="yellow"/>
        </w:rPr>
        <w:t xml:space="preserve">, </w:t>
      </w:r>
      <w:r>
        <w:rPr>
          <w:b/>
          <w:highlight w:val="yellow"/>
          <w:u w:val="single"/>
        </w:rPr>
        <w:t xml:space="preserve">B did not have a right </w:t>
      </w:r>
      <w:r>
        <w:rPr>
          <w:b/>
          <w:u w:val="single"/>
        </w:rPr>
        <w:t xml:space="preserve">to R, </w:t>
      </w:r>
      <w:r>
        <w:rPr>
          <w:b/>
          <w:highlight w:val="yellow"/>
          <w:u w:val="single"/>
        </w:rPr>
        <w:t xml:space="preserve">because </w:t>
      </w:r>
      <w:r>
        <w:rPr>
          <w:b/>
          <w:u w:val="single"/>
        </w:rPr>
        <w:t>no one had a right to it—</w:t>
      </w:r>
      <w:r>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4C93ED55" w14:textId="4EC2964A" w:rsidR="00D4787D" w:rsidRDefault="00D4787D" w:rsidP="00D4787D">
      <w:pPr>
        <w:pStyle w:val="Heading2"/>
      </w:pPr>
      <w:r>
        <w:t xml:space="preserve">2 </w:t>
      </w:r>
    </w:p>
    <w:p w14:paraId="6C33E787" w14:textId="77777777" w:rsidR="00D4787D" w:rsidRPr="00E6439F" w:rsidRDefault="00D4787D" w:rsidP="00D4787D">
      <w:pPr>
        <w:pStyle w:val="Heading4"/>
        <w:rPr>
          <w:bCs w:val="0"/>
        </w:rPr>
      </w:pPr>
      <w:proofErr w:type="spellStart"/>
      <w:r w:rsidRPr="00E6439F">
        <w:t>Interp</w:t>
      </w:r>
      <w:proofErr w:type="spellEnd"/>
      <w:r w:rsidRPr="00E6439F">
        <w:t xml:space="preserve">: Debaters must disclose tournaments on the 2021-2022 NDCA LD wiki under the actual name of the tournament on </w:t>
      </w:r>
      <w:proofErr w:type="spellStart"/>
      <w:r w:rsidRPr="00E6439F">
        <w:t>tabroom</w:t>
      </w:r>
      <w:proofErr w:type="spellEnd"/>
      <w:r w:rsidRPr="00E6439F">
        <w:t xml:space="preserve">. </w:t>
      </w:r>
    </w:p>
    <w:p w14:paraId="1E4623B3" w14:textId="77777777" w:rsidR="00D4787D" w:rsidRPr="00E6439F" w:rsidRDefault="00D4787D" w:rsidP="00D4787D">
      <w:pPr>
        <w:pStyle w:val="Heading4"/>
        <w:rPr>
          <w:bCs w:val="0"/>
        </w:rPr>
      </w:pPr>
      <w:r w:rsidRPr="00E6439F">
        <w:t>To clarify- when you look up the tournament name from the wiki on tab, the entry must pop up</w:t>
      </w:r>
    </w:p>
    <w:p w14:paraId="03D45509" w14:textId="77777777" w:rsidR="00D4787D" w:rsidRPr="00E6439F" w:rsidRDefault="00D4787D" w:rsidP="00D4787D">
      <w:pPr>
        <w:pStyle w:val="Heading4"/>
        <w:rPr>
          <w:bCs w:val="0"/>
        </w:rPr>
      </w:pPr>
      <w:r w:rsidRPr="00E6439F">
        <w:t>Violation – they disclose a tournament as ‘</w:t>
      </w:r>
      <w:proofErr w:type="spellStart"/>
      <w:r w:rsidRPr="00E6439F">
        <w:t>bronx</w:t>
      </w:r>
      <w:proofErr w:type="spellEnd"/>
      <w:r w:rsidRPr="00E6439F">
        <w:t xml:space="preserve">, when </w:t>
      </w:r>
      <w:proofErr w:type="spellStart"/>
      <w:r w:rsidRPr="00E6439F">
        <w:t>bronx</w:t>
      </w:r>
      <w:proofErr w:type="spellEnd"/>
      <w:r w:rsidRPr="00E6439F">
        <w:t xml:space="preserve"> is looked up on </w:t>
      </w:r>
      <w:proofErr w:type="spellStart"/>
      <w:r w:rsidRPr="00E6439F">
        <w:t>tabroom</w:t>
      </w:r>
      <w:proofErr w:type="spellEnd"/>
      <w:r w:rsidRPr="00E6439F">
        <w:t xml:space="preserve">, nothing comes up that </w:t>
      </w:r>
      <w:proofErr w:type="spellStart"/>
      <w:r w:rsidRPr="00E6439F">
        <w:t>andrew</w:t>
      </w:r>
      <w:proofErr w:type="spellEnd"/>
      <w:r w:rsidRPr="00E6439F">
        <w:t xml:space="preserve"> went to with these pairings. Screenshots in the doc</w:t>
      </w:r>
    </w:p>
    <w:p w14:paraId="03CEE6EE" w14:textId="77777777" w:rsidR="00D4787D" w:rsidRPr="00E6439F" w:rsidRDefault="00D4787D" w:rsidP="00D4787D"/>
    <w:p w14:paraId="337DF5D4" w14:textId="77777777" w:rsidR="00D4787D" w:rsidRPr="00E6439F" w:rsidRDefault="00D4787D" w:rsidP="00D4787D"/>
    <w:p w14:paraId="024C96CB" w14:textId="77777777" w:rsidR="00D4787D" w:rsidRDefault="00D4787D" w:rsidP="00D4787D">
      <w:r w:rsidRPr="00E6439F">
        <w:rPr>
          <w:noProof/>
        </w:rPr>
        <w:drawing>
          <wp:inline distT="0" distB="0" distL="0" distR="0" wp14:anchorId="6DF8B40B" wp14:editId="791FF43E">
            <wp:extent cx="12098438" cy="5353797"/>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0"/>
                    <a:stretch>
                      <a:fillRect/>
                    </a:stretch>
                  </pic:blipFill>
                  <pic:spPr>
                    <a:xfrm>
                      <a:off x="0" y="0"/>
                      <a:ext cx="12098438" cy="5353797"/>
                    </a:xfrm>
                    <a:prstGeom prst="rect">
                      <a:avLst/>
                    </a:prstGeom>
                  </pic:spPr>
                </pic:pic>
              </a:graphicData>
            </a:graphic>
          </wp:inline>
        </w:drawing>
      </w:r>
    </w:p>
    <w:p w14:paraId="4F4195E1" w14:textId="4D6A4C7A" w:rsidR="00D4787D" w:rsidRDefault="009D7948" w:rsidP="00D4787D">
      <w:r>
        <w:rPr>
          <w:noProof/>
        </w:rPr>
        <w:drawing>
          <wp:inline distT="0" distB="0" distL="0" distR="0" wp14:anchorId="0204BC11" wp14:editId="09D58B22">
            <wp:extent cx="17894300" cy="9004300"/>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1"/>
                    <a:stretch>
                      <a:fillRect/>
                    </a:stretch>
                  </pic:blipFill>
                  <pic:spPr>
                    <a:xfrm>
                      <a:off x="0" y="0"/>
                      <a:ext cx="17894300" cy="9004300"/>
                    </a:xfrm>
                    <a:prstGeom prst="rect">
                      <a:avLst/>
                    </a:prstGeom>
                  </pic:spPr>
                </pic:pic>
              </a:graphicData>
            </a:graphic>
          </wp:inline>
        </w:drawing>
      </w:r>
    </w:p>
    <w:p w14:paraId="221FB20F" w14:textId="77777777" w:rsidR="00D4787D" w:rsidRPr="00EA5559" w:rsidRDefault="00D4787D" w:rsidP="00D4787D">
      <w:pPr>
        <w:shd w:val="clear" w:color="auto" w:fill="FFFFFF"/>
        <w:rPr>
          <w:b/>
          <w:sz w:val="26"/>
          <w:szCs w:val="26"/>
        </w:rPr>
      </w:pPr>
      <w:r>
        <w:rPr>
          <w:b/>
          <w:sz w:val="26"/>
          <w:szCs w:val="26"/>
        </w:rP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rPr>
          <w:b/>
          <w:sz w:val="26"/>
          <w:szCs w:val="26"/>
        </w:rPr>
        <w:t>didnt</w:t>
      </w:r>
      <w:proofErr w:type="spellEnd"/>
      <w:r>
        <w:rPr>
          <w:b/>
          <w:sz w:val="26"/>
          <w:szCs w:val="26"/>
        </w:rPr>
        <w:t>’ you had the advantage in this round. Outweighs - none of their standards matter if debaters can’t access them and means reasonability is uniquely wrong since even a 1% risk of exclusion is bad, you obviously don’t say some level of exclusion is justif</w:t>
      </w:r>
      <w:bookmarkStart w:id="0" w:name="_x67jtmrcnmlq" w:colFirst="0" w:colLast="0"/>
      <w:bookmarkEnd w:id="0"/>
      <w:r>
        <w:rPr>
          <w:b/>
          <w:sz w:val="26"/>
          <w:szCs w:val="26"/>
        </w:rPr>
        <w:t>ied</w:t>
      </w:r>
    </w:p>
    <w:p w14:paraId="34FEA159" w14:textId="77777777" w:rsidR="00D4787D" w:rsidRDefault="00D4787D" w:rsidP="00D4787D"/>
    <w:p w14:paraId="27809A24" w14:textId="77777777" w:rsidR="00D4787D" w:rsidRPr="006E7F5D" w:rsidRDefault="00D4787D" w:rsidP="00D4787D">
      <w:pPr>
        <w:pStyle w:val="Heading4"/>
        <w:rPr>
          <w:bCs w:val="0"/>
        </w:rPr>
      </w:pPr>
      <w:r w:rsidRPr="006E7F5D">
        <w:t xml:space="preserve">Inclusion ow, other impacts assume that you </w:t>
      </w:r>
      <w:proofErr w:type="gramStart"/>
      <w:r w:rsidRPr="006E7F5D">
        <w:t>have the ability to</w:t>
      </w:r>
      <w:proofErr w:type="gramEnd"/>
      <w:r w:rsidRPr="006E7F5D">
        <w:t xml:space="preserve"> access the round in the first place.</w:t>
      </w:r>
    </w:p>
    <w:p w14:paraId="0BA62382" w14:textId="58FDA190" w:rsidR="00D4787D" w:rsidRPr="006E7F5D" w:rsidRDefault="00D4787D" w:rsidP="00D4787D">
      <w:pPr>
        <w:pStyle w:val="Heading4"/>
        <w:rPr>
          <w:bCs w:val="0"/>
        </w:rPr>
      </w:pPr>
      <w:r w:rsidRPr="006E7F5D">
        <w:t xml:space="preserve"> Reject reasonability on inclusion impacts- </w:t>
      </w:r>
      <w:r w:rsidR="009D7948">
        <w:t xml:space="preserve">you can’t be reasonably inclusionary </w:t>
      </w:r>
    </w:p>
    <w:p w14:paraId="7FACF030" w14:textId="77777777" w:rsidR="00D4787D" w:rsidRPr="006E7F5D" w:rsidRDefault="00D4787D" w:rsidP="00D4787D">
      <w:pPr>
        <w:pStyle w:val="Heading4"/>
        <w:rPr>
          <w:bCs w:val="0"/>
        </w:rPr>
      </w:pPr>
      <w:r w:rsidRPr="006E7F5D">
        <w:t xml:space="preserve">Reject every reason why disclosure is bad- you concede to the </w:t>
      </w:r>
      <w:proofErr w:type="spellStart"/>
      <w:r w:rsidRPr="006E7F5D">
        <w:t>validitiy</w:t>
      </w:r>
      <w:proofErr w:type="spellEnd"/>
      <w:r w:rsidRPr="006E7F5D">
        <w:t xml:space="preserve"> of putting tournament names by putting it on your wiki in the first,</w:t>
      </w:r>
    </w:p>
    <w:p w14:paraId="288769F5" w14:textId="2A7BD365" w:rsidR="00D4787D" w:rsidRDefault="00D4787D" w:rsidP="00D4787D">
      <w:pPr>
        <w:pStyle w:val="Heading4"/>
      </w:pPr>
      <w:r w:rsidRPr="006E7F5D">
        <w:t>They will say the shell is arbitrary but literal wiki rules prove otherwise</w:t>
      </w:r>
    </w:p>
    <w:p w14:paraId="6B69960A" w14:textId="65440D19" w:rsidR="005952D1" w:rsidRDefault="005952D1" w:rsidP="005952D1">
      <w:pPr>
        <w:pStyle w:val="Heading2"/>
      </w:pPr>
      <w:r>
        <w:t>3</w:t>
      </w:r>
    </w:p>
    <w:p w14:paraId="7EB75849" w14:textId="53DF2474" w:rsidR="00133B31" w:rsidRPr="00133B31" w:rsidRDefault="00133B31" w:rsidP="00133B31">
      <w:proofErr w:type="spellStart"/>
      <w:r>
        <w:t>Extempt</w:t>
      </w:r>
      <w:proofErr w:type="spellEnd"/>
      <w:r>
        <w:t xml:space="preserve"> </w:t>
      </w:r>
    </w:p>
    <w:p w14:paraId="1A0C7D69" w14:textId="46DE9D44" w:rsidR="00D4787D" w:rsidRDefault="00D4787D" w:rsidP="00D4787D">
      <w:pPr>
        <w:pStyle w:val="Heading2"/>
      </w:pPr>
      <w:r>
        <w:t>Case</w:t>
      </w:r>
    </w:p>
    <w:p w14:paraId="2369FEF6" w14:textId="28A0BF92" w:rsidR="005952D1" w:rsidRDefault="005952D1" w:rsidP="005952D1">
      <w:pPr>
        <w:pStyle w:val="Heading3"/>
      </w:pPr>
      <w:r>
        <w:t xml:space="preserve">Theory </w:t>
      </w:r>
    </w:p>
    <w:p w14:paraId="5FC0AF95" w14:textId="77777777" w:rsidR="005952D1" w:rsidRPr="00DB5274" w:rsidRDefault="005952D1" w:rsidP="005952D1">
      <w:pPr>
        <w:pStyle w:val="Heading4"/>
        <w:rPr>
          <w:rFonts w:ascii="Times New Roman" w:hAnsi="Times New Roman" w:cs="Times New Roman"/>
        </w:rPr>
      </w:pPr>
      <w:r w:rsidRPr="00DB5274">
        <w:t xml:space="preserve">Drop the </w:t>
      </w:r>
      <w:proofErr w:type="spellStart"/>
      <w:r w:rsidRPr="00DB5274">
        <w:t>arg</w:t>
      </w:r>
      <w:proofErr w:type="spellEnd"/>
      <w:r w:rsidRPr="00DB5274">
        <w:t xml:space="preserve"> on 1ar theory – that means drop _______ </w:t>
      </w:r>
    </w:p>
    <w:p w14:paraId="7E1CCDED" w14:textId="77777777" w:rsidR="005952D1" w:rsidRPr="00DB5274" w:rsidRDefault="005952D1" w:rsidP="005952D1">
      <w:pPr>
        <w:pStyle w:val="Heading4"/>
        <w:rPr>
          <w:rFonts w:ascii="Times New Roman" w:hAnsi="Times New Roman" w:cs="Times New Roman"/>
        </w:rPr>
      </w:pPr>
      <w:r w:rsidRPr="00DB5274">
        <w:t>A] the 1ar will always be incentivized to go for theory because they get a ballot implication, destroying substance engagement </w:t>
      </w:r>
    </w:p>
    <w:p w14:paraId="39E20407" w14:textId="6B7CB6C0" w:rsidR="005952D1" w:rsidRPr="005952D1" w:rsidRDefault="005952D1" w:rsidP="005952D1">
      <w:pPr>
        <w:pStyle w:val="Heading4"/>
        <w:rPr>
          <w:rFonts w:ascii="Times New Roman" w:hAnsi="Times New Roman" w:cs="Times New Roman"/>
        </w:rPr>
      </w:pPr>
      <w:r w:rsidRPr="00DB5274">
        <w:t xml:space="preserve">B] You shouldn’t stake the round on incomplete 1ar blips that become </w:t>
      </w:r>
      <w:proofErr w:type="gramStart"/>
      <w:r w:rsidRPr="00DB5274">
        <w:t>3 minute</w:t>
      </w:r>
      <w:proofErr w:type="gramEnd"/>
      <w:r w:rsidRPr="00DB5274">
        <w:t xml:space="preserve"> 2ars – that wrecks neg win percentage because it means the 2nr has to overcover 1 second arguments </w:t>
      </w:r>
    </w:p>
    <w:p w14:paraId="7536D040" w14:textId="2BE1FF07" w:rsidR="00D4787D" w:rsidRDefault="00D4787D" w:rsidP="00D4787D">
      <w:pPr>
        <w:pStyle w:val="Heading3"/>
      </w:pPr>
      <w:r>
        <w:t>FWK OV</w:t>
      </w:r>
    </w:p>
    <w:p w14:paraId="57C2A567" w14:textId="4E2D81A7" w:rsidR="002A6FB7" w:rsidRDefault="002A6FB7" w:rsidP="002A6FB7">
      <w:pPr>
        <w:pStyle w:val="Heading4"/>
      </w:pPr>
      <w:r>
        <w:t xml:space="preserve">1)I Intuitionism can’t explain if our intuitions reliably track moral facts. What if we’re the sort of species that has radically wrong intuitions?  This means that either a) the truth of the </w:t>
      </w:r>
      <w:proofErr w:type="spellStart"/>
      <w:r>
        <w:t>resolutional</w:t>
      </w:r>
      <w:proofErr w:type="spellEnd"/>
      <w:r>
        <w:t xml:space="preserve"> moral claim is indeterminate and you negate or b) you default to </w:t>
      </w:r>
      <w:r>
        <w:t>the NC</w:t>
      </w:r>
      <w:r>
        <w:t xml:space="preserve">, because we provide an explanation of how our reason </w:t>
      </w:r>
    </w:p>
    <w:p w14:paraId="6150524F" w14:textId="77777777" w:rsidR="002A6FB7" w:rsidRDefault="002A6FB7" w:rsidP="002A6FB7">
      <w:pPr>
        <w:shd w:val="clear" w:color="auto" w:fill="FFFFFF"/>
        <w:spacing w:after="150"/>
        <w:rPr>
          <w:color w:val="1A1A1A"/>
          <w:sz w:val="25"/>
          <w:szCs w:val="25"/>
        </w:rPr>
      </w:pPr>
      <w:r w:rsidRPr="00224030">
        <w:rPr>
          <w:color w:val="1A1A1A"/>
          <w:sz w:val="25"/>
          <w:szCs w:val="25"/>
        </w:rPr>
        <w:t>https://plato.stanford.edu/entries/moral-non-naturalism/#OpeQueArg</w:t>
      </w:r>
    </w:p>
    <w:p w14:paraId="005DCB9A" w14:textId="4AB9A011" w:rsidR="002A6FB7" w:rsidRDefault="002A6FB7" w:rsidP="002A6FB7">
      <w:pPr>
        <w:shd w:val="clear" w:color="auto" w:fill="FFFFFF"/>
        <w:spacing w:after="150"/>
        <w:rPr>
          <w:color w:val="1A1A1A"/>
          <w:sz w:val="25"/>
          <w:szCs w:val="25"/>
        </w:rPr>
      </w:pPr>
      <w:r w:rsidRPr="00224030">
        <w:rPr>
          <w:color w:val="1A1A1A"/>
          <w:sz w:val="25"/>
          <w:szCs w:val="25"/>
        </w:rPr>
        <w:t xml:space="preserve">One interesting objection to the non-naturalist’s deployment of </w:t>
      </w:r>
      <w:r w:rsidRPr="00224030">
        <w:rPr>
          <w:b/>
          <w:bCs/>
          <w:color w:val="1A1A1A"/>
          <w:sz w:val="25"/>
          <w:szCs w:val="25"/>
          <w:u w:val="single"/>
        </w:rPr>
        <w:t>intuitionism</w:t>
      </w:r>
      <w:r w:rsidRPr="00224030">
        <w:rPr>
          <w:color w:val="1A1A1A"/>
          <w:sz w:val="25"/>
          <w:szCs w:val="25"/>
        </w:rPr>
        <w:t xml:space="preserve"> is that this combination of views </w:t>
      </w:r>
      <w:r w:rsidRPr="00224030">
        <w:rPr>
          <w:b/>
          <w:bCs/>
          <w:color w:val="1A1A1A"/>
          <w:sz w:val="25"/>
          <w:szCs w:val="25"/>
          <w:u w:val="single"/>
        </w:rPr>
        <w:t>makes it a “cosmic coincidence” that our intuitions would reliably track the moral facts</w:t>
      </w:r>
      <w:r w:rsidRPr="00224030">
        <w:rPr>
          <w:color w:val="1A1A1A"/>
          <w:sz w:val="25"/>
          <w:szCs w:val="25"/>
        </w:rPr>
        <w:t xml:space="preserve"> (see </w:t>
      </w:r>
      <w:proofErr w:type="spellStart"/>
      <w:r w:rsidRPr="00224030">
        <w:rPr>
          <w:color w:val="1A1A1A"/>
          <w:sz w:val="25"/>
          <w:szCs w:val="25"/>
        </w:rPr>
        <w:t>Bedke</w:t>
      </w:r>
      <w:proofErr w:type="spellEnd"/>
      <w:r w:rsidRPr="00224030">
        <w:rPr>
          <w:color w:val="1A1A1A"/>
          <w:sz w:val="25"/>
          <w:szCs w:val="25"/>
        </w:rPr>
        <w:t xml:space="preserve"> 2009). The force of the worry derives from the fact that </w:t>
      </w:r>
      <w:r w:rsidRPr="00224030">
        <w:rPr>
          <w:b/>
          <w:bCs/>
          <w:color w:val="1A1A1A"/>
          <w:sz w:val="25"/>
          <w:szCs w:val="25"/>
          <w:u w:val="single"/>
        </w:rPr>
        <w:t>non-natural properties</w:t>
      </w:r>
      <w:r w:rsidRPr="00224030">
        <w:rPr>
          <w:color w:val="1A1A1A"/>
          <w:sz w:val="25"/>
          <w:szCs w:val="25"/>
        </w:rPr>
        <w:t xml:space="preserve">, on some </w:t>
      </w:r>
      <w:proofErr w:type="spellStart"/>
      <w:r w:rsidRPr="00224030">
        <w:rPr>
          <w:color w:val="1A1A1A"/>
          <w:sz w:val="25"/>
          <w:szCs w:val="25"/>
        </w:rPr>
        <w:t>construals</w:t>
      </w:r>
      <w:proofErr w:type="spellEnd"/>
      <w:r w:rsidRPr="00224030">
        <w:rPr>
          <w:color w:val="1A1A1A"/>
          <w:sz w:val="25"/>
          <w:szCs w:val="25"/>
        </w:rPr>
        <w:t xml:space="preserve">, </w:t>
      </w:r>
      <w:r w:rsidRPr="00224030">
        <w:rPr>
          <w:b/>
          <w:bCs/>
          <w:color w:val="1A1A1A"/>
          <w:sz w:val="25"/>
          <w:szCs w:val="25"/>
          <w:u w:val="single"/>
        </w:rPr>
        <w:t xml:space="preserve">are causally inert, whereas our intuitions are psychological states and hence part of the natural world. It is simply not clear how our intuitions could reliably track such facts, given that they are causally isolated from them. An obvious contrast is with the way in which our knowledge of the empirical world plausibly does depend on reliability secured through suitable causal connections. This is obviously related to other worries about the way in which the origins of our moral intuitions </w:t>
      </w:r>
      <w:proofErr w:type="gramStart"/>
      <w:r w:rsidRPr="00224030">
        <w:rPr>
          <w:b/>
          <w:bCs/>
          <w:color w:val="1A1A1A"/>
          <w:sz w:val="25"/>
          <w:szCs w:val="25"/>
          <w:u w:val="single"/>
        </w:rPr>
        <w:t>does</w:t>
      </w:r>
      <w:proofErr w:type="gramEnd"/>
      <w:r w:rsidRPr="00224030">
        <w:rPr>
          <w:b/>
          <w:bCs/>
          <w:color w:val="1A1A1A"/>
          <w:sz w:val="25"/>
          <w:szCs w:val="25"/>
          <w:u w:val="single"/>
        </w:rPr>
        <w:t xml:space="preserve"> not cohere well with their reliability</w:t>
      </w:r>
      <w:r w:rsidRPr="00224030">
        <w:rPr>
          <w:color w:val="1A1A1A"/>
          <w:sz w:val="25"/>
          <w:szCs w:val="25"/>
        </w:rPr>
        <w:t xml:space="preserve">, given non-naturalism – e.g. worries which focus more on the Darwinian influences on human moral judgment (see also Street 2006; for a reply to such worries, see </w:t>
      </w:r>
      <w:proofErr w:type="spellStart"/>
      <w:r w:rsidRPr="00224030">
        <w:rPr>
          <w:color w:val="1A1A1A"/>
          <w:sz w:val="25"/>
          <w:szCs w:val="25"/>
        </w:rPr>
        <w:t>Vavova</w:t>
      </w:r>
      <w:proofErr w:type="spellEnd"/>
      <w:r w:rsidRPr="00224030">
        <w:rPr>
          <w:color w:val="1A1A1A"/>
          <w:sz w:val="25"/>
          <w:szCs w:val="25"/>
        </w:rPr>
        <w:t xml:space="preserve"> forthcoming). Interestingly, some non-naturalists have tried to give a Darwinian argument for a kind of non-theological pre-established harmony between our moral intuitions and the moral facts (see especially Enoch 2011).</w:t>
      </w:r>
    </w:p>
    <w:p w14:paraId="43327A08" w14:textId="44995E0B" w:rsidR="002A6FB7" w:rsidRDefault="002A6FB7" w:rsidP="002A6FB7">
      <w:pPr>
        <w:pStyle w:val="Heading4"/>
      </w:pPr>
      <w:r>
        <w:t xml:space="preserve">2) Their impact calc about how </w:t>
      </w:r>
      <w:proofErr w:type="spellStart"/>
      <w:r>
        <w:t>intuions</w:t>
      </w:r>
      <w:proofErr w:type="spellEnd"/>
      <w:r>
        <w:t xml:space="preserve"> can be unreasonable makes it impossible to affirm the truth of any moral statement—I have the intuition res is false, you have the intuition res true—this means a) you can’t meet your burden of proving the resolution true b) only </w:t>
      </w:r>
      <w:proofErr w:type="spellStart"/>
      <w:r>
        <w:t>hegel</w:t>
      </w:r>
      <w:proofErr w:type="spellEnd"/>
      <w:r>
        <w:t xml:space="preserve"> solves because </w:t>
      </w:r>
      <w:proofErr w:type="spellStart"/>
      <w:r>
        <w:t>hegel</w:t>
      </w:r>
      <w:proofErr w:type="spellEnd"/>
      <w:r>
        <w:t xml:space="preserve"> allows for </w:t>
      </w:r>
      <w:proofErr w:type="spellStart"/>
      <w:r>
        <w:t>intutions</w:t>
      </w:r>
      <w:proofErr w:type="spellEnd"/>
      <w:r>
        <w:t xml:space="preserve"> to be made coherent with one another. </w:t>
      </w:r>
    </w:p>
    <w:p w14:paraId="0F753172" w14:textId="048D87A4" w:rsidR="002A6FB7" w:rsidRDefault="002A6FB7" w:rsidP="002A6FB7">
      <w:pPr>
        <w:pStyle w:val="Heading4"/>
      </w:pPr>
      <w:r>
        <w:t xml:space="preserve">3) There are a bunch of skep triggers in here about motivation and if it guides actions. Group them. A) If there is no internal motivation, the resolution is false </w:t>
      </w:r>
      <w:proofErr w:type="gramStart"/>
      <w:r>
        <w:t>because  law</w:t>
      </w:r>
      <w:proofErr w:type="gramEnd"/>
      <w:r>
        <w:t xml:space="preserve"> enforced by violence is the only plausible way to guide action, making  whatever the state chooses to do legit, including strong IPR. B) Motivations are guided by social norms, meaning Hegel </w:t>
      </w:r>
      <w:proofErr w:type="spellStart"/>
      <w:r>
        <w:t>prereq</w:t>
      </w:r>
      <w:proofErr w:type="spellEnd"/>
      <w:r>
        <w:t xml:space="preserve">. Only social power can solve any rule following/motivation. </w:t>
      </w:r>
    </w:p>
    <w:p w14:paraId="17517AF9" w14:textId="658D9B59" w:rsidR="002A6FB7" w:rsidRPr="001B04CE" w:rsidRDefault="002A6FB7" w:rsidP="002A6FB7">
      <w:pPr>
        <w:pStyle w:val="Heading4"/>
      </w:pPr>
      <w:r>
        <w:t xml:space="preserve">4) Intuitions always negate because the </w:t>
      </w:r>
      <w:proofErr w:type="spellStart"/>
      <w:r>
        <w:t>squo</w:t>
      </w:r>
      <w:proofErr w:type="spellEnd"/>
      <w:r>
        <w:t xml:space="preserve"> is the </w:t>
      </w:r>
      <w:proofErr w:type="spellStart"/>
      <w:r>
        <w:t>squo</w:t>
      </w:r>
      <w:proofErr w:type="spellEnd"/>
      <w:r>
        <w:t xml:space="preserve">, we got there for a reason. </w:t>
      </w:r>
    </w:p>
    <w:p w14:paraId="2BE75AA8" w14:textId="3E206B67" w:rsidR="002A6FB7" w:rsidRDefault="002A6FB7" w:rsidP="002A6FB7">
      <w:pPr>
        <w:pStyle w:val="Heading4"/>
      </w:pPr>
      <w:r>
        <w:t>5) Don’t let them pull any indexicality nonsense—their non-naturalism arguments means that morality is not an indexical claim like a pronoun. The implication of indeterminacy in the context of non-naturalism is that we can’t EVER UNDERSTAND what we are trying to index.  This takes out the very least the “</w:t>
      </w:r>
      <w:proofErr w:type="spellStart"/>
      <w:r>
        <w:t>fw</w:t>
      </w:r>
      <w:proofErr w:type="spellEnd"/>
      <w:r>
        <w:t xml:space="preserve"> share equal moral value” thing, and probably others. </w:t>
      </w:r>
    </w:p>
    <w:p w14:paraId="7CC52ACD" w14:textId="0B195521" w:rsidR="002A6FB7" w:rsidRPr="002A6FB7" w:rsidRDefault="002A6FB7" w:rsidP="002A6FB7">
      <w:pPr>
        <w:pStyle w:val="Heading4"/>
      </w:pPr>
      <w:r>
        <w:t xml:space="preserve">6] </w:t>
      </w:r>
      <w:r>
        <w:t xml:space="preserve">Cartesian Skep – truth requires one to be </w:t>
      </w:r>
      <w:proofErr w:type="gramStart"/>
      <w:r>
        <w:t>absolutely certain</w:t>
      </w:r>
      <w:proofErr w:type="gramEnd"/>
      <w:r>
        <w:t xml:space="preserve"> about a statement or else the statement cannot be held true. For example, saying all apples are red requires certainty that no apples are blue or else the statement is an assumption. However, one cannot rule out the possibility of a deceptive demon who deceives all in their beliefs while simultaneously assuring ourselves that we are right. Thus, one can never prove that the external world exists because our knowledge of it may always be incorrect. This also proves solipsism is true as we can only be sure of our own mind and consciousness, but we can never verify that of the other.</w:t>
      </w:r>
    </w:p>
    <w:p w14:paraId="18016F76" w14:textId="2485C523" w:rsidR="00D4787D" w:rsidRDefault="002A6FB7" w:rsidP="002A6FB7">
      <w:pPr>
        <w:pStyle w:val="Heading3"/>
      </w:pPr>
      <w:r>
        <w:t xml:space="preserve">Framing </w:t>
      </w:r>
    </w:p>
    <w:p w14:paraId="3D8EEFB6" w14:textId="77777777" w:rsidR="002A6FB7" w:rsidRPr="00A02BC1" w:rsidRDefault="002A6FB7" w:rsidP="002A6FB7">
      <w:pPr>
        <w:pStyle w:val="Heading4"/>
        <w:rPr>
          <w:sz w:val="24"/>
        </w:rPr>
      </w:pPr>
      <w:r w:rsidRPr="00A02BC1">
        <w:t>Permissibility Negates –</w:t>
      </w:r>
    </w:p>
    <w:p w14:paraId="2F8EE027" w14:textId="77777777" w:rsidR="002A6FB7" w:rsidRPr="00A02BC1" w:rsidRDefault="002A6FB7" w:rsidP="002A6FB7">
      <w:pPr>
        <w:pStyle w:val="Heading4"/>
        <w:rPr>
          <w:sz w:val="24"/>
        </w:rPr>
      </w:pPr>
      <w:r w:rsidRPr="00A02BC1">
        <w:t xml:space="preserve">1] Semantics – Ought </w:t>
      </w:r>
      <w:proofErr w:type="gramStart"/>
      <w:r w:rsidRPr="00A02BC1">
        <w:t>is</w:t>
      </w:r>
      <w:proofErr w:type="gramEnd"/>
      <w:r w:rsidRPr="00A02BC1">
        <w:t xml:space="preserve"> defined as expressing obligation which means absent a proactive obligation you vote neg since there’s a trichotomy between prohibition, obligation, and permissibility and proving one disproves the other two.</w:t>
      </w:r>
    </w:p>
    <w:p w14:paraId="1739F324" w14:textId="77777777" w:rsidR="002A6FB7" w:rsidRPr="00A02BC1" w:rsidRDefault="002A6FB7" w:rsidP="002A6FB7">
      <w:pPr>
        <w:pStyle w:val="Heading4"/>
        <w:rPr>
          <w:sz w:val="24"/>
        </w:rPr>
      </w:pPr>
      <w:r w:rsidRPr="00A02BC1">
        <w:t xml:space="preserve">2] Safety – It’s ethically safer to presume the </w:t>
      </w:r>
      <w:proofErr w:type="spellStart"/>
      <w:r w:rsidRPr="00A02BC1">
        <w:t>squo</w:t>
      </w:r>
      <w:proofErr w:type="spellEnd"/>
      <w:r w:rsidRPr="00A02BC1">
        <w:t xml:space="preserve"> since we know what the </w:t>
      </w:r>
      <w:proofErr w:type="spellStart"/>
      <w:r w:rsidRPr="00A02BC1">
        <w:t>squo</w:t>
      </w:r>
      <w:proofErr w:type="spellEnd"/>
      <w:r w:rsidRPr="00A02BC1">
        <w:t xml:space="preserve"> </w:t>
      </w:r>
      <w:proofErr w:type="gramStart"/>
      <w:r w:rsidRPr="00A02BC1">
        <w:t>is</w:t>
      </w:r>
      <w:proofErr w:type="gramEnd"/>
      <w:r w:rsidRPr="00A02BC1">
        <w:t xml:space="preserve"> but we can’t know whether the </w:t>
      </w:r>
      <w:proofErr w:type="spellStart"/>
      <w:r w:rsidRPr="00A02BC1">
        <w:t>aff</w:t>
      </w:r>
      <w:proofErr w:type="spellEnd"/>
      <w:r w:rsidRPr="00A02BC1">
        <w:t xml:space="preserve"> will be good or not if ethics are incoherent.</w:t>
      </w:r>
    </w:p>
    <w:p w14:paraId="25315DAF" w14:textId="77777777" w:rsidR="002A6FB7" w:rsidRPr="00A02BC1" w:rsidRDefault="002A6FB7" w:rsidP="002A6FB7">
      <w:pPr>
        <w:pStyle w:val="Heading4"/>
        <w:rPr>
          <w:sz w:val="24"/>
        </w:rPr>
      </w:pPr>
      <w:r w:rsidRPr="00A02BC1">
        <w:t xml:space="preserve">3] Logic – Propositions require positive justification before being accepted, otherwise one would be forced to accept the validity of logically contradictory propositions regarding subjects one knows nothing about, </w:t>
      </w:r>
      <w:proofErr w:type="spellStart"/>
      <w:r w:rsidRPr="00A02BC1">
        <w:t>i.e</w:t>
      </w:r>
      <w:proofErr w:type="spellEnd"/>
      <w:r w:rsidRPr="00A02BC1">
        <w:t xml:space="preserve"> if one knew nothing about P one would have to presume that both the "P" and "~P" are true.</w:t>
      </w:r>
    </w:p>
    <w:p w14:paraId="71E3BF7D" w14:textId="77777777" w:rsidR="002A6FB7" w:rsidRPr="00A02BC1" w:rsidRDefault="002A6FB7" w:rsidP="002A6FB7">
      <w:pPr>
        <w:pStyle w:val="Heading4"/>
        <w:rPr>
          <w:sz w:val="24"/>
        </w:rPr>
      </w:pPr>
      <w:r w:rsidRPr="00A02BC1">
        <w:t xml:space="preserve">4] Shiftiness – Permissibility ground encourages the </w:t>
      </w:r>
      <w:proofErr w:type="spellStart"/>
      <w:r w:rsidRPr="00A02BC1">
        <w:t>aff</w:t>
      </w:r>
      <w:proofErr w:type="spellEnd"/>
      <w:r w:rsidRPr="00A02BC1">
        <w:t xml:space="preserve"> to load up with triggers and the 1ar controls the direction of the round which means they can moot all my </w:t>
      </w:r>
      <w:proofErr w:type="gramStart"/>
      <w:r w:rsidRPr="00A02BC1">
        <w:t>offense,</w:t>
      </w:r>
      <w:proofErr w:type="gramEnd"/>
      <w:r w:rsidRPr="00A02BC1">
        <w:t xml:space="preserve"> I need permissibility in the 2n to compensate.</w:t>
      </w:r>
    </w:p>
    <w:p w14:paraId="49361219" w14:textId="77777777" w:rsidR="002A6FB7" w:rsidRPr="00A02BC1" w:rsidRDefault="002A6FB7" w:rsidP="002A6FB7">
      <w:pPr>
        <w:pStyle w:val="Heading4"/>
        <w:rPr>
          <w:sz w:val="24"/>
        </w:rPr>
      </w:pPr>
      <w:r w:rsidRPr="00A02BC1">
        <w:t xml:space="preserve">Presume neg- 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w:t>
      </w:r>
      <w:proofErr w:type="gramStart"/>
      <w:r w:rsidRPr="00A02BC1">
        <w:t>amount</w:t>
      </w:r>
      <w:proofErr w:type="gramEnd"/>
      <w:r w:rsidRPr="00A02BC1">
        <w:t xml:space="preserve"> of ways.</w:t>
      </w:r>
    </w:p>
    <w:p w14:paraId="3AE89EC4" w14:textId="77777777" w:rsidR="002A6FB7" w:rsidRPr="002A6FB7" w:rsidRDefault="002A6FB7" w:rsidP="002A6FB7"/>
    <w:sectPr w:rsidR="002A6FB7" w:rsidRPr="002A6F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78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FB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2D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94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87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A028A"/>
  <w14:defaultImageDpi w14:val="300"/>
  <w15:docId w15:val="{0D80F460-5D67-1544-9D4D-FBDB8B15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78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478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78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78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9"/>
    <w:unhideWhenUsed/>
    <w:qFormat/>
    <w:rsid w:val="00D478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78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87D"/>
  </w:style>
  <w:style w:type="character" w:customStyle="1" w:styleId="Heading1Char">
    <w:name w:val="Heading 1 Char"/>
    <w:aliases w:val="Pocket Char"/>
    <w:basedOn w:val="DefaultParagraphFont"/>
    <w:link w:val="Heading1"/>
    <w:uiPriority w:val="9"/>
    <w:rsid w:val="00D478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78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787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9"/>
    <w:rsid w:val="00D4787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4787D"/>
    <w:rPr>
      <w:b/>
      <w:sz w:val="26"/>
      <w:u w:val="none"/>
    </w:rPr>
  </w:style>
  <w:style w:type="character" w:customStyle="1" w:styleId="StyleUnderline">
    <w:name w:val="Style Underline"/>
    <w:aliases w:val="Underline"/>
    <w:basedOn w:val="DefaultParagraphFont"/>
    <w:uiPriority w:val="1"/>
    <w:qFormat/>
    <w:rsid w:val="00D4787D"/>
    <w:rPr>
      <w:b w:val="0"/>
      <w:sz w:val="22"/>
      <w:u w:val="single"/>
    </w:rPr>
  </w:style>
  <w:style w:type="character" w:styleId="Emphasis">
    <w:name w:val="Emphasis"/>
    <w:basedOn w:val="DefaultParagraphFont"/>
    <w:uiPriority w:val="20"/>
    <w:qFormat/>
    <w:rsid w:val="00D478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4787D"/>
    <w:rPr>
      <w:color w:val="auto"/>
      <w:u w:val="none"/>
    </w:rPr>
  </w:style>
  <w:style w:type="character" w:styleId="Hyperlink">
    <w:name w:val="Hyperlink"/>
    <w:aliases w:val="heading 1 (block title),Important,Read,Internet Link,Card Text,Analytic Text,Internet link,Char Char1,Heading 3 Char1,Block Char1,Char Char Char Char Char Char Char Char Char1,Char1 Char1,Char Char Char Char Char Char Char Char2,Text 7 Char1,C"/>
    <w:basedOn w:val="DefaultParagraphFont"/>
    <w:uiPriority w:val="99"/>
    <w:unhideWhenUsed/>
    <w:rsid w:val="00D4787D"/>
    <w:rPr>
      <w:color w:val="auto"/>
      <w:u w:val="none"/>
    </w:rPr>
  </w:style>
  <w:style w:type="paragraph" w:styleId="DocumentMap">
    <w:name w:val="Document Map"/>
    <w:basedOn w:val="Normal"/>
    <w:link w:val="DocumentMapChar"/>
    <w:uiPriority w:val="99"/>
    <w:semiHidden/>
    <w:unhideWhenUsed/>
    <w:rsid w:val="00D478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787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independent.org/pdf/tir/tir_13_03_4_otteson.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2029</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2022-01-28T18:56:00Z</dcterms:created>
  <dcterms:modified xsi:type="dcterms:W3CDTF">2022-01-28T21:03:00Z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