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5E69" w14:textId="3AFAA5BB" w:rsidR="007A6758" w:rsidRPr="00851EC4" w:rsidRDefault="007A6758" w:rsidP="007A6758">
      <w:pPr>
        <w:pStyle w:val="Heading1"/>
      </w:pPr>
      <w:r>
        <w:t>Cypress Bay R</w:t>
      </w:r>
      <w:r>
        <w:t>3</w:t>
      </w:r>
      <w:r>
        <w:t xml:space="preserve"> v Coral Glades MT</w:t>
      </w:r>
    </w:p>
    <w:p w14:paraId="7BE8B992" w14:textId="2E1740C3" w:rsidR="007A6758" w:rsidRDefault="007A6758" w:rsidP="007A6758">
      <w:pPr>
        <w:pStyle w:val="Heading2"/>
      </w:pPr>
      <w:r>
        <w:t>1AC</w:t>
      </w:r>
    </w:p>
    <w:p w14:paraId="07CDC2F5" w14:textId="3CB4B74C" w:rsidR="007A6758" w:rsidRPr="0007420E" w:rsidRDefault="007A6758" w:rsidP="007A6758">
      <w:pPr>
        <w:pStyle w:val="Heading3"/>
        <w:rPr>
          <w:rFonts w:cs="Calibri"/>
        </w:rPr>
      </w:pPr>
      <w:r w:rsidRPr="0007420E">
        <w:rPr>
          <w:rFonts w:cs="Calibri"/>
        </w:rPr>
        <w:t>Framework</w:t>
      </w:r>
    </w:p>
    <w:p w14:paraId="7BBCD830" w14:textId="77777777" w:rsidR="007A6758" w:rsidRPr="0007420E" w:rsidRDefault="007A6758" w:rsidP="007A6758">
      <w:pPr>
        <w:pStyle w:val="Heading4"/>
        <w:rPr>
          <w:rFonts w:cs="Calibri"/>
        </w:rPr>
      </w:pPr>
      <w:r w:rsidRPr="0007420E">
        <w:rPr>
          <w:rFonts w:cs="Calibri"/>
        </w:rPr>
        <w:t>Freedom is a primary ethical good –</w:t>
      </w:r>
    </w:p>
    <w:p w14:paraId="16BEA991" w14:textId="77777777" w:rsidR="007A6758" w:rsidRPr="0007420E" w:rsidRDefault="007A6758" w:rsidP="007A6758">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2B7BEA88" w14:textId="77777777" w:rsidR="007A6758" w:rsidRPr="0007420E" w:rsidRDefault="007A6758" w:rsidP="007A6758">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4BE1287D" w14:textId="3B3B4669" w:rsidR="007A6758" w:rsidRDefault="007A6758" w:rsidP="007A6758">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D897326" w14:textId="77777777" w:rsidR="00AC172B" w:rsidRPr="0007420E" w:rsidRDefault="00AC172B" w:rsidP="00AC172B">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0D1338B9" w14:textId="77777777" w:rsidR="00AC172B" w:rsidRPr="0007420E" w:rsidRDefault="00AC172B" w:rsidP="00AC172B">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6C08ED6E" w14:textId="3D1814BC" w:rsidR="00AC172B" w:rsidRPr="00AC172B" w:rsidRDefault="00AC172B" w:rsidP="007A6758">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17DB2F62" w14:textId="77777777" w:rsidR="007A6758" w:rsidRPr="00F60A9D" w:rsidRDefault="007A6758" w:rsidP="007A6758">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4EB592A0" w14:textId="77777777" w:rsidR="007A6758" w:rsidRPr="00BA7908" w:rsidRDefault="007A6758" w:rsidP="007A6758">
      <w:pPr>
        <w:rPr>
          <w:sz w:val="16"/>
          <w:szCs w:val="16"/>
        </w:rPr>
      </w:pPr>
      <w:r w:rsidRPr="00BA7908">
        <w:rPr>
          <w:sz w:val="16"/>
          <w:szCs w:val="16"/>
        </w:rPr>
        <w:t>Philip Pettit, “Legitimacy and Justice in Republican Perspective” Current Legal Problems, 2012 RE Recut LHP AV</w:t>
      </w:r>
    </w:p>
    <w:p w14:paraId="26C6DDAB" w14:textId="77777777" w:rsidR="007A6758" w:rsidRPr="00F60A9D" w:rsidRDefault="007A6758" w:rsidP="007A6758">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36329EEC" w14:textId="77777777" w:rsidR="007A6758" w:rsidRPr="007C26D7" w:rsidRDefault="007A6758" w:rsidP="007A6758">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4F07873F" w14:textId="77777777" w:rsidR="007A6758" w:rsidRDefault="007A6758" w:rsidP="007A6758">
      <w:pPr>
        <w:pStyle w:val="Heading4"/>
      </w:pPr>
      <w:r w:rsidRPr="0007420E">
        <w:t>Impact calc</w:t>
      </w:r>
      <w:r>
        <w:t xml:space="preserve"> – power can be exercised non-arbitrarily insofar as those interfered with have control over domination, Pettit 2:</w:t>
      </w:r>
    </w:p>
    <w:p w14:paraId="6EDC489C" w14:textId="77777777" w:rsidR="007A6758" w:rsidRPr="00DA77C9" w:rsidRDefault="007A6758" w:rsidP="007A6758">
      <w:r>
        <w:t>Pettit P. Freedom in the market. Politics, Philosophy &amp; Economics. 2006;5(2):131-149. doi:10.1177/1470594X06064218 //LHP AV Accessed 7/4/21</w:t>
      </w:r>
    </w:p>
    <w:p w14:paraId="13DA88E1" w14:textId="77777777" w:rsidR="007A6758" w:rsidRPr="00E80A12" w:rsidRDefault="007A6758" w:rsidP="007A6758">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41C1CB1F" w14:textId="77777777" w:rsidR="007A6758" w:rsidRPr="0007420E" w:rsidRDefault="007A6758" w:rsidP="007A6758">
      <w:pPr>
        <w:pStyle w:val="Heading4"/>
      </w:pPr>
      <w:r w:rsidRPr="0007420E">
        <w:t>Prefer –</w:t>
      </w:r>
    </w:p>
    <w:p w14:paraId="429A449F" w14:textId="77777777" w:rsidR="007A6758" w:rsidRPr="00F60A9D" w:rsidRDefault="007A6758" w:rsidP="007A6758">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334751DE" w14:textId="77777777" w:rsidR="007A6758" w:rsidRPr="00BA7908" w:rsidRDefault="007A6758" w:rsidP="007A6758">
      <w:pPr>
        <w:rPr>
          <w:sz w:val="16"/>
          <w:szCs w:val="16"/>
        </w:rPr>
      </w:pPr>
      <w:r w:rsidRPr="00BA7908">
        <w:rPr>
          <w:sz w:val="16"/>
          <w:szCs w:val="16"/>
        </w:rPr>
        <w:t>PETTIT, PHILIP. “THE DOMINATION COMPLAINT.” Nomos, vol. 46, 2005, pp. 87–117. JSTOR, www.jstor.org/stable/24220143. Accessed 19 Aug. 2020.</w:t>
      </w:r>
    </w:p>
    <w:p w14:paraId="521C7DC6" w14:textId="77777777" w:rsidR="007A6758" w:rsidRPr="00F60A9D" w:rsidRDefault="007A6758" w:rsidP="007A6758">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Thus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inter act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2A1203C0" w14:textId="77777777" w:rsidR="007A6758" w:rsidRPr="00F60A9D" w:rsidRDefault="007A6758" w:rsidP="007A6758">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1026A908" w14:textId="77777777" w:rsidR="007A6758" w:rsidRPr="00BA7908" w:rsidRDefault="007A6758" w:rsidP="007A6758">
      <w:pPr>
        <w:rPr>
          <w:sz w:val="16"/>
          <w:szCs w:val="16"/>
        </w:rPr>
      </w:pPr>
      <w:r w:rsidRPr="00BA7908">
        <w:rPr>
          <w:sz w:val="16"/>
          <w:szCs w:val="16"/>
        </w:rPr>
        <w:t>PETTIT, PHILIP. “THE DOMINATION COMPLAINT.” Nomos, vol. 46, 2005, pp. 87–117. JSTOR, www.jstor.org/stable/24220143. Accessed 19 Aug. 2020.</w:t>
      </w:r>
    </w:p>
    <w:p w14:paraId="362F47F0" w14:textId="77777777" w:rsidR="007A6758" w:rsidRPr="00F60A9D" w:rsidRDefault="007A6758" w:rsidP="007A6758">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4EE78639" w14:textId="77777777" w:rsidR="007A6758" w:rsidRPr="0007420E" w:rsidRDefault="007A6758" w:rsidP="007A6758">
      <w:pPr>
        <w:pStyle w:val="Heading3"/>
        <w:rPr>
          <w:rFonts w:cs="Calibri"/>
        </w:rPr>
      </w:pPr>
      <w:r w:rsidRPr="0007420E">
        <w:rPr>
          <w:rFonts w:cs="Calibri"/>
        </w:rPr>
        <w:t>Contention</w:t>
      </w:r>
    </w:p>
    <w:p w14:paraId="23150FDA" w14:textId="77777777" w:rsidR="007A6758" w:rsidRPr="00F36497" w:rsidRDefault="007A6758" w:rsidP="007A6758">
      <w:pPr>
        <w:pStyle w:val="Heading4"/>
      </w:pPr>
      <w:r w:rsidRPr="0007420E">
        <w:t xml:space="preserve">Absent a right to strike, </w:t>
      </w:r>
      <w:r>
        <w:t>workers are dominated –</w:t>
      </w:r>
    </w:p>
    <w:p w14:paraId="7A0DDB2F" w14:textId="77777777" w:rsidR="007A6758" w:rsidRDefault="007A6758" w:rsidP="007A6758">
      <w:pPr>
        <w:pStyle w:val="Heading4"/>
      </w:pPr>
      <w:r w:rsidRPr="0007420E">
        <w:t>1] Structural</w:t>
      </w:r>
      <w:r>
        <w:t xml:space="preserve"> Domination – a labor market structurally requires exploitation and domination – workers need an alternative, Gourevitch 16:</w:t>
      </w:r>
    </w:p>
    <w:p w14:paraId="009E94BC" w14:textId="77777777" w:rsidR="007A6758" w:rsidRDefault="007A6758" w:rsidP="007A6758">
      <w:r w:rsidRPr="007D4300">
        <w:t>Gourevitch, A.. “Quitting Work but Not the Job: Liberty and the Right to Strike.” Perspectives on Politics 14 (2016): 307 - 323.</w:t>
      </w:r>
      <w:r>
        <w:t xml:space="preserve"> //LHP AV Accessed 7/4/21</w:t>
      </w:r>
    </w:p>
    <w:p w14:paraId="5EBCB11C" w14:textId="77777777" w:rsidR="007A6758" w:rsidRPr="00DC007D" w:rsidRDefault="007A6758" w:rsidP="007A6758">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07E35D96" w14:textId="77777777" w:rsidR="007A6758" w:rsidRDefault="007A6758" w:rsidP="007A6758">
      <w:pPr>
        <w:pStyle w:val="Heading4"/>
      </w:pPr>
      <w:r w:rsidRPr="0007420E">
        <w:t>2] Workplace</w:t>
      </w:r>
      <w:r>
        <w:t xml:space="preserve"> Domination – authority within the workplace arbitrarily resides in the hands of employers, which alienates and dominates workers, Gourevitch 2:</w:t>
      </w:r>
    </w:p>
    <w:p w14:paraId="3889FD56" w14:textId="77777777" w:rsidR="007A6758" w:rsidRDefault="007A6758" w:rsidP="007A6758">
      <w:r w:rsidRPr="007D4300">
        <w:t>Gourevitch, A.. “Quitting Work but Not the Job: Liberty and the Right to Strike.” Perspectives on Politics 14 (2016): 307 - 323.</w:t>
      </w:r>
      <w:r>
        <w:t xml:space="preserve"> //LHP AV Accessed 7/4/21</w:t>
      </w:r>
    </w:p>
    <w:p w14:paraId="20C8AEC6" w14:textId="77777777" w:rsidR="007A6758" w:rsidRPr="00450D02" w:rsidRDefault="007A6758" w:rsidP="007A6758">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4DE5B64C" w14:textId="77777777" w:rsidR="007A6758" w:rsidRDefault="007A6758" w:rsidP="007A6758">
      <w:pPr>
        <w:pStyle w:val="Heading4"/>
      </w:pPr>
      <w:r w:rsidRPr="0007420E">
        <w:t>Thus, the plan:</w:t>
      </w:r>
      <w:r>
        <w:t xml:space="preserve"> A just government ought to recognize an unconditional right of workers to strike. Gourevitch 3:</w:t>
      </w:r>
    </w:p>
    <w:p w14:paraId="008F6FAF" w14:textId="77777777" w:rsidR="007A6758" w:rsidRPr="007D4300" w:rsidRDefault="007A6758" w:rsidP="007A6758">
      <w:r w:rsidRPr="007D4300">
        <w:t>Gourevitch, A.. “Quitting Work but Not the Job: Liberty and the Right to Strike.” Perspectives on Politics 14 (2016): 307 - 323.</w:t>
      </w:r>
      <w:r>
        <w:t xml:space="preserve"> //LHP AV Accessed 7/4/21</w:t>
      </w:r>
    </w:p>
    <w:p w14:paraId="19BC3989" w14:textId="77777777" w:rsidR="007A6758" w:rsidRPr="00444C7A" w:rsidRDefault="007A6758" w:rsidP="007A6758">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64F7EFA5" w14:textId="77777777" w:rsidR="007A6758" w:rsidRDefault="007A6758" w:rsidP="007A6758">
      <w:pPr>
        <w:pStyle w:val="Heading4"/>
      </w:pPr>
      <w:r>
        <w:t>Current legal norms effectively eliminate a right to strike – the aff’s philosophical defense grounds an unconditional right to strike that’s distinct from the traditional voluntarist version, Gourevitch 4:</w:t>
      </w:r>
    </w:p>
    <w:p w14:paraId="16B17F19" w14:textId="77777777" w:rsidR="007A6758" w:rsidRDefault="007A6758" w:rsidP="007A6758">
      <w:r w:rsidRPr="007D4300">
        <w:t>Gourevitch, A.. “Quitting Work but Not the Job: Liberty and the Right to Strike.” Perspectives on Politics 14 (2016): 307 - 323.</w:t>
      </w:r>
      <w:r>
        <w:t xml:space="preserve"> //LHP AV Accessed 7/4/21</w:t>
      </w:r>
    </w:p>
    <w:p w14:paraId="32659E53" w14:textId="77777777" w:rsidR="007A6758" w:rsidRPr="00444C7A" w:rsidRDefault="007A6758" w:rsidP="007A6758">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Or the right to strike must take place purely in voluntaristic terms, in which case no basic rights are violated. But in that case there is little chance of the strike succeeding and there is no recognition of the strikers’ right to the job</w:t>
      </w:r>
      <w:r w:rsidRPr="00444C7A">
        <w:rPr>
          <w:sz w:val="10"/>
        </w:rPr>
        <w:t xml:space="preserve">. Lest this seem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r w:rsidRPr="00444C7A">
        <w:rPr>
          <w:b/>
          <w:bCs/>
          <w:u w:val="single"/>
        </w:rPr>
        <w:t>remains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bread and butter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7F77B17D" w14:textId="77777777" w:rsidR="007A6758" w:rsidRDefault="007A6758" w:rsidP="007A6758">
      <w:pPr>
        <w:pStyle w:val="Heading4"/>
      </w:pPr>
      <w:r>
        <w:t>The plan solves –</w:t>
      </w:r>
    </w:p>
    <w:p w14:paraId="2DE0F25C" w14:textId="77777777" w:rsidR="007A6758" w:rsidRDefault="007A6758" w:rsidP="007A6758">
      <w:pPr>
        <w:pStyle w:val="Heading4"/>
      </w:pPr>
      <w:r>
        <w:t>1] Power – it reverses power relationships and challenges the structure of economic control itself – that alleviates domination, Gourevitch 5:</w:t>
      </w:r>
    </w:p>
    <w:p w14:paraId="29BE8745" w14:textId="77777777" w:rsidR="007A6758" w:rsidRPr="005D1088" w:rsidRDefault="007A6758" w:rsidP="007A6758">
      <w:r w:rsidRPr="007D4300">
        <w:t>Gourevitch, A.. “Quitting Work but Not the Job: Liberty and the Right to Strike.” Perspectives on Politics 14 (2016): 307 - 323.</w:t>
      </w:r>
      <w:r>
        <w:t xml:space="preserve"> //LHP AV Accessed 7/4/21</w:t>
      </w:r>
    </w:p>
    <w:p w14:paraId="0D581F5C" w14:textId="77777777" w:rsidR="007A6758" w:rsidRPr="005D1088" w:rsidRDefault="007A6758" w:rsidP="007A6758">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08B7D63B" w14:textId="77777777" w:rsidR="007A6758" w:rsidRDefault="007A6758" w:rsidP="007A6758">
      <w:pPr>
        <w:pStyle w:val="Heading4"/>
      </w:pPr>
      <w:r>
        <w:t>2</w:t>
      </w:r>
      <w:r w:rsidRPr="0007420E">
        <w:t xml:space="preserve">] </w:t>
      </w:r>
      <w:r>
        <w:t>Decommodification – strikes challenge the notion of labor as a mere commodity – that empowers workers and resists arbitrary managerial authority, Gourevitch 6:</w:t>
      </w:r>
    </w:p>
    <w:p w14:paraId="0FA245B1" w14:textId="77777777" w:rsidR="007A6758" w:rsidRDefault="007A6758" w:rsidP="007A6758">
      <w:r w:rsidRPr="007D4300">
        <w:t>Gourevitch, A.. “Quitting Work but Not the Job: Liberty and the Right to Strike.” Perspectives on Politics 14 (2016): 307 - 323.</w:t>
      </w:r>
      <w:r>
        <w:t xml:space="preserve"> //LHP AV Accessed 7/4/21</w:t>
      </w:r>
    </w:p>
    <w:p w14:paraId="5F5849E0" w14:textId="77777777" w:rsidR="007A6758" w:rsidRDefault="007A6758" w:rsidP="007A6758">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59170784" w14:textId="555CA07B" w:rsidR="007A6758" w:rsidRDefault="00771CAD" w:rsidP="00771CAD">
      <w:pPr>
        <w:pStyle w:val="Heading3"/>
      </w:pPr>
      <w:r>
        <w:t xml:space="preserve">ROB </w:t>
      </w:r>
    </w:p>
    <w:p w14:paraId="5D857CE7" w14:textId="0AAD109B" w:rsidR="00771CAD" w:rsidRDefault="00771CAD" w:rsidP="00771CAD">
      <w:pPr>
        <w:pStyle w:val="Heading4"/>
      </w:pPr>
      <w:r>
        <w:t xml:space="preserve">The Role of the Ballot is to vote for the debater who best proves the truth or falsity of the resolution: </w:t>
      </w:r>
    </w:p>
    <w:p w14:paraId="01B2D40F" w14:textId="77777777" w:rsidR="00771CAD" w:rsidRPr="00F842AE" w:rsidRDefault="00771CAD" w:rsidP="00771CAD">
      <w:pPr>
        <w:pStyle w:val="Heading4"/>
      </w:pPr>
      <w:r>
        <w:t xml:space="preserve">1] </w:t>
      </w:r>
      <w:r w:rsidRPr="00F842AE">
        <w:t>Critical pedagogy forces the judge into the role of coercer – Rickert:</w:t>
      </w:r>
    </w:p>
    <w:p w14:paraId="447DFB0C" w14:textId="77777777" w:rsidR="00771CAD" w:rsidRPr="00F842AE" w:rsidRDefault="00771CAD" w:rsidP="00771CAD">
      <w:r w:rsidRPr="00F842AE">
        <w:t>(Thomas, “"Hands Up, You're Free": Composition in a Post-Oedipal World”, JacOnline Journal, wbem)</w:t>
      </w:r>
    </w:p>
    <w:p w14:paraId="3014CCA9" w14:textId="77777777" w:rsidR="00771CAD" w:rsidRDefault="00771CAD" w:rsidP="00771CAD">
      <w:pPr>
        <w:rPr>
          <w:color w:val="000000" w:themeColor="text1"/>
          <w:sz w:val="12"/>
          <w:szCs w:val="12"/>
        </w:rPr>
      </w:pPr>
      <w:r w:rsidRPr="001F131E">
        <w:rPr>
          <w:b/>
          <w:color w:val="000000" w:themeColor="text1"/>
          <w:szCs w:val="26"/>
        </w:rPr>
        <w:t xml:space="preserve"> </w:t>
      </w:r>
      <w:r w:rsidRPr="001F131E">
        <w:rPr>
          <w:b/>
          <w:color w:val="000000" w:themeColor="text1"/>
          <w:szCs w:val="26"/>
          <w:u w:val="single"/>
        </w:rPr>
        <w:t xml:space="preserve">An example of the connection between </w:t>
      </w:r>
      <w:r w:rsidRPr="005333E1">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5333E1">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and Peter Mcl.aren. They explain,</w:t>
      </w:r>
      <w:r w:rsidRPr="001F131E">
        <w:rPr>
          <w:b/>
          <w:color w:val="000000" w:themeColor="text1"/>
          <w:szCs w:val="26"/>
        </w:rPr>
        <w:t xml:space="preserve"> </w:t>
      </w:r>
      <w:r w:rsidRPr="005333E1">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5333E1">
        <w:rPr>
          <w:b/>
          <w:color w:val="000000" w:themeColor="text1"/>
          <w:szCs w:val="26"/>
          <w:highlight w:val="yellow"/>
          <w:u w:val="single"/>
        </w:rPr>
        <w:t>critical pedagogy</w:t>
      </w:r>
      <w:r w:rsidRPr="001F131E">
        <w:rPr>
          <w:b/>
          <w:color w:val="000000" w:themeColor="text1"/>
          <w:szCs w:val="26"/>
          <w:u w:val="single"/>
        </w:rPr>
        <w:t xml:space="preserve"> is the conviction that schooling for self- and social empowerment </w:t>
      </w:r>
      <w:r w:rsidRPr="001F131E">
        <w:rPr>
          <w:color w:val="000000" w:themeColor="text1"/>
          <w:sz w:val="12"/>
          <w:szCs w:val="12"/>
        </w:rPr>
        <w:t>is ethically prior to questions of epistemology or to a mastery oftechnical or social skills that are primarily tied to the logic of the marketplace" (153-54).</w:t>
      </w:r>
      <w:r w:rsidRPr="001F131E">
        <w:rPr>
          <w:b/>
          <w:color w:val="000000" w:themeColor="text1"/>
          <w:sz w:val="8"/>
          <w:szCs w:val="8"/>
          <w:u w:val="single"/>
        </w:rPr>
        <w:t xml:space="preserve"> </w:t>
      </w:r>
      <w:r w:rsidRPr="005333E1">
        <w:rPr>
          <w:b/>
          <w:color w:val="000000" w:themeColor="text1"/>
          <w:szCs w:val="26"/>
          <w:highlight w:val="yellow"/>
          <w:u w:val="single"/>
        </w:rPr>
        <w:t>A presumption here is that it is the teacher who knows (best</w:t>
      </w:r>
      <w:r w:rsidRPr="005333E1">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5333E1">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5333E1">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5333E1">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5333E1">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w:t>
      </w:r>
    </w:p>
    <w:p w14:paraId="24423EA9" w14:textId="77777777" w:rsidR="00771CAD" w:rsidRPr="00472E00" w:rsidRDefault="00771CAD" w:rsidP="00771CAD">
      <w:pPr>
        <w:pStyle w:val="Heading4"/>
      </w:pPr>
      <w:r>
        <w:t xml:space="preserve">2] </w:t>
      </w:r>
      <w:r w:rsidRPr="00472E00">
        <w:t>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7C937F35" w14:textId="77777777" w:rsidR="00771CAD" w:rsidRDefault="00771CAD" w:rsidP="00771CAD">
      <w:pPr>
        <w:pStyle w:val="Heading4"/>
      </w:pPr>
      <w:r>
        <w:t xml:space="preserve">3] </w:t>
      </w:r>
      <w:r w:rsidRPr="008A6C96">
        <w:t>Constitutive: The ballot asks you to either vote aff or neg based on the given resolution a) Five dictionaries</w:t>
      </w:r>
      <w:r w:rsidRPr="008A6C96">
        <w:footnoteReference w:id="1"/>
      </w:r>
      <w:r w:rsidRPr="008A6C96">
        <w:t xml:space="preserve"> define to negate as to deny the truth of and affirm</w:t>
      </w:r>
      <w:r w:rsidRPr="008A6C96">
        <w:footnoteReference w:id="2"/>
      </w:r>
      <w:r w:rsidRPr="008A6C96">
        <w:t xml:space="preserve"> as to prove true which means its intrinsic to the nature of the activity b) </w:t>
      </w:r>
      <w:r>
        <w:t xml:space="preserve">Anything else is intervention - </w:t>
      </w:r>
      <w:r w:rsidRPr="008A6C96">
        <w:t>Branse</w:t>
      </w:r>
      <w:r>
        <w:t>:</w:t>
      </w:r>
    </w:p>
    <w:p w14:paraId="41841F3F" w14:textId="77777777" w:rsidR="00771CAD" w:rsidRPr="00B5608F" w:rsidRDefault="00771CAD" w:rsidP="00771CAD">
      <w:r w:rsidRPr="00B5608F">
        <w:t xml:space="preserve"> David Brasne '15 (), 9-4-2015, "The Role of the Judge By David Branse (Part One)," NSD Update,http://nsdupdate.com/2015/09/04/the-role-of-the-judge-by-david-branse-part-one</w:t>
      </w:r>
    </w:p>
    <w:p w14:paraId="04AF8BA2" w14:textId="77777777" w:rsidR="00771CAD" w:rsidRPr="00B63886" w:rsidRDefault="00771CAD" w:rsidP="00771CAD">
      <w:pPr>
        <w:rPr>
          <w:sz w:val="8"/>
          <w:szCs w:val="22"/>
        </w:rPr>
      </w:pPr>
      <w:r w:rsidRPr="00B63886">
        <w:rPr>
          <w:rFonts w:eastAsia="Times New Roman"/>
          <w:sz w:val="8"/>
          <w:szCs w:val="22"/>
        </w:rPr>
        <w:t xml:space="preserve"> </w:t>
      </w:r>
      <w:r w:rsidRPr="00B63886">
        <w:rPr>
          <w:sz w:val="8"/>
          <w:szCs w:val="22"/>
        </w:rPr>
        <w:t xml:space="preserve">First, bindingness: the practice rules argument I’ve sketched out illustrates this point. </w:t>
      </w:r>
      <w:r w:rsidRPr="00B63886">
        <w:rPr>
          <w:b/>
          <w:szCs w:val="22"/>
          <w:highlight w:val="yellow"/>
          <w:u w:val="single"/>
        </w:rPr>
        <w:t>Once a judge commits to a round in accordance with</w:t>
      </w:r>
      <w:r w:rsidRPr="00B63886">
        <w:rPr>
          <w:b/>
          <w:szCs w:val="22"/>
          <w:u w:val="single"/>
        </w:rPr>
        <w:t xml:space="preserve"> a set </w:t>
      </w:r>
      <w:r w:rsidRPr="00B63886">
        <w:rPr>
          <w:b/>
          <w:szCs w:val="22"/>
          <w:highlight w:val="yellow"/>
          <w:u w:val="single"/>
        </w:rPr>
        <w:t>of rules</w:t>
      </w:r>
      <w:r w:rsidRPr="00B63886">
        <w:rPr>
          <w:sz w:val="8"/>
          <w:szCs w:val="22"/>
        </w:rPr>
        <w:t xml:space="preserve">, the reasons within the round are different – </w:t>
      </w:r>
      <w:r w:rsidRPr="00B63886">
        <w:rPr>
          <w:b/>
          <w:szCs w:val="22"/>
          <w:highlight w:val="yellow"/>
          <w:u w:val="single"/>
        </w:rPr>
        <w:t>the rules are absolute</w:t>
      </w:r>
      <w:r w:rsidRPr="00B63886">
        <w:rPr>
          <w:sz w:val="8"/>
          <w:szCs w:val="22"/>
        </w:rPr>
        <w:t xml:space="preserve"> and non-optional. When a person signs a contract, </w:t>
      </w:r>
      <w:r w:rsidRPr="00B63886">
        <w:rPr>
          <w:b/>
          <w:szCs w:val="22"/>
          <w:highlight w:val="yellow"/>
          <w:u w:val="single"/>
        </w:rPr>
        <w:t>if they come to regard the terms</w:t>
      </w:r>
      <w:r w:rsidRPr="00B63886">
        <w:rPr>
          <w:b/>
          <w:szCs w:val="22"/>
          <w:u w:val="single"/>
        </w:rPr>
        <w:t xml:space="preserve"> of the contract as </w:t>
      </w:r>
      <w:r w:rsidRPr="00B63886">
        <w:rPr>
          <w:b/>
          <w:szCs w:val="22"/>
          <w:highlight w:val="yellow"/>
          <w:u w:val="single"/>
        </w:rPr>
        <w:t>problematic, this is not a reason to disregard the contract.</w:t>
      </w:r>
      <w:r w:rsidRPr="00B63886">
        <w:rPr>
          <w:b/>
          <w:szCs w:val="22"/>
          <w:u w:val="single"/>
        </w:rPr>
        <w:t xml:space="preserve"> It might only be a reason to try to renegotiate it.</w:t>
      </w:r>
      <w:r w:rsidRPr="00B63886">
        <w:rPr>
          <w:sz w:val="8"/>
          <w:szCs w:val="22"/>
        </w:rPr>
        <w:t xml:space="preserve"> A decision about the practicality of the contract cannot, in itself, generate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B63886">
        <w:rPr>
          <w:b/>
          <w:szCs w:val="22"/>
          <w:highlight w:val="yellow"/>
          <w:u w:val="single"/>
        </w:rPr>
        <w:t xml:space="preserve">Impositions of practical judgments </w:t>
      </w:r>
      <w:r w:rsidRPr="00B63886">
        <w:rPr>
          <w:b/>
          <w:szCs w:val="22"/>
          <w:u w:val="single"/>
        </w:rPr>
        <w:t xml:space="preserve">seem to just be unfair ex post facto rules that </w:t>
      </w:r>
      <w:r w:rsidRPr="00B63886">
        <w:rPr>
          <w:b/>
          <w:szCs w:val="22"/>
          <w:highlight w:val="yellow"/>
          <w:u w:val="single"/>
        </w:rPr>
        <w:t>step outside the judge’s jurisdiction</w:t>
      </w:r>
      <w:r w:rsidRPr="00B63886">
        <w:rPr>
          <w:b/>
          <w:szCs w:val="22"/>
          <w:u w:val="single"/>
        </w:rPr>
        <w:t xml:space="preserve">. This is </w:t>
      </w:r>
      <w:r w:rsidRPr="00B63886">
        <w:rPr>
          <w:b/>
          <w:szCs w:val="22"/>
          <w:highlight w:val="yellow"/>
          <w:u w:val="single"/>
        </w:rPr>
        <w:t>especially</w:t>
      </w:r>
      <w:r w:rsidRPr="00B63886">
        <w:rPr>
          <w:b/>
          <w:szCs w:val="22"/>
          <w:u w:val="single"/>
        </w:rPr>
        <w:t xml:space="preserve"> true </w:t>
      </w:r>
      <w:r w:rsidRPr="00B63886">
        <w:rPr>
          <w:b/>
          <w:szCs w:val="22"/>
          <w:highlight w:val="yellow"/>
          <w:u w:val="single"/>
        </w:rPr>
        <w:t>with debate</w:t>
      </w:r>
      <w:r w:rsidRPr="00B63886">
        <w:rPr>
          <w:sz w:val="8"/>
          <w:szCs w:val="22"/>
        </w:rPr>
        <w:t xml:space="preserve"> – education claims may seem somewhat intuitive, but there is no reason imposing practical judgments ends there. For example, one judge could come to believe that debate is a unique space to construct value judgments, and therefore the best debater is the one who best establishes a philosophy to win the round. Even though debate is a unique space for philosophical argumentation, no debater would feel comfortable for a judge voting on the AC framework when the neg won contention level offense beneath that framework. </w:t>
      </w:r>
      <w:r w:rsidRPr="00B63886">
        <w:rPr>
          <w:b/>
          <w:szCs w:val="22"/>
          <w:highlight w:val="yellow"/>
          <w:u w:val="single"/>
        </w:rPr>
        <w:t>Every judge will have different value judgments, and</w:t>
      </w:r>
      <w:r w:rsidRPr="00B63886">
        <w:rPr>
          <w:b/>
          <w:szCs w:val="22"/>
          <w:u w:val="single"/>
        </w:rPr>
        <w:t xml:space="preserve"> so the role of the judge in each round would oscillate. This </w:t>
      </w:r>
      <w:r w:rsidRPr="00B63886">
        <w:rPr>
          <w:b/>
          <w:szCs w:val="22"/>
          <w:highlight w:val="yellow"/>
          <w:u w:val="single"/>
        </w:rPr>
        <w:t>emphasizes judge intervention</w:t>
      </w:r>
      <w:r w:rsidRPr="00B63886">
        <w:rPr>
          <w:sz w:val="8"/>
          <w:szCs w:val="22"/>
        </w:rPr>
        <w:t>, and destroys the chance for debaters to predict each other’s arguments and thus engage with them. Very few people are comfortable viewing debate as an activity with oscillating rules where judges cannot be held to any predictable standard.</w:t>
      </w:r>
    </w:p>
    <w:p w14:paraId="2C62D217" w14:textId="5D8C6DDD" w:rsidR="00771CAD" w:rsidRPr="00771CAD" w:rsidRDefault="00771CAD" w:rsidP="00771CAD">
      <w:pPr>
        <w:pStyle w:val="Heading4"/>
      </w:pPr>
    </w:p>
    <w:p w14:paraId="7F986427" w14:textId="77777777" w:rsidR="00771CAD" w:rsidRPr="00771CAD" w:rsidRDefault="00771CAD" w:rsidP="00771CAD"/>
    <w:p w14:paraId="03CDBDF0" w14:textId="64B9E42B" w:rsidR="007A6758" w:rsidRPr="00944A43" w:rsidRDefault="007A6758" w:rsidP="007A6758">
      <w:pPr>
        <w:pStyle w:val="Heading3"/>
      </w:pPr>
      <w:r>
        <w:t xml:space="preserve">Method </w:t>
      </w:r>
    </w:p>
    <w:p w14:paraId="06FC4A27" w14:textId="77777777" w:rsidR="007A6758" w:rsidRDefault="007A6758" w:rsidP="007A6758">
      <w:pPr>
        <w:pStyle w:val="Heading4"/>
      </w:pPr>
      <w:r>
        <w:t xml:space="preserve">Any resistance to systemic injustice must be based on a comprehensive normative theory which determines what the best response to specific injustices are – 4 warrants – Laurence, </w:t>
      </w:r>
    </w:p>
    <w:p w14:paraId="17B562DB" w14:textId="77777777" w:rsidR="007A6758" w:rsidRPr="00BE6663" w:rsidRDefault="007A6758" w:rsidP="007A6758">
      <w:r>
        <w:t>Laurence, Ben. “The Priority of Ideal Theory.” PDF File. //LHPYA</w:t>
      </w:r>
    </w:p>
    <w:p w14:paraId="249E373D" w14:textId="77777777" w:rsidR="007A6758" w:rsidRPr="00654C7A" w:rsidRDefault="007A6758" w:rsidP="007A6758">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achieve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w:t>
      </w:r>
      <w:r>
        <w:rPr>
          <w:rStyle w:val="StyleUnderline"/>
        </w:rPr>
        <w:t xml:space="preserve"> </w:t>
      </w:r>
      <w:r w:rsidRPr="0086464E">
        <w:rPr>
          <w:rStyle w:val="StyleUnderline"/>
        </w:rPr>
        <w:t>58 It also allows us to situate our comparative judgments of injustice in their context, by recognizing that shortterm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could be a profoundly democratic act even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This has to do with the idea of moral costs, and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08E127DB" w14:textId="77777777" w:rsidR="00C468E8" w:rsidRPr="00944A43" w:rsidRDefault="00C468E8" w:rsidP="00C468E8">
      <w:pPr>
        <w:pStyle w:val="Heading4"/>
      </w:pPr>
      <w:r>
        <w:t>The aff aligns itself with historical labor movements that challenged industrial capitalism and wage-slavery – that opens up the potentiality for cooperative control over the means of production, Gourevitch 6:</w:t>
      </w:r>
    </w:p>
    <w:p w14:paraId="40C2A35F" w14:textId="77777777" w:rsidR="00C468E8" w:rsidRPr="00944A43" w:rsidRDefault="00C468E8" w:rsidP="00C468E8">
      <w:r w:rsidRPr="00944A43">
        <w:t xml:space="preserve">Gourevitch, Alex. “Labor Republicanism and the Transformation of Work.” Political Theory, vol. 41, no. 4, 2013, pp. 591–617. JSTOR, </w:t>
      </w:r>
      <w:hyperlink r:id="rId11" w:history="1">
        <w:r w:rsidRPr="006C3630">
          <w:rPr>
            <w:rStyle w:val="Hyperlink"/>
          </w:rPr>
          <w:t>www.jstor.org/stable/23484596. Accessed 6 July 2021</w:t>
        </w:r>
      </w:hyperlink>
      <w:r w:rsidRPr="00944A43">
        <w:t>.</w:t>
      </w:r>
      <w:r>
        <w:t xml:space="preserve"> //LHP AV</w:t>
      </w:r>
    </w:p>
    <w:p w14:paraId="060250CD" w14:textId="77777777" w:rsidR="00C468E8" w:rsidRDefault="00C468E8" w:rsidP="00C468E8">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elsewhere.I8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hours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0DA8122B" w14:textId="77777777" w:rsidR="007A6758" w:rsidRPr="007A6758" w:rsidRDefault="007A6758" w:rsidP="007A6758"/>
    <w:sectPr w:rsidR="007A6758" w:rsidRPr="007A675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B178D" w14:textId="77777777" w:rsidR="00631A94" w:rsidRDefault="00631A94" w:rsidP="00771CAD">
      <w:pPr>
        <w:spacing w:after="0" w:line="240" w:lineRule="auto"/>
      </w:pPr>
      <w:r>
        <w:separator/>
      </w:r>
    </w:p>
  </w:endnote>
  <w:endnote w:type="continuationSeparator" w:id="0">
    <w:p w14:paraId="60149DF2" w14:textId="77777777" w:rsidR="00631A94" w:rsidRDefault="00631A94" w:rsidP="00771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14C6C" w14:textId="77777777" w:rsidR="00631A94" w:rsidRDefault="00631A94" w:rsidP="00771CAD">
      <w:pPr>
        <w:spacing w:after="0" w:line="240" w:lineRule="auto"/>
      </w:pPr>
      <w:r>
        <w:separator/>
      </w:r>
    </w:p>
  </w:footnote>
  <w:footnote w:type="continuationSeparator" w:id="0">
    <w:p w14:paraId="12EE406B" w14:textId="77777777" w:rsidR="00631A94" w:rsidRDefault="00631A94" w:rsidP="00771CAD">
      <w:pPr>
        <w:spacing w:after="0" w:line="240" w:lineRule="auto"/>
      </w:pPr>
      <w:r>
        <w:continuationSeparator/>
      </w:r>
    </w:p>
  </w:footnote>
  <w:footnote w:id="1">
    <w:p w14:paraId="6F5F90F9" w14:textId="77777777" w:rsidR="00771CAD" w:rsidRPr="00752E9C" w:rsidRDefault="00771CAD" w:rsidP="00771CAD">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40498A8E" w14:textId="77777777" w:rsidR="00771CAD" w:rsidRPr="00855FDC" w:rsidRDefault="00771CAD" w:rsidP="00771CAD">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67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A94"/>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CAD"/>
    <w:rsid w:val="00775694"/>
    <w:rsid w:val="00793F46"/>
    <w:rsid w:val="007A1325"/>
    <w:rsid w:val="007A1A18"/>
    <w:rsid w:val="007A3BAF"/>
    <w:rsid w:val="007A675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72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8E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7445"/>
  <w14:defaultImageDpi w14:val="300"/>
  <w15:docId w15:val="{1522F905-BE0B-F042-A311-6F8FC75EF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67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67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67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7A67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7A67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67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758"/>
  </w:style>
  <w:style w:type="character" w:customStyle="1" w:styleId="Heading1Char">
    <w:name w:val="Heading 1 Char"/>
    <w:aliases w:val="Pocket Char"/>
    <w:basedOn w:val="DefaultParagraphFont"/>
    <w:link w:val="Heading1"/>
    <w:uiPriority w:val="9"/>
    <w:rsid w:val="007A67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675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7A675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7A67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6758"/>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7A6758"/>
    <w:rPr>
      <w:b w:val="0"/>
      <w:sz w:val="22"/>
      <w:u w:val="single"/>
    </w:rPr>
  </w:style>
  <w:style w:type="character" w:styleId="Emphasis">
    <w:name w:val="Emphasis"/>
    <w:basedOn w:val="DefaultParagraphFont"/>
    <w:uiPriority w:val="20"/>
    <w:qFormat/>
    <w:rsid w:val="007A67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675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A6758"/>
    <w:rPr>
      <w:color w:val="auto"/>
      <w:u w:val="none"/>
    </w:rPr>
  </w:style>
  <w:style w:type="paragraph" w:styleId="DocumentMap">
    <w:name w:val="Document Map"/>
    <w:basedOn w:val="Normal"/>
    <w:link w:val="DocumentMapChar"/>
    <w:uiPriority w:val="99"/>
    <w:semiHidden/>
    <w:unhideWhenUsed/>
    <w:rsid w:val="007A67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6758"/>
    <w:rPr>
      <w:rFonts w:ascii="Lucida Grande" w:hAnsi="Lucida Grande" w:cs="Lucida Grande"/>
    </w:rPr>
  </w:style>
  <w:style w:type="paragraph" w:styleId="ListParagraph">
    <w:name w:val="List Paragraph"/>
    <w:basedOn w:val="Normal"/>
    <w:uiPriority w:val="34"/>
    <w:qFormat/>
    <w:rsid w:val="007A6758"/>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771CAD"/>
    <w:rPr>
      <w:vertAlign w:val="superscript"/>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C468E8"/>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3484596.%20Accessed%206%20July%20202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14592</Words>
  <Characters>79095</Characters>
  <Application>Microsoft Office Word</Application>
  <DocSecurity>0</DocSecurity>
  <Lines>783</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2021-11-13T17:32:00Z</dcterms:created>
  <dcterms:modified xsi:type="dcterms:W3CDTF">2021-11-13T17:59:00Z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