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80D05" w14:textId="77777777" w:rsidR="00391800" w:rsidRPr="0007420E" w:rsidRDefault="00391800" w:rsidP="00391800">
      <w:pPr>
        <w:pStyle w:val="Heading3"/>
        <w:rPr>
          <w:rFonts w:cs="Calibri"/>
        </w:rPr>
      </w:pPr>
      <w:r w:rsidRPr="0007420E">
        <w:rPr>
          <w:rFonts w:cs="Calibri"/>
        </w:rPr>
        <w:t>Framework</w:t>
      </w:r>
    </w:p>
    <w:p w14:paraId="3E7831FD" w14:textId="77777777" w:rsidR="00391800" w:rsidRPr="0007420E" w:rsidRDefault="00391800" w:rsidP="00391800">
      <w:pPr>
        <w:pStyle w:val="Heading4"/>
        <w:rPr>
          <w:rFonts w:cs="Calibri"/>
        </w:rPr>
      </w:pPr>
      <w:r w:rsidRPr="0007420E">
        <w:rPr>
          <w:rFonts w:cs="Calibri"/>
        </w:rPr>
        <w:t>Freedom is a primary ethical good –</w:t>
      </w:r>
    </w:p>
    <w:p w14:paraId="24228117" w14:textId="77777777" w:rsidR="00391800" w:rsidRPr="0007420E" w:rsidRDefault="00391800" w:rsidP="00391800">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w:t>
      </w:r>
      <w:r>
        <w:rPr>
          <w:rFonts w:cs="Calibri"/>
        </w:rPr>
        <w:t>[</w:t>
      </w:r>
      <w:r w:rsidRPr="0007420E">
        <w:rPr>
          <w:rFonts w:cs="Calibri"/>
        </w:rPr>
        <w:t>bracketed for grammar and gendered language</w:t>
      </w:r>
      <w:r>
        <w:rPr>
          <w:rFonts w:cs="Calibri"/>
        </w:rPr>
        <w:t>]</w:t>
      </w:r>
      <w:r w:rsidRPr="0007420E">
        <w:rPr>
          <w:rFonts w:cs="Calibri"/>
        </w:rPr>
        <w:t xml:space="preserve"> </w:t>
      </w:r>
    </w:p>
    <w:p w14:paraId="5ABF2273" w14:textId="77777777" w:rsidR="00391800" w:rsidRPr="0007420E" w:rsidRDefault="00391800" w:rsidP="00391800">
      <w:pPr>
        <w:rPr>
          <w:sz w:val="16"/>
          <w:szCs w:val="16"/>
        </w:rPr>
      </w:pPr>
      <w:r w:rsidRPr="0007420E">
        <w:rPr>
          <w:sz w:val="16"/>
          <w:szCs w:val="16"/>
        </w:rPr>
        <w:t>[Alan Gewirth, () "The Ontological Basis of Natural Law: A Critique and an Alternative" American Journal Of Jurisprudence: Vol. 29: Iss. 1 Article 5, 1984, https://scholarship.law.nd.edu/ajj/vol29/iss1/5/, DOA:9-10-2018 // WWBW Recut LHP AV]</w:t>
      </w:r>
    </w:p>
    <w:p w14:paraId="71998079" w14:textId="77777777" w:rsidR="00391800" w:rsidRPr="0007420E" w:rsidRDefault="00391800" w:rsidP="00391800">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28E294F9" w14:textId="77777777" w:rsidR="00391800" w:rsidRPr="0007420E" w:rsidRDefault="00391800" w:rsidP="00391800">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1779E768" w14:textId="77777777" w:rsidR="00391800" w:rsidRPr="0007420E" w:rsidRDefault="00391800" w:rsidP="00391800">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3AAF372E" w14:textId="77777777" w:rsidR="00391800" w:rsidRPr="0007420E" w:rsidRDefault="00391800" w:rsidP="00391800">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07420E">
        <w:rPr>
          <w:b/>
          <w:u w:val="single"/>
        </w:rPr>
        <w:t>the rational nature in every person is an end in itself whether the person is morally good or bad.</w:t>
      </w:r>
    </w:p>
    <w:p w14:paraId="6EE4B49A" w14:textId="77777777" w:rsidR="00391800" w:rsidRPr="00F60A9D" w:rsidRDefault="00391800" w:rsidP="00391800">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56F1706E" w14:textId="77777777" w:rsidR="00391800" w:rsidRPr="00BA7908" w:rsidRDefault="00391800" w:rsidP="00391800">
      <w:pPr>
        <w:rPr>
          <w:sz w:val="16"/>
          <w:szCs w:val="16"/>
        </w:rPr>
      </w:pPr>
      <w:r w:rsidRPr="00BA7908">
        <w:rPr>
          <w:sz w:val="16"/>
          <w:szCs w:val="16"/>
        </w:rPr>
        <w:t>Philip Pettit, “Legitimacy and Justice in Republican Perspective” Current Legal Problems, 2012 RE Recut LHP AV</w:t>
      </w:r>
    </w:p>
    <w:p w14:paraId="077308CD" w14:textId="77777777" w:rsidR="00391800" w:rsidRPr="00F60A9D" w:rsidRDefault="00391800" w:rsidP="00391800">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Indeed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’s will; they have to depend on the state of the master’s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r w:rsidRPr="00707B98">
        <w:rPr>
          <w:b/>
          <w:bCs/>
          <w:highlight w:val="yellow"/>
          <w:u w:val="single"/>
        </w:rPr>
        <w:t>so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632555F8" w14:textId="77777777" w:rsidR="00391800" w:rsidRPr="007C26D7" w:rsidRDefault="00391800" w:rsidP="00391800">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2A5FFF76" w14:textId="77777777" w:rsidR="00391800" w:rsidRDefault="00391800" w:rsidP="00391800">
      <w:pPr>
        <w:pStyle w:val="Heading4"/>
      </w:pPr>
      <w:r w:rsidRPr="0007420E">
        <w:t>Impact calc</w:t>
      </w:r>
      <w:r>
        <w:t xml:space="preserve"> – power can be exercised non-arbitrarily insofar as those interfered with have control over domination, Pettit 06:</w:t>
      </w:r>
    </w:p>
    <w:p w14:paraId="3FD808B7" w14:textId="77777777" w:rsidR="00391800" w:rsidRPr="00DA77C9" w:rsidRDefault="00391800" w:rsidP="00391800">
      <w:r>
        <w:t>Pettit P. Freedom in the market. Politics, Philosophy &amp; Economics. 2006;5(2):131-149. doi:10.1177/1470594X06064218 //LHP AV Accessed 7/4/21</w:t>
      </w:r>
    </w:p>
    <w:p w14:paraId="5DD32CD2" w14:textId="77777777" w:rsidR="00391800" w:rsidRPr="00E80A12" w:rsidRDefault="00391800" w:rsidP="00391800">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interfere: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with: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justified, or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096B540D" w14:textId="77777777" w:rsidR="00391800" w:rsidRPr="0007420E" w:rsidRDefault="00391800" w:rsidP="00391800">
      <w:pPr>
        <w:pStyle w:val="Heading4"/>
      </w:pPr>
      <w:r w:rsidRPr="0007420E">
        <w:t>Prefer –</w:t>
      </w:r>
    </w:p>
    <w:p w14:paraId="75842F71" w14:textId="77777777" w:rsidR="00391800" w:rsidRPr="00F60A9D" w:rsidRDefault="00391800" w:rsidP="00391800">
      <w:pPr>
        <w:pStyle w:val="Heading4"/>
        <w:rPr>
          <w:rFonts w:cs="Calibri"/>
        </w:rPr>
      </w:pPr>
      <w:r>
        <w:rPr>
          <w:rFonts w:cs="Calibri"/>
        </w:rPr>
        <w:t>1</w:t>
      </w:r>
      <w:r w:rsidRPr="00F60A9D">
        <w:rPr>
          <w:rFonts w:cs="Calibri"/>
        </w:rPr>
        <w:t xml:space="preserve">] </w:t>
      </w:r>
      <w:r>
        <w:rPr>
          <w:rFonts w:cs="Calibri"/>
        </w:rPr>
        <w:t xml:space="preserve">Oppression – </w:t>
      </w:r>
      <w:r w:rsidRPr="00F60A9D">
        <w:rPr>
          <w:rFonts w:cs="Calibri"/>
        </w:rPr>
        <w:t>Domination as a condition takes away a person’s status as human – categorical dehumanization is created by communal recognition of domination. Pettit 05</w:t>
      </w:r>
    </w:p>
    <w:p w14:paraId="6B1CEF25" w14:textId="77777777" w:rsidR="00391800" w:rsidRPr="00BA7908" w:rsidRDefault="00391800" w:rsidP="00391800">
      <w:pPr>
        <w:rPr>
          <w:sz w:val="16"/>
          <w:szCs w:val="16"/>
        </w:rPr>
      </w:pPr>
      <w:r w:rsidRPr="00BA7908">
        <w:rPr>
          <w:sz w:val="16"/>
          <w:szCs w:val="16"/>
        </w:rPr>
        <w:t>PETTIT, PHILIP. “THE DOMINATION COMPLAINT.” Nomos, vol. 46, 2005, pp. 87–117. JSTOR, www.jstor.org/stable/24220143. Accessed 19 Aug. 2020.</w:t>
      </w:r>
    </w:p>
    <w:p w14:paraId="500F4A43" w14:textId="77777777" w:rsidR="00391800" w:rsidRPr="00F60A9D" w:rsidRDefault="00391800" w:rsidP="00391800">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He will no longer have the sort of voice that can be reliably forthright, or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figures, and will always invite only condescension or contempt. They will have no more standing, in a somewhat archaic image, than dogs that cower at their masters' feet or snuggle that up their mistress’s skirt. </w:t>
      </w:r>
    </w:p>
    <w:p w14:paraId="75A0D4DD" w14:textId="77777777" w:rsidR="00391800" w:rsidRPr="0007420E" w:rsidRDefault="00391800" w:rsidP="00391800">
      <w:pPr>
        <w:pStyle w:val="Heading3"/>
        <w:rPr>
          <w:rFonts w:cs="Calibri"/>
        </w:rPr>
      </w:pPr>
      <w:r w:rsidRPr="0007420E">
        <w:rPr>
          <w:rFonts w:cs="Calibri"/>
        </w:rPr>
        <w:t>Contention</w:t>
      </w:r>
    </w:p>
    <w:p w14:paraId="36130B09" w14:textId="77777777" w:rsidR="00391800" w:rsidRPr="00F36497" w:rsidRDefault="00391800" w:rsidP="00391800">
      <w:pPr>
        <w:pStyle w:val="Heading4"/>
      </w:pPr>
      <w:r w:rsidRPr="0007420E">
        <w:t xml:space="preserve">Absent a right to strike, </w:t>
      </w:r>
      <w:r>
        <w:t>workers are dominated –</w:t>
      </w:r>
    </w:p>
    <w:p w14:paraId="139B2FB7" w14:textId="77777777" w:rsidR="00391800" w:rsidRDefault="00391800" w:rsidP="00391800">
      <w:pPr>
        <w:pStyle w:val="Heading4"/>
      </w:pPr>
      <w:r w:rsidRPr="0007420E">
        <w:t>1] Structural</w:t>
      </w:r>
      <w:r>
        <w:t xml:space="preserve"> Domination – a labor market structurally requires exploitation and domination – workers need an alternative, Gourevitch 16:</w:t>
      </w:r>
    </w:p>
    <w:p w14:paraId="438231FB" w14:textId="77777777" w:rsidR="00391800" w:rsidRDefault="00391800" w:rsidP="00391800">
      <w:r w:rsidRPr="007D4300">
        <w:t>Gourevitch, A.. “Quitting Work but Not the Job: Liberty and the Right to Strike.” Perspectives on Politics 14 (2016): 307 - 323.</w:t>
      </w:r>
      <w:r>
        <w:t xml:space="preserve"> //LHP AV Accessed 7/4/21</w:t>
      </w:r>
    </w:p>
    <w:p w14:paraId="74C4545B" w14:textId="77777777" w:rsidR="00391800" w:rsidRPr="00DC007D" w:rsidRDefault="00391800" w:rsidP="00391800">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exchange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2AE50FA9" w14:textId="77777777" w:rsidR="00391800" w:rsidRDefault="00391800" w:rsidP="00391800">
      <w:pPr>
        <w:pStyle w:val="Heading4"/>
      </w:pPr>
      <w:r w:rsidRPr="0007420E">
        <w:t>2] Workplace</w:t>
      </w:r>
      <w:r>
        <w:t xml:space="preserve"> Domination – authority within the workplace arbitrarily resides in the hands of employers, which alienates and dominates workers, Gourevitch 16:</w:t>
      </w:r>
    </w:p>
    <w:p w14:paraId="30968FC0" w14:textId="77777777" w:rsidR="00391800" w:rsidRDefault="00391800" w:rsidP="00391800">
      <w:r w:rsidRPr="007D4300">
        <w:t>Gourevitch, A.. “Quitting Work but Not the Job: Liberty and the Right to Strike.” Perspectives on Politics 14 (2016): 307 - 323.</w:t>
      </w:r>
      <w:r>
        <w:t xml:space="preserve"> //LHP AV Accessed 7/4/21</w:t>
      </w:r>
    </w:p>
    <w:p w14:paraId="1B158BEC" w14:textId="77777777" w:rsidR="00391800" w:rsidRPr="00450D02" w:rsidRDefault="00391800" w:rsidP="00391800">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24A5A80A" w14:textId="77777777" w:rsidR="00391800" w:rsidRDefault="00391800" w:rsidP="00391800">
      <w:pPr>
        <w:pStyle w:val="Heading4"/>
      </w:pPr>
      <w:r w:rsidRPr="0007420E">
        <w:t>Thus, the plan:</w:t>
      </w:r>
      <w:r>
        <w:t xml:space="preserve"> A just government ought to recognize an unconditional right of workers to strike. Gourevitch 16:</w:t>
      </w:r>
    </w:p>
    <w:p w14:paraId="022C502B" w14:textId="77777777" w:rsidR="00391800" w:rsidRPr="007D4300" w:rsidRDefault="00391800" w:rsidP="00391800">
      <w:r w:rsidRPr="007D4300">
        <w:t>Gourevitch, A.. “Quitting Work but Not the Job: Liberty and the Right to Strike.” Perspectives on Politics 14 (2016): 307 - 323.</w:t>
      </w:r>
      <w:r>
        <w:t xml:space="preserve"> //LHP AV Accessed 7/4/21</w:t>
      </w:r>
    </w:p>
    <w:p w14:paraId="790C2E80" w14:textId="77777777" w:rsidR="00391800" w:rsidRPr="00444C7A" w:rsidRDefault="00391800" w:rsidP="00391800">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6360DD23" w14:textId="77777777" w:rsidR="00391800" w:rsidRDefault="00391800" w:rsidP="00391800">
      <w:pPr>
        <w:pStyle w:val="Heading4"/>
      </w:pPr>
      <w:r>
        <w:t>Current legal norms effectively eliminate a right to strike – the aff’s philosophical defense grounds an unconditional right to strike that’s distinct from the traditional voluntarist version, Gourevitch 16:</w:t>
      </w:r>
    </w:p>
    <w:p w14:paraId="16106335" w14:textId="77777777" w:rsidR="00391800" w:rsidRDefault="00391800" w:rsidP="00391800">
      <w:r w:rsidRPr="007D4300">
        <w:t>Gourevitch, A.. “Quitting Work but Not the Job: Liberty and the Right to Strike.” Perspectives on Politics 14 (2016): 307 - 323.</w:t>
      </w:r>
      <w:r>
        <w:t xml:space="preserve"> //LHP AV Accessed 7/4/21</w:t>
      </w:r>
    </w:p>
    <w:p w14:paraId="0DBA936A" w14:textId="77777777" w:rsidR="00391800" w:rsidRPr="00444C7A" w:rsidRDefault="00391800" w:rsidP="00391800">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Ferrie 2000; Naidu and Yuchtman,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Or the right to strike must take place purely in voluntaristic terms, in which case no basic rights are violated. But in that case there is little chance of the strike succeeding and there is no recognition of the strikers’ right to the job</w:t>
      </w:r>
      <w:r w:rsidRPr="00444C7A">
        <w:rPr>
          <w:sz w:val="10"/>
        </w:rPr>
        <w:t xml:space="preserve">. Lest this seem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the state may not issue pre-strike injunctions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Norris-Laguardia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(Coppage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Atleson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xml:space="preserve">. As one legal scholar has put it, “The ‘right to strike’ upon risk of permanent job loss is a ‘right’ the nature of which is appreciated only by lawyers” (Atleson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Workers may 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unionorganizers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r w:rsidRPr="00444C7A">
        <w:rPr>
          <w:b/>
          <w:bCs/>
          <w:u w:val="single"/>
        </w:rPr>
        <w:t>remains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Atleson 1983, 67-109). </w:t>
      </w:r>
      <w:r w:rsidRPr="00707B98">
        <w:rPr>
          <w:b/>
          <w:bCs/>
          <w:highlight w:val="yellow"/>
          <w:u w:val="single"/>
        </w:rPr>
        <w:t xml:space="preserve">Strikes must therefore be restricted on </w:t>
      </w:r>
      <w:r w:rsidRPr="00444C7A">
        <w:rPr>
          <w:b/>
          <w:bCs/>
          <w:u w:val="single"/>
        </w:rPr>
        <w:t xml:space="preserve">illegal labor practices or on bread and butter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8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subjects workers to overlapping forms of unfreedom.</w:t>
      </w:r>
    </w:p>
    <w:p w14:paraId="49B614F6" w14:textId="77777777" w:rsidR="00391800" w:rsidRDefault="00391800" w:rsidP="00391800">
      <w:pPr>
        <w:pStyle w:val="Heading4"/>
      </w:pPr>
      <w:r>
        <w:t>The plan solves –</w:t>
      </w:r>
    </w:p>
    <w:p w14:paraId="694EF7D5" w14:textId="77777777" w:rsidR="00391800" w:rsidRDefault="00391800" w:rsidP="00391800">
      <w:pPr>
        <w:pStyle w:val="Heading4"/>
      </w:pPr>
      <w:r>
        <w:t>1] Power – it reverses power relationships and challenges the structure of economic control itself – that alleviates domination, Gourevitch 16:</w:t>
      </w:r>
    </w:p>
    <w:p w14:paraId="158697C0" w14:textId="77777777" w:rsidR="00391800" w:rsidRPr="005D1088" w:rsidRDefault="00391800" w:rsidP="00391800">
      <w:r w:rsidRPr="007D4300">
        <w:t>Gourevitch, A.. “Quitting Work but Not the Job: Liberty and the Right to Strike.” Perspectives on Politics 14 (2016): 307 - 323.</w:t>
      </w:r>
      <w:r>
        <w:t xml:space="preserve"> //LHP AV Accessed 7/4/21</w:t>
      </w:r>
    </w:p>
    <w:p w14:paraId="67784D68" w14:textId="77777777" w:rsidR="00391800" w:rsidRPr="005D1088" w:rsidRDefault="00391800" w:rsidP="00391800">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0D3E7284" w14:textId="77777777" w:rsidR="00391800" w:rsidRDefault="00391800" w:rsidP="00391800">
      <w:pPr>
        <w:pStyle w:val="Heading4"/>
      </w:pPr>
      <w:r>
        <w:t>2</w:t>
      </w:r>
      <w:r w:rsidRPr="0007420E">
        <w:t xml:space="preserve">] </w:t>
      </w:r>
      <w:r>
        <w:t>Decommodification – strikes challenge the notion of labor as a mere commodity – that empowers workers and resists arbitrary managerial authority, Gourevitch 16:</w:t>
      </w:r>
    </w:p>
    <w:p w14:paraId="2FBBDC5D" w14:textId="77777777" w:rsidR="00391800" w:rsidRDefault="00391800" w:rsidP="00391800">
      <w:r w:rsidRPr="007D4300">
        <w:t>Gourevitch, A.. “Quitting Work but Not the Job: Liberty and the Right to Strike.” Perspectives on Politics 14 (2016): 307 - 323.</w:t>
      </w:r>
      <w:r>
        <w:t xml:space="preserve"> //LHP AV Accessed 7/4/21</w:t>
      </w:r>
    </w:p>
    <w:p w14:paraId="5501AE48" w14:textId="77777777" w:rsidR="00391800" w:rsidRPr="00204CD8" w:rsidRDefault="00391800" w:rsidP="00391800">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3C87D979" w14:textId="77777777" w:rsidR="00391800" w:rsidRDefault="00391800" w:rsidP="00391800">
      <w:pPr>
        <w:pStyle w:val="Heading4"/>
      </w:pPr>
      <w:r>
        <w:t>Counterplans can’t solve – they’re too slow, don’t empower workers, and fail to decommodify labor, Gourevitch 16:</w:t>
      </w:r>
    </w:p>
    <w:p w14:paraId="42AEBE37" w14:textId="77777777" w:rsidR="00391800" w:rsidRPr="00EF59CC" w:rsidRDefault="00391800" w:rsidP="00391800">
      <w:r w:rsidRPr="007D4300">
        <w:t>Gourevitch, A.. “Quitting Work but Not the Job: Liberty and the Right to Strike.” Perspectives on Politics 14 (2016): 307 - 323.</w:t>
      </w:r>
      <w:r>
        <w:t xml:space="preserve"> //LHP AV Accessed 7/4/21</w:t>
      </w:r>
    </w:p>
    <w:p w14:paraId="44C413DB" w14:textId="77777777" w:rsidR="00391800" w:rsidRPr="008C61F1" w:rsidRDefault="00391800" w:rsidP="00391800">
      <w:pPr>
        <w:rPr>
          <w:sz w:val="10"/>
        </w:rPr>
      </w:pPr>
      <w:r w:rsidRPr="00EF59CC">
        <w:rPr>
          <w:b/>
          <w:bCs/>
          <w:highlight w:val="yellow"/>
          <w:u w:val="single"/>
        </w:rPr>
        <w:t xml:space="preserve">The worker’s interest </w:t>
      </w:r>
      <w:r w:rsidRPr="00EF59CC">
        <w:rPr>
          <w:b/>
          <w:bCs/>
          <w:u w:val="single"/>
        </w:rPr>
        <w:t>in not being subject to</w:t>
      </w:r>
      <w:r w:rsidRPr="008C61F1">
        <w:rPr>
          <w:sz w:val="10"/>
        </w:rPr>
        <w:t xml:space="preserve"> continuously </w:t>
      </w:r>
      <w:r w:rsidRPr="00EF59CC">
        <w:rPr>
          <w:b/>
          <w:bCs/>
          <w:u w:val="single"/>
        </w:rPr>
        <w:t xml:space="preserve">arbitrary authority </w:t>
      </w:r>
      <w:r w:rsidRPr="00EF59CC">
        <w:rPr>
          <w:b/>
          <w:bCs/>
          <w:highlight w:val="yellow"/>
          <w:u w:val="single"/>
        </w:rPr>
        <w:t>is expansive</w:t>
      </w:r>
      <w:r w:rsidRPr="008C61F1">
        <w:rPr>
          <w:sz w:val="10"/>
        </w:rPr>
        <w:t xml:space="preserve">. The question of </w:t>
      </w:r>
      <w:r w:rsidRPr="00EF59CC">
        <w:rPr>
          <w:b/>
          <w:bCs/>
          <w:u w:val="single"/>
        </w:rPr>
        <w:t>compensation cannot be separated from</w:t>
      </w:r>
      <w:r w:rsidRPr="008C61F1">
        <w:rPr>
          <w:sz w:val="10"/>
        </w:rPr>
        <w:t xml:space="preserve"> the organization and </w:t>
      </w:r>
      <w:r w:rsidRPr="00EF59CC">
        <w:rPr>
          <w:b/>
          <w:bCs/>
          <w:u w:val="single"/>
        </w:rPr>
        <w:t>control over work</w:t>
      </w:r>
      <w:r w:rsidRPr="008C61F1">
        <w:rPr>
          <w:sz w:val="10"/>
        </w:rPr>
        <w:t xml:space="preserve">. </w:t>
      </w:r>
      <w:r w:rsidRPr="00EF59CC">
        <w:rPr>
          <w:b/>
          <w:bCs/>
          <w:highlight w:val="yellow"/>
          <w:u w:val="single"/>
        </w:rPr>
        <w:t xml:space="preserve">Nor can </w:t>
      </w:r>
      <w:r w:rsidRPr="00EF59CC">
        <w:rPr>
          <w:b/>
          <w:bCs/>
          <w:u w:val="single"/>
        </w:rPr>
        <w:t xml:space="preserve">the </w:t>
      </w:r>
      <w:r w:rsidRPr="00EF59CC">
        <w:rPr>
          <w:b/>
          <w:bCs/>
          <w:highlight w:val="yellow"/>
          <w:u w:val="single"/>
        </w:rPr>
        <w:t>expansiveness</w:t>
      </w:r>
      <w:r w:rsidRPr="008C61F1">
        <w:rPr>
          <w:sz w:val="10"/>
          <w:highlight w:val="yellow"/>
        </w:rPr>
        <w:t xml:space="preserve"> </w:t>
      </w:r>
      <w:r w:rsidRPr="008C61F1">
        <w:rPr>
          <w:sz w:val="10"/>
        </w:rPr>
        <w:t xml:space="preserve">of this interest </w:t>
      </w:r>
      <w:r w:rsidRPr="00EF59CC">
        <w:rPr>
          <w:b/>
          <w:bCs/>
          <w:highlight w:val="yellow"/>
          <w:u w:val="single"/>
        </w:rPr>
        <w:t>be reduced to the</w:t>
      </w:r>
      <w:r w:rsidRPr="008C61F1">
        <w:rPr>
          <w:sz w:val="10"/>
          <w:highlight w:val="yellow"/>
        </w:rPr>
        <w:t xml:space="preserve"> </w:t>
      </w:r>
      <w:r w:rsidRPr="008C61F1">
        <w:rPr>
          <w:sz w:val="10"/>
        </w:rPr>
        <w:t xml:space="preserve">fact that workers cannot </w:t>
      </w:r>
      <w:r w:rsidRPr="00EF59CC">
        <w:rPr>
          <w:b/>
          <w:bCs/>
          <w:u w:val="single"/>
        </w:rPr>
        <w:t>fair</w:t>
      </w:r>
      <w:r w:rsidRPr="008C61F1">
        <w:rPr>
          <w:sz w:val="10"/>
        </w:rPr>
        <w:t xml:space="preserve">ly </w:t>
      </w:r>
      <w:r w:rsidRPr="00EF59CC">
        <w:rPr>
          <w:b/>
          <w:bCs/>
          <w:highlight w:val="yellow"/>
          <w:u w:val="single"/>
        </w:rPr>
        <w:t>bargain</w:t>
      </w:r>
      <w:r w:rsidRPr="008C61F1">
        <w:rPr>
          <w:sz w:val="10"/>
          <w:highlight w:val="yellow"/>
        </w:rPr>
        <w:t xml:space="preserve"> </w:t>
      </w:r>
      <w:r w:rsidRPr="008C61F1">
        <w:rPr>
          <w:sz w:val="10"/>
        </w:rPr>
        <w:t xml:space="preserve">for basic terms if they cannot also contest the wider range of managerial prerogatives. </w:t>
      </w:r>
      <w:r w:rsidRPr="00EF59CC">
        <w:rPr>
          <w:b/>
          <w:bCs/>
          <w:u w:val="single"/>
        </w:rPr>
        <w:t>All members of a democratic society have an independent interest</w:t>
      </w:r>
      <w:r w:rsidRPr="008C61F1">
        <w:rPr>
          <w:sz w:val="10"/>
        </w:rPr>
        <w:t xml:space="preserve"> </w:t>
      </w:r>
      <w:r w:rsidRPr="00EF59CC">
        <w:rPr>
          <w:b/>
          <w:bCs/>
          <w:u w:val="single"/>
        </w:rPr>
        <w:t>in self-rule</w:t>
      </w:r>
      <w:r w:rsidRPr="008C61F1">
        <w:rPr>
          <w:sz w:val="10"/>
        </w:rPr>
        <w:t xml:space="preserve">. They have that latter interest whenever they find themselves in the kind of ongoing, formally coordinated, rule-bound relationships that are backed by coercive law. </w:t>
      </w:r>
      <w:r w:rsidRPr="00EF59CC">
        <w:rPr>
          <w:b/>
          <w:bCs/>
          <w:u w:val="single"/>
        </w:rPr>
        <w:t>This is just what a government is</w:t>
      </w:r>
      <w:r w:rsidRPr="008C61F1">
        <w:rPr>
          <w:sz w:val="10"/>
        </w:rPr>
        <w:t xml:space="preserve"> (Dahl 1986, 111-135). Absent an actually democratic workplace, </w:t>
      </w:r>
      <w:r w:rsidRPr="00EF59CC">
        <w:rPr>
          <w:b/>
          <w:bCs/>
          <w:u w:val="single"/>
        </w:rPr>
        <w:t>the right to strike remains the primary way for workers to resist these arbitrary forms of authority.</w:t>
      </w:r>
      <w:r w:rsidRPr="008C61F1">
        <w:rPr>
          <w:sz w:val="10"/>
        </w:rPr>
        <w:t xml:space="preserve"> </w:t>
      </w:r>
      <w:r w:rsidRPr="00EF59CC">
        <w:rPr>
          <w:b/>
          <w:bCs/>
          <w:highlight w:val="yellow"/>
          <w:u w:val="single"/>
        </w:rPr>
        <w:t>Strikes are</w:t>
      </w:r>
      <w:r w:rsidRPr="008C61F1">
        <w:rPr>
          <w:sz w:val="10"/>
          <w:highlight w:val="yellow"/>
        </w:rPr>
        <w:t xml:space="preserve"> </w:t>
      </w:r>
      <w:r w:rsidRPr="008C61F1">
        <w:rPr>
          <w:sz w:val="10"/>
        </w:rPr>
        <w:t xml:space="preserve">in many ways </w:t>
      </w:r>
      <w:r w:rsidRPr="00EF59CC">
        <w:rPr>
          <w:b/>
          <w:bCs/>
          <w:highlight w:val="yellow"/>
          <w:u w:val="single"/>
        </w:rPr>
        <w:t>superior to</w:t>
      </w:r>
      <w:r w:rsidRPr="008C61F1">
        <w:rPr>
          <w:sz w:val="10"/>
          <w:highlight w:val="yellow"/>
        </w:rPr>
        <w:t xml:space="preserve"> </w:t>
      </w:r>
      <w:r w:rsidRPr="008C61F1">
        <w:rPr>
          <w:sz w:val="10"/>
        </w:rPr>
        <w:t xml:space="preserve">protective </w:t>
      </w:r>
      <w:r w:rsidRPr="00EF59CC">
        <w:rPr>
          <w:b/>
          <w:bCs/>
          <w:highlight w:val="yellow"/>
          <w:u w:val="single"/>
        </w:rPr>
        <w:t>legislation</w:t>
      </w:r>
      <w:r w:rsidRPr="008C61F1">
        <w:rPr>
          <w:sz w:val="10"/>
          <w:highlight w:val="yellow"/>
        </w:rPr>
        <w:t xml:space="preserve">, </w:t>
      </w:r>
      <w:r w:rsidRPr="00EF59CC">
        <w:rPr>
          <w:b/>
          <w:bCs/>
          <w:highlight w:val="yellow"/>
          <w:u w:val="single"/>
        </w:rPr>
        <w:t>labor arbitration, and the courts</w:t>
      </w:r>
      <w:r w:rsidRPr="008C61F1">
        <w:rPr>
          <w:sz w:val="10"/>
          <w:highlight w:val="yellow"/>
        </w:rPr>
        <w:t xml:space="preserve"> </w:t>
      </w:r>
      <w:r w:rsidRPr="00EF59CC">
        <w:rPr>
          <w:b/>
          <w:bCs/>
          <w:highlight w:val="yellow"/>
          <w:u w:val="single"/>
        </w:rPr>
        <w:t xml:space="preserve">because those </w:t>
      </w:r>
      <w:r w:rsidRPr="00EF59CC">
        <w:rPr>
          <w:b/>
          <w:bCs/>
          <w:u w:val="single"/>
        </w:rPr>
        <w:t>formal</w:t>
      </w:r>
      <w:r w:rsidRPr="008C61F1">
        <w:rPr>
          <w:sz w:val="10"/>
        </w:rPr>
        <w:t xml:space="preserve"> </w:t>
      </w:r>
      <w:r w:rsidRPr="00EF59CC">
        <w:rPr>
          <w:b/>
          <w:bCs/>
          <w:u w:val="single"/>
        </w:rPr>
        <w:t xml:space="preserve">processes </w:t>
      </w:r>
      <w:r w:rsidRPr="00EF59CC">
        <w:rPr>
          <w:b/>
          <w:bCs/>
          <w:highlight w:val="yellow"/>
          <w:u w:val="single"/>
        </w:rPr>
        <w:t xml:space="preserve">are slow and can cover only </w:t>
      </w:r>
      <w:r w:rsidRPr="00EF59CC">
        <w:rPr>
          <w:b/>
          <w:bCs/>
          <w:u w:val="single"/>
        </w:rPr>
        <w:t xml:space="preserve">a </w:t>
      </w:r>
      <w:r w:rsidRPr="00EF59CC">
        <w:rPr>
          <w:b/>
          <w:bCs/>
          <w:highlight w:val="yellow"/>
          <w:u w:val="single"/>
        </w:rPr>
        <w:t xml:space="preserve">limited </w:t>
      </w:r>
      <w:r w:rsidRPr="00EF59CC">
        <w:rPr>
          <w:b/>
          <w:bCs/>
          <w:u w:val="single"/>
        </w:rPr>
        <w:t xml:space="preserve">number of </w:t>
      </w:r>
      <w:r w:rsidRPr="00EF59CC">
        <w:rPr>
          <w:b/>
          <w:bCs/>
          <w:highlight w:val="yellow"/>
          <w:u w:val="single"/>
        </w:rPr>
        <w:t>issues</w:t>
      </w:r>
      <w:r w:rsidRPr="008C61F1">
        <w:rPr>
          <w:sz w:val="10"/>
        </w:rPr>
        <w:t xml:space="preserve">. </w:t>
      </w:r>
      <w:r w:rsidRPr="00EF59CC">
        <w:rPr>
          <w:b/>
          <w:bCs/>
          <w:highlight w:val="yellow"/>
          <w:u w:val="single"/>
        </w:rPr>
        <w:t xml:space="preserve">Strikes are </w:t>
      </w:r>
      <w:r w:rsidRPr="00EF59CC">
        <w:rPr>
          <w:b/>
          <w:bCs/>
          <w:u w:val="single"/>
        </w:rPr>
        <w:t xml:space="preserve">more </w:t>
      </w:r>
      <w:r w:rsidRPr="00EF59CC">
        <w:rPr>
          <w:b/>
          <w:bCs/>
          <w:highlight w:val="yellow"/>
          <w:u w:val="single"/>
        </w:rPr>
        <w:t>immediate</w:t>
      </w:r>
      <w:r w:rsidRPr="008C61F1">
        <w:rPr>
          <w:sz w:val="10"/>
        </w:rPr>
        <w:t xml:space="preserve">, </w:t>
      </w:r>
      <w:r w:rsidRPr="00EF59CC">
        <w:rPr>
          <w:b/>
          <w:bCs/>
          <w:highlight w:val="yellow"/>
          <w:u w:val="single"/>
        </w:rPr>
        <w:t xml:space="preserve">powerful and reliable </w:t>
      </w:r>
      <w:r w:rsidRPr="00EF59CC">
        <w:rPr>
          <w:b/>
          <w:bCs/>
          <w:u w:val="single"/>
        </w:rPr>
        <w:t xml:space="preserve">ways for workers to contest the employer’s otherwise arbitrary power. </w:t>
      </w:r>
      <w:r w:rsidRPr="008C61F1">
        <w:rPr>
          <w:sz w:val="10"/>
        </w:rPr>
        <w:t xml:space="preserve">In the process of challenging that form of authority </w:t>
      </w:r>
      <w:r w:rsidRPr="00EF59CC">
        <w:rPr>
          <w:b/>
          <w:bCs/>
          <w:highlight w:val="yellow"/>
          <w:u w:val="single"/>
        </w:rPr>
        <w:t xml:space="preserve">they challenge </w:t>
      </w:r>
      <w:r w:rsidRPr="00EF59CC">
        <w:rPr>
          <w:b/>
          <w:bCs/>
          <w:u w:val="single"/>
        </w:rPr>
        <w:t xml:space="preserve">the very idea </w:t>
      </w:r>
      <w:r w:rsidRPr="00EF59CC">
        <w:rPr>
          <w:b/>
          <w:bCs/>
          <w:highlight w:val="yellow"/>
          <w:u w:val="single"/>
        </w:rPr>
        <w:t>that</w:t>
      </w:r>
      <w:r w:rsidRPr="008C61F1">
        <w:rPr>
          <w:sz w:val="10"/>
          <w:highlight w:val="yellow"/>
        </w:rPr>
        <w:t xml:space="preserve"> </w:t>
      </w:r>
      <w:r w:rsidRPr="008C61F1">
        <w:rPr>
          <w:sz w:val="10"/>
        </w:rPr>
        <w:t xml:space="preserve">their </w:t>
      </w:r>
      <w:r w:rsidRPr="00EF59CC">
        <w:rPr>
          <w:b/>
          <w:bCs/>
          <w:highlight w:val="yellow"/>
          <w:u w:val="single"/>
        </w:rPr>
        <w:t>labor</w:t>
      </w:r>
      <w:r w:rsidRPr="008C61F1">
        <w:rPr>
          <w:sz w:val="10"/>
          <w:highlight w:val="yellow"/>
        </w:rPr>
        <w:t xml:space="preserve"> </w:t>
      </w:r>
      <w:r w:rsidRPr="008C61F1">
        <w:rPr>
          <w:sz w:val="10"/>
        </w:rPr>
        <w:t xml:space="preserve">power </w:t>
      </w:r>
      <w:r w:rsidRPr="00EF59CC">
        <w:rPr>
          <w:b/>
          <w:bCs/>
          <w:highlight w:val="yellow"/>
          <w:u w:val="single"/>
        </w:rPr>
        <w:t>is</w:t>
      </w:r>
      <w:r w:rsidRPr="008C61F1">
        <w:rPr>
          <w:sz w:val="10"/>
          <w:highlight w:val="yellow"/>
        </w:rPr>
        <w:t xml:space="preserve"> </w:t>
      </w:r>
      <w:r w:rsidRPr="008C61F1">
        <w:rPr>
          <w:sz w:val="10"/>
        </w:rPr>
        <w:t xml:space="preserve">properly seen as </w:t>
      </w:r>
      <w:r w:rsidRPr="00EF59CC">
        <w:rPr>
          <w:b/>
          <w:bCs/>
          <w:highlight w:val="yellow"/>
          <w:u w:val="single"/>
        </w:rPr>
        <w:t>a commodity</w:t>
      </w:r>
      <w:r w:rsidRPr="008C61F1">
        <w:rPr>
          <w:sz w:val="10"/>
        </w:rPr>
        <w:t>. They reject the notion that in making a labor contract they have alienated rights of control over their minds and bodies.</w:t>
      </w:r>
    </w:p>
    <w:p w14:paraId="313A842A" w14:textId="77777777" w:rsidR="00391800" w:rsidRDefault="00391800" w:rsidP="00391800">
      <w:pPr>
        <w:pStyle w:val="Heading3"/>
      </w:pPr>
      <w:r>
        <w:t>Method</w:t>
      </w:r>
    </w:p>
    <w:p w14:paraId="2CECFD4D" w14:textId="77777777" w:rsidR="00391800" w:rsidRPr="00944A43" w:rsidRDefault="00391800" w:rsidP="00391800">
      <w:pPr>
        <w:pStyle w:val="Heading4"/>
      </w:pPr>
      <w:r>
        <w:t>The aff aligns itself with historical labor movements that challenged industrial capitalism and wage-slavery – that opens up the potentiality for cooperative control over the means of production, Gourevitch 6:</w:t>
      </w:r>
    </w:p>
    <w:p w14:paraId="1ABE35BD" w14:textId="77777777" w:rsidR="00391800" w:rsidRPr="00944A43" w:rsidRDefault="00391800" w:rsidP="00391800">
      <w:r w:rsidRPr="00944A43">
        <w:t xml:space="preserve">Gourevitch, Alex. “Labor Republicanism and the Transformation of Work.” Political Theory, vol. 41, no. 4, 2013, pp. 591–617. JSTOR, </w:t>
      </w:r>
      <w:hyperlink r:id="rId9" w:history="1">
        <w:r w:rsidRPr="006C3630">
          <w:rPr>
            <w:rStyle w:val="Hyperlink"/>
          </w:rPr>
          <w:t>www.jstor.org/stable/23484596. Accessed 6 July 2021</w:t>
        </w:r>
      </w:hyperlink>
      <w:r w:rsidRPr="00944A43">
        <w:t>.</w:t>
      </w:r>
      <w:r>
        <w:t xml:space="preserve"> //LHP AV</w:t>
      </w:r>
    </w:p>
    <w:p w14:paraId="0E204112" w14:textId="77777777" w:rsidR="00391800" w:rsidRDefault="00391800" w:rsidP="00391800">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pro-prietors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labour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elsewhere.I8 The relevant histori-cal point here is that, </w:t>
      </w:r>
      <w:r w:rsidRPr="00944A43">
        <w:rPr>
          <w:b/>
          <w:bCs/>
          <w:u w:val="single"/>
        </w:rPr>
        <w:t>while some form of "agrarianism" rooted in the indi-vidualist,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concen-trated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Sylvis, a labor organizer; and Ira Steward, a famous eight hours cam-paigner. As a group, </w:t>
      </w:r>
      <w:r w:rsidRPr="00944A43">
        <w:rPr>
          <w:b/>
          <w:bCs/>
          <w:highlight w:val="yellow"/>
          <w:u w:val="single"/>
        </w:rPr>
        <w:t xml:space="preserve">they drew attention to the contradiction between repub-lican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particu-lar,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the condition of wage-laborers called for "a republicanization of labor, as well as a republicaniza-tion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indus-trial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xml:space="preserve">. There were at least two features to this economic domination or "wage-slavery." Inside the workplace, they found their choices about the work activity to be subject to the arbitrary interference of new masters—bosses and owners. This sub-jection expressed itself not only in individual cases of harassment and abuse, though that mattered, but also through organization of the workplace accord-ing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responsibil-ity of one artisan among teams of workers,"28 meaning work had become an integrated social process, unlike the autarkic autonomy of the idealized farmer or artisan of the early radical agrarians.29 </w:t>
      </w:r>
      <w:r w:rsidRPr="00944A43">
        <w:rPr>
          <w:b/>
          <w:bCs/>
          <w:u w:val="single"/>
        </w:rPr>
        <w:t xml:space="preserve">These conditions drove fig-ures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—that freedom which they claim 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Labor republicans were proudly aware of their formal, legal freedom and saw it as a constituent fea-ture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employ-ers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pub-lished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pro-ductive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inde-pendence labor republicans attempted to grasp this new form of domina-tion. Though nobody's legal property, wage-laborers were still forced to sell their labor to someone else. The complexity of their situation, then, was that they were dominated by a number of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It was not just their identification of structural domination and its connec-tion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charac-ter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r w:rsidRPr="00944A43">
        <w:rPr>
          <w:b/>
          <w:bCs/>
          <w:u w:val="single"/>
        </w:rPr>
        <w:t xml:space="preserve">transporta-tion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com-plete organization of production and distribution for the benefit of the whole body of those concerned in the production . . . the members of which employ-ing their own labor and consuming their own products would be self-sustain-ing,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enter-prises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xml:space="preserve">;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pro-prietor or earlier agrarianism. Rather, the cooperative ideal secured indepen-dence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iuris but instead to be sub potestate, under the power or subject to the will of some-one else."39 Servitude is a legal status that "consists in rightlessness and sub-jection to dominion."40 Too quick a reading of the Roman law of slavery can make servitude appear merely as a dyadic relation between a particular mas-ter and a particular slave. As we shall see, something like that narrow inter-pretation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This structural dimension of dom-ination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066D05DE" w14:textId="77777777" w:rsidR="00391800" w:rsidRDefault="00391800" w:rsidP="00391800">
      <w:pPr>
        <w:rPr>
          <w:sz w:val="10"/>
        </w:rPr>
      </w:pPr>
    </w:p>
    <w:p w14:paraId="1F86BD36" w14:textId="77777777" w:rsidR="00391800" w:rsidRPr="0007420E" w:rsidRDefault="00391800" w:rsidP="00391800">
      <w:pPr>
        <w:pStyle w:val="Heading4"/>
        <w:rPr>
          <w:rFonts w:cs="Calibri"/>
        </w:rPr>
      </w:pPr>
      <w:r w:rsidRPr="0007420E">
        <w:rPr>
          <w:rFonts w:cs="Calibri"/>
        </w:rPr>
        <w:t xml:space="preserve">The role of the ballot is to </w:t>
      </w:r>
      <w:r w:rsidRPr="0007420E">
        <w:rPr>
          <w:rFonts w:cs="Calibri"/>
          <w:u w:val="single"/>
        </w:rPr>
        <w:t>cultivate civic republican virtues</w:t>
      </w:r>
      <w:r w:rsidRPr="0007420E">
        <w:rPr>
          <w:rFonts w:cs="Calibri"/>
        </w:rPr>
        <w:t xml:space="preserve"> – this </w:t>
      </w:r>
      <w:r w:rsidRPr="0007420E">
        <w:rPr>
          <w:rFonts w:cs="Calibri"/>
          <w:u w:val="single"/>
        </w:rPr>
        <w:t>empowers</w:t>
      </w:r>
      <w:r w:rsidRPr="0007420E">
        <w:rPr>
          <w:rFonts w:cs="Calibri"/>
        </w:rPr>
        <w:t xml:space="preserve"> students while fostering </w:t>
      </w:r>
      <w:r w:rsidRPr="0007420E">
        <w:rPr>
          <w:rFonts w:cs="Calibri"/>
          <w:u w:val="single"/>
        </w:rPr>
        <w:t>contestation</w:t>
      </w:r>
      <w:r w:rsidRPr="0007420E">
        <w:rPr>
          <w:rFonts w:cs="Calibri"/>
        </w:rPr>
        <w:t xml:space="preserve">, </w:t>
      </w:r>
      <w:r w:rsidRPr="0007420E">
        <w:rPr>
          <w:rFonts w:cs="Calibri"/>
          <w:u w:val="single"/>
        </w:rPr>
        <w:t>democratic pluralism</w:t>
      </w:r>
      <w:r w:rsidRPr="0007420E">
        <w:rPr>
          <w:rFonts w:cs="Calibri"/>
        </w:rPr>
        <w:t xml:space="preserve">, and </w:t>
      </w:r>
      <w:r w:rsidRPr="0007420E">
        <w:rPr>
          <w:rFonts w:cs="Calibri"/>
          <w:u w:val="single"/>
        </w:rPr>
        <w:t>mutual recognition</w:t>
      </w:r>
      <w:r w:rsidRPr="0007420E">
        <w:rPr>
          <w:rFonts w:cs="Calibri"/>
        </w:rPr>
        <w:t xml:space="preserve"> – optimist humanism is </w:t>
      </w:r>
      <w:r w:rsidRPr="0007420E">
        <w:rPr>
          <w:rFonts w:cs="Calibri"/>
          <w:u w:val="single"/>
        </w:rPr>
        <w:t>necessary</w:t>
      </w:r>
      <w:r w:rsidRPr="0007420E">
        <w:rPr>
          <w:rFonts w:cs="Calibri"/>
        </w:rPr>
        <w:t xml:space="preserve"> within education. Theory is coherent under the role of the ballot and operates higher than substance. Substantive constraints are debatable via interpretations of the aff framework, Snir and Eylon 16:  </w:t>
      </w:r>
    </w:p>
    <w:p w14:paraId="0F1596DD" w14:textId="77777777" w:rsidR="00391800" w:rsidRPr="0007420E" w:rsidRDefault="00391800" w:rsidP="00391800">
      <w:r w:rsidRPr="0007420E">
        <w:t>Snir I, Eylon Y. Pedagogy of non-domination: Neo-republican political theory and critical education. Policy Futures in Education. May 26, 2016;14(6):759-774. doi:10.1177/1478210316650603 //LHP AV Accessed 7/4/21</w:t>
      </w:r>
    </w:p>
    <w:p w14:paraId="4A495262" w14:textId="77777777" w:rsidR="00391800" w:rsidRPr="0007420E" w:rsidRDefault="00391800" w:rsidP="00391800">
      <w:pPr>
        <w:rPr>
          <w:sz w:val="8"/>
        </w:rPr>
      </w:pPr>
      <w:r w:rsidRPr="0007420E">
        <w:rPr>
          <w:sz w:val="8"/>
        </w:rPr>
        <w:t xml:space="preserve">Introduction In </w:t>
      </w:r>
      <w:r w:rsidRPr="0007420E">
        <w:rPr>
          <w:b/>
          <w:bCs/>
          <w:u w:val="single"/>
        </w:rPr>
        <w:t>the last couple of decades</w:t>
      </w:r>
      <w:r w:rsidRPr="0007420E">
        <w:rPr>
          <w:sz w:val="8"/>
        </w:rPr>
        <w:t xml:space="preserve">, political philosophy </w:t>
      </w:r>
      <w:r w:rsidRPr="0007420E">
        <w:rPr>
          <w:b/>
          <w:bCs/>
          <w:u w:val="single"/>
        </w:rPr>
        <w:t>has witnessed a revival of republican thought</w:t>
      </w:r>
      <w:r w:rsidRPr="0007420E">
        <w:rPr>
          <w:sz w:val="8"/>
        </w:rPr>
        <w:t xml:space="preserve">, which occupies a central place in contemporary democratic political philosophy. </w:t>
      </w:r>
      <w:r w:rsidRPr="0007420E">
        <w:rPr>
          <w:b/>
          <w:bCs/>
          <w:u w:val="single"/>
        </w:rPr>
        <w:t>Neo-republicanism advances the idea of freedom as non-domination</w:t>
      </w:r>
      <w:r w:rsidRPr="0007420E">
        <w:rPr>
          <w:sz w:val="8"/>
        </w:rPr>
        <w:t xml:space="preserve">, in an attempt </w:t>
      </w:r>
      <w:r w:rsidRPr="0007420E">
        <w:rPr>
          <w:b/>
          <w:bCs/>
          <w:u w:val="single"/>
        </w:rPr>
        <w:t>to provide democracy with a solid normative foundation</w:t>
      </w:r>
      <w:r w:rsidRPr="0007420E">
        <w:rPr>
          <w:sz w:val="8"/>
        </w:rPr>
        <w:t xml:space="preserve"> upon which concrete principles and institutions can be erected so as to make freedom a reality.1 </w:t>
      </w:r>
      <w:r w:rsidRPr="0007420E">
        <w:rPr>
          <w:b/>
          <w:bCs/>
          <w:u w:val="single"/>
        </w:rPr>
        <w:t>At first glance, neo-republicanism may seem</w:t>
      </w:r>
      <w:r w:rsidRPr="0007420E">
        <w:rPr>
          <w:sz w:val="8"/>
        </w:rPr>
        <w:t xml:space="preserve"> a </w:t>
      </w:r>
      <w:r w:rsidRPr="0007420E">
        <w:rPr>
          <w:b/>
          <w:bCs/>
          <w:u w:val="single"/>
        </w:rPr>
        <w:t>very different</w:t>
      </w:r>
      <w:r w:rsidRPr="0007420E">
        <w:rPr>
          <w:sz w:val="8"/>
        </w:rPr>
        <w:t xml:space="preserve"> political project </w:t>
      </w:r>
      <w:r w:rsidRPr="0007420E">
        <w:rPr>
          <w:b/>
          <w:bCs/>
          <w:u w:val="single"/>
        </w:rPr>
        <w:t>from critical pedagogy</w:t>
      </w:r>
      <w:r w:rsidRPr="0007420E">
        <w:rPr>
          <w:sz w:val="8"/>
        </w:rPr>
        <w:t xml:space="preserve">. Whilst the former emerges on the backdrop of liberal democracy and thrives in the Anglo-American philosophical world, the latter originates from Marxism and is most influential in the continental context of critical theory. Moreover, the former starts with an abstract moral value and calls for realizing it, whereas the latter is founded on a critique of existing sociopolitical reality. We suggest, however, that </w:t>
      </w:r>
      <w:r w:rsidRPr="0007420E">
        <w:rPr>
          <w:b/>
          <w:bCs/>
          <w:u w:val="single"/>
        </w:rPr>
        <w:t>these two projects are related in important ways, and have much to contribute to one another</w:t>
      </w:r>
      <w:r w:rsidRPr="0007420E">
        <w:rPr>
          <w:sz w:val="8"/>
        </w:rPr>
        <w:t xml:space="preserve">. Most importantly, </w:t>
      </w:r>
      <w:r w:rsidRPr="0007420E">
        <w:rPr>
          <w:b/>
          <w:bCs/>
          <w:u w:val="single"/>
        </w:rPr>
        <w:t>neo</w:t>
      </w:r>
      <w:r w:rsidRPr="00707B98">
        <w:rPr>
          <w:b/>
          <w:bCs/>
          <w:highlight w:val="yellow"/>
          <w:u w:val="single"/>
        </w:rPr>
        <w:t>republicanism</w:t>
      </w:r>
      <w:r w:rsidRPr="0007420E">
        <w:rPr>
          <w:b/>
          <w:bCs/>
          <w:u w:val="single"/>
        </w:rPr>
        <w:t xml:space="preserve"> </w:t>
      </w:r>
      <w:r w:rsidRPr="00707B98">
        <w:rPr>
          <w:b/>
          <w:bCs/>
          <w:highlight w:val="yellow"/>
          <w:u w:val="single"/>
        </w:rPr>
        <w:t>and critical pedagogy</w:t>
      </w:r>
      <w:r w:rsidRPr="00707B98">
        <w:rPr>
          <w:sz w:val="8"/>
          <w:highlight w:val="yellow"/>
        </w:rPr>
        <w:t xml:space="preserve"> </w:t>
      </w:r>
      <w:r w:rsidRPr="0007420E">
        <w:rPr>
          <w:sz w:val="8"/>
        </w:rPr>
        <w:t xml:space="preserve">not only reject traditional liberalism, but </w:t>
      </w:r>
      <w:r w:rsidRPr="00707B98">
        <w:rPr>
          <w:b/>
          <w:bCs/>
          <w:highlight w:val="yellow"/>
          <w:u w:val="single"/>
        </w:rPr>
        <w:t>are</w:t>
      </w:r>
      <w:r w:rsidRPr="00707B98">
        <w:rPr>
          <w:sz w:val="8"/>
          <w:highlight w:val="yellow"/>
        </w:rPr>
        <w:t xml:space="preserve"> </w:t>
      </w:r>
      <w:r w:rsidRPr="0007420E">
        <w:rPr>
          <w:b/>
          <w:bCs/>
          <w:u w:val="single"/>
        </w:rPr>
        <w:t xml:space="preserve">explicitly </w:t>
      </w:r>
      <w:r w:rsidRPr="00707B98">
        <w:rPr>
          <w:b/>
          <w:bCs/>
          <w:highlight w:val="yellow"/>
          <w:u w:val="single"/>
        </w:rPr>
        <w:t xml:space="preserve">opposed to </w:t>
      </w:r>
      <w:r w:rsidRPr="0007420E">
        <w:rPr>
          <w:b/>
          <w:bCs/>
          <w:u w:val="single"/>
        </w:rPr>
        <w:t xml:space="preserve">the growing trend of </w:t>
      </w:r>
      <w:r w:rsidRPr="00707B98">
        <w:rPr>
          <w:b/>
          <w:bCs/>
          <w:highlight w:val="yellow"/>
          <w:u w:val="single"/>
        </w:rPr>
        <w:t>neo-liberalism, conservatism and authoritarianism</w:t>
      </w:r>
      <w:r w:rsidRPr="00707B98">
        <w:rPr>
          <w:sz w:val="8"/>
          <w:highlight w:val="yellow"/>
        </w:rPr>
        <w:t xml:space="preserve"> </w:t>
      </w:r>
      <w:r w:rsidRPr="0007420E">
        <w:rPr>
          <w:sz w:val="8"/>
        </w:rPr>
        <w:t xml:space="preserve">(Giroux, 2011: 8). Although the presence of a shared rival does not mean that the differences between the two approaches are insignificant, we believe that </w:t>
      </w:r>
      <w:r w:rsidRPr="0007420E">
        <w:rPr>
          <w:b/>
          <w:bCs/>
          <w:u w:val="single"/>
        </w:rPr>
        <w:t xml:space="preserve">neo-republicanism and critical pedagogy belong to </w:t>
      </w:r>
      <w:r w:rsidRPr="00707B98">
        <w:rPr>
          <w:b/>
          <w:bCs/>
          <w:highlight w:val="yellow"/>
          <w:u w:val="single"/>
        </w:rPr>
        <w:t>the same ‘‘anti-hegemonic bloc’</w:t>
      </w:r>
      <w:r w:rsidRPr="00707B98">
        <w:rPr>
          <w:sz w:val="8"/>
          <w:highlight w:val="yellow"/>
        </w:rPr>
        <w:t>’</w:t>
      </w:r>
      <w:r w:rsidRPr="0007420E">
        <w:rPr>
          <w:sz w:val="8"/>
        </w:rPr>
        <w:t xml:space="preserve"> (Apple, 2005: 106), and that </w:t>
      </w:r>
      <w:r w:rsidRPr="0007420E">
        <w:rPr>
          <w:b/>
          <w:bCs/>
          <w:u w:val="single"/>
        </w:rPr>
        <w:t>dialogue</w:t>
      </w:r>
      <w:r w:rsidRPr="0007420E">
        <w:rPr>
          <w:sz w:val="8"/>
        </w:rPr>
        <w:t xml:space="preserve"> between them </w:t>
      </w:r>
      <w:r w:rsidRPr="0007420E">
        <w:rPr>
          <w:b/>
          <w:bCs/>
          <w:u w:val="single"/>
        </w:rPr>
        <w:t>can be mutually productive</w:t>
      </w:r>
      <w:r w:rsidRPr="0007420E">
        <w:rPr>
          <w:sz w:val="8"/>
        </w:rPr>
        <w:t xml:space="preserve">. This article facilitates such dialogue by attempting to accomplish a twofold goal: (1) to help neo-republicans draw a clearer line between republicanism and traditional liberalism by highlighting the political and educational implications of the unique republican conception of freedom; and (2) to offer critical pedagogy a clear conception of freedom, which may assist in its ongoing effort to catch up with changing reality and be relevant to the contemporary world. In the first part of the article we present the neo-republican theory (sometimes referred to as civic republicanism), and contrast it with traditional liberalism. In the second we focus on existing neo-republican theories of education, and claim that they do not take the republican presuppositions to their necessary conclusion, namely to an educational theory fully committed to the idea of freedom as non-domination. </w:t>
      </w:r>
      <w:r w:rsidRPr="00707B98">
        <w:rPr>
          <w:b/>
          <w:bCs/>
          <w:highlight w:val="yellow"/>
          <w:u w:val="single"/>
        </w:rPr>
        <w:t>A republican education</w:t>
      </w:r>
      <w:r w:rsidRPr="0007420E">
        <w:rPr>
          <w:b/>
          <w:bCs/>
          <w:u w:val="single"/>
        </w:rPr>
        <w:t>al theory</w:t>
      </w:r>
      <w:r w:rsidRPr="0007420E">
        <w:rPr>
          <w:sz w:val="8"/>
        </w:rPr>
        <w:t xml:space="preserve">, we argue, </w:t>
      </w:r>
      <w:r w:rsidRPr="0007420E">
        <w:rPr>
          <w:b/>
          <w:bCs/>
          <w:u w:val="single"/>
        </w:rPr>
        <w:t xml:space="preserve">must take into consideration not only the freedom students will have in the future, but also their freedom in the present: it </w:t>
      </w:r>
      <w:r w:rsidRPr="00707B98">
        <w:rPr>
          <w:b/>
          <w:bCs/>
          <w:highlight w:val="yellow"/>
          <w:u w:val="single"/>
        </w:rPr>
        <w:t>should think of school as a small-scale republic</w:t>
      </w:r>
      <w:r w:rsidRPr="0007420E">
        <w:rPr>
          <w:b/>
          <w:bCs/>
          <w:u w:val="single"/>
        </w:rPr>
        <w:t>, which prepares its inhabitants to be future citizens of the state while at the same time treating them as free citizens in their own right</w:t>
      </w:r>
      <w:r w:rsidRPr="0007420E">
        <w:rPr>
          <w:sz w:val="8"/>
        </w:rPr>
        <w:t>. In the third part we use insights taken from critical pedagogy to chart the direction republican education must take by applying three key republican notions—democratic control, civic contestation, and trust. In the fourth and last part we outline four aspects in which neo-republicanism can shed new light on contemporary debates in critical pedagogy: the connection between democracy and justice, the multiplicity of forms of domination, critical education within schools, and work with students from relatively privileged backgrounds. Neo-republican political theory The renewed interest in the republican political tradition owes a great deal to the influential work of British historian Quentin Skinner. After a long period in which republicanism had been understood as an early, underdeveloped branch of liberalism, Skinner found in thinkers like Niccolo` Machiavelli, James Harrington, Algernon Sidney, and James Madison an independent tradition of thought that originates in Republican Rome and offers a 760 Policy Futures in Education 14(6) conceptual framework distinct from liberalism</w:t>
      </w:r>
      <w:r w:rsidRPr="0007420E">
        <w:rPr>
          <w:sz w:val="8"/>
          <w:szCs w:val="8"/>
        </w:rPr>
        <w:t>. At the heart of this tradition lies a unique concept of freedom, meriting it a place of its own as a political theory—freedom as nondomination (Skinner, 1998, 2002). In the terms of Isaiah Berlin’s (2002) famous distinction between the positive and negative concepts of liberty, freedom as non-domination is negative by nature, for it is defined in terms of absence. But unlike liberal freedom, according to which a person is free so long as no-one interferes with his or her actions, here the relevant absence is that of domination, namely relations in which one is capable of interfering with another’s actions at will. Republican freedom emphasizes the existence of the power to interfere, not its exercise; it is not actual interference that matters, but rather the capacity to interfere, which amounts to domination (Skinner, 2002: 247). A person is free, therefore, only as long as he or she is not dominated, namely not subjected to another’s will. The difference between the two negative conceptions of freedom, the liberal and the republican, carries serious implications. Consider a slave whose master is benevolent enough so as not to interfere with his actions. According to the liberal conception of freedom as non-interference, we cannot but conclude that the slave is free as long as his master stays out of his way, and that slaves in general can become liberated by learning how to avoid intervention by their masters (Lovett, 2010). On the other hand, according to the republican conception of freedom as non-domination, modeled after the free Roman citizen, the slave is not free so long as the master is capable of interfering with his life; freedom is not a matter of contingent intervention but of structural inequality. This point is far from being hypothetical or relevant to ancient history only: it is the situation of the colonized under an ‘‘enlightened’’ colonial regime, of a woman married to a gentleman in a patriarchal society, or of an employee in a society which does not provide proper protections against the employer’s whim. Thus, the decline of the republican concept of freedom and the rise of liberal freedom to an exclusive position makes it possible to reproduce various forms of domination while maintaining that the dominated are free. The republican conception of freedom, brought back to the intellectual arena by Skinner and other historians (Bobbio and Viroli, 2003; Pocock, 2003), was taken up by contemporary political philosophers, primarily Philip Pettit. In a series of publications, Pettit provides a detailed philosophical analysis of the notion of freedom as nondomination, attempting to make it the cornerstone of contemporary democratic theory—one that is inspired by the republican tradition yet rejects the problematic aspects attendant on this tradition, particularly the elitist, exclusive nature of Roman citizenship, which was restricted to propertied males (Pettit, 2012: 8). Pettit points to important implications of the difference between the liberal and republican conceptions of freedom in terms of the state and its institutions (Pettit, 2012: 134–135, 164). According to the liberal conception, freedom is a natural property, for men and women are free so long as they are not interfered with. The state, in this approach, necessarily impinges upon the freedom of its citizens, for the laws it enforces always intervene with people’s wills and actions. Freedom and state—even a democratic state—are therefore essentially contradictory in the eyes of genuine liberals; state interventions may be justified on different grounds, but they always limit freedom. In the republican conception, on the other hand, state laws and institutions do not necessarily limit freedom. In fact, they constitute it: freedom as non-domination can only be brought about by a political structure in which no-one is subordinated to the will of another. Republican freedom is not natural and circumstantial like the liberal one, but rather Snir and Eylon 761 institutional: it is a result of the structural relationship between people and is meaningless in a hypothetical state of nature. In other words, freedom, as the Romans saw very clearly, is the freedom of the citizen of a republic (Pettit, 2014: 4). Pettit makes clear that just as domination is possible without intervention, so is intervention possible without domination: not every intervention involves domination, for when I control the intervention, when it expresses a will that is not alien but is rather my own, I am dominated by no-one. The state, therefore, ought to express the will of the citizens and protect them—sometimes through forced interventions—against both dominium, namely domination by other citizens, and imperium, domination by governmental institutions. In</w:t>
      </w:r>
      <w:r w:rsidRPr="0007420E">
        <w:rPr>
          <w:sz w:val="8"/>
        </w:rPr>
        <w:t xml:space="preserve"> Pettit’s words, the republic should be ‘‘a legal regime stopping people from dominating one another without itself dominating anyone in turn’’ (1997: 273). Hence, unlike liberal freedom, </w:t>
      </w:r>
      <w:r w:rsidRPr="00707B98">
        <w:rPr>
          <w:b/>
          <w:bCs/>
          <w:highlight w:val="yellow"/>
          <w:u w:val="single"/>
        </w:rPr>
        <w:t>republican freedom is inherently egalitarian</w:t>
      </w:r>
      <w:r w:rsidRPr="0007420E">
        <w:rPr>
          <w:sz w:val="8"/>
        </w:rPr>
        <w:t xml:space="preserve">: it is thwarted </w:t>
      </w:r>
      <w:r w:rsidRPr="00707B98">
        <w:rPr>
          <w:b/>
          <w:bCs/>
          <w:highlight w:val="yellow"/>
          <w:u w:val="single"/>
        </w:rPr>
        <w:t>when some</w:t>
      </w:r>
      <w:r w:rsidRPr="00707B98">
        <w:rPr>
          <w:sz w:val="8"/>
          <w:highlight w:val="yellow"/>
        </w:rPr>
        <w:t xml:space="preserve"> </w:t>
      </w:r>
      <w:r w:rsidRPr="0007420E">
        <w:rPr>
          <w:sz w:val="8"/>
        </w:rPr>
        <w:t xml:space="preserve">people </w:t>
      </w:r>
      <w:r w:rsidRPr="00707B98">
        <w:rPr>
          <w:b/>
          <w:bCs/>
          <w:highlight w:val="yellow"/>
          <w:u w:val="single"/>
        </w:rPr>
        <w:t xml:space="preserve">are freer </w:t>
      </w:r>
      <w:r w:rsidRPr="0007420E">
        <w:rPr>
          <w:b/>
          <w:bCs/>
          <w:u w:val="single"/>
        </w:rPr>
        <w:t>than others,</w:t>
      </w:r>
      <w:r w:rsidRPr="0007420E">
        <w:rPr>
          <w:sz w:val="8"/>
        </w:rPr>
        <w:t xml:space="preserve"> for this means that </w:t>
      </w:r>
      <w:r w:rsidRPr="00707B98">
        <w:rPr>
          <w:b/>
          <w:bCs/>
          <w:highlight w:val="yellow"/>
          <w:u w:val="single"/>
        </w:rPr>
        <w:t xml:space="preserve">the former dominate </w:t>
      </w:r>
      <w:r w:rsidRPr="0007420E">
        <w:rPr>
          <w:b/>
          <w:bCs/>
          <w:u w:val="single"/>
        </w:rPr>
        <w:t>the later</w:t>
      </w:r>
      <w:r w:rsidRPr="0007420E">
        <w:rPr>
          <w:sz w:val="8"/>
        </w:rPr>
        <w:t xml:space="preserve"> (Pettit, 2012: 17, 88). This implies a deep, necessary connection between republican freedom and democracy: while various theorists suggested that democracy is not necessary for maintaining liberal freedom, since non-democratic governments can refrain from interfering with the lives of their citizens (Berlin, 2002: 177; Kant, 1991), </w:t>
      </w:r>
      <w:r w:rsidRPr="0007420E">
        <w:rPr>
          <w:sz w:val="8"/>
          <w:szCs w:val="8"/>
        </w:rPr>
        <w:t>republican freedom requires a democratic regime in which no person or authority can intervene illegitimately with citizens’ lives, while the citizens—the people, the demos—decide which interventions are legitimate (Pettit, 2012: 22). Pettit claims that the elements necessary for republican freedom to prevail are both objective and subjective: the objective elements are laws and institutions, based on the principle of mixed constitution (Pettit, 2012: 5); but these institutions ‘‘are dead, mechanical devices, and will gain life and momentum only if they win a place in the habits of people’s hearts’’ (Pettit, 1997: 241). In other words, the institutional body of the republic must be accompanied by a republican spirit in the form of values, norms, and civic dispositions that are constantly applied by the citizens in order to guard against domination. Although republican freedom does not consist in active political engagement—that is to say, the freedom of the individual is not dependent on his or her own activity, as in some political theories that adhere to ‘‘positive’’ conceptions of liberty (Arendt, 2006; Sandel, 1996) – it is dependent on the ability of the citizenry as a collective to be actively involved in protecting their freedom. The kind of</w:t>
      </w:r>
      <w:r w:rsidRPr="0007420E">
        <w:rPr>
          <w:sz w:val="8"/>
        </w:rPr>
        <w:t xml:space="preserve"> active citizenship that republicanism advocates requires willingness and capacity for civic commitment and involvement, and these are certainly not natural dispositions. They have to be learned and practiced. </w:t>
      </w:r>
      <w:r w:rsidRPr="00707B98">
        <w:rPr>
          <w:b/>
          <w:bCs/>
          <w:highlight w:val="yellow"/>
          <w:u w:val="single"/>
        </w:rPr>
        <w:t>Education</w:t>
      </w:r>
      <w:r w:rsidRPr="0007420E">
        <w:rPr>
          <w:b/>
          <w:bCs/>
          <w:u w:val="single"/>
        </w:rPr>
        <w:t xml:space="preserve">, therefore, </w:t>
      </w:r>
      <w:r w:rsidRPr="00707B98">
        <w:rPr>
          <w:b/>
          <w:bCs/>
          <w:highlight w:val="yellow"/>
          <w:u w:val="single"/>
        </w:rPr>
        <w:t>has a crucial role to play in fostering the republican spirit</w:t>
      </w:r>
      <w:r w:rsidRPr="0007420E">
        <w:rPr>
          <w:b/>
          <w:bCs/>
          <w:u w:val="single"/>
        </w:rPr>
        <w:t>.</w:t>
      </w:r>
      <w:r w:rsidRPr="0007420E">
        <w:rPr>
          <w:sz w:val="8"/>
        </w:rPr>
        <w:t xml:space="preserve"> Although school—as a generic term for state educational institutions—is by no means the only place where education takes place (Peterson, 2011: 2) it is undoubtedly an institution of the highest importance in a republic: the nurturing of public spirit is best facilitated in a public institution. </w:t>
      </w:r>
      <w:r w:rsidRPr="00707B98">
        <w:rPr>
          <w:b/>
          <w:bCs/>
          <w:highlight w:val="yellow"/>
          <w:u w:val="single"/>
        </w:rPr>
        <w:t>However</w:t>
      </w:r>
      <w:r w:rsidRPr="0007420E">
        <w:rPr>
          <w:b/>
          <w:bCs/>
          <w:u w:val="single"/>
        </w:rPr>
        <w:t xml:space="preserve">, </w:t>
      </w:r>
      <w:r w:rsidRPr="00707B98">
        <w:rPr>
          <w:b/>
          <w:bCs/>
          <w:highlight w:val="yellow"/>
          <w:u w:val="single"/>
        </w:rPr>
        <w:t xml:space="preserve">school is often </w:t>
      </w:r>
      <w:r w:rsidRPr="0007420E">
        <w:rPr>
          <w:b/>
          <w:bCs/>
          <w:u w:val="single"/>
        </w:rPr>
        <w:t xml:space="preserve">presented as </w:t>
      </w:r>
      <w:r w:rsidRPr="00707B98">
        <w:rPr>
          <w:b/>
          <w:bCs/>
          <w:highlight w:val="yellow"/>
          <w:u w:val="single"/>
        </w:rPr>
        <w:t>a site of domination</w:t>
      </w:r>
      <w:r w:rsidRPr="0007420E">
        <w:rPr>
          <w:b/>
          <w:bCs/>
          <w:u w:val="single"/>
        </w:rPr>
        <w:t>, surveillance, and lack of freedom</w:t>
      </w:r>
      <w:r w:rsidRPr="0007420E">
        <w:rPr>
          <w:sz w:val="8"/>
        </w:rPr>
        <w:t xml:space="preserve"> (e.g. Foucault, 1995; Gray, 2013; Illich, 2000). Must freedom as non-domination be bought at the price of domination within schools? The republican understanding that not all intervention amounts to domination suggests a negative answer. </w:t>
      </w:r>
      <w:r w:rsidRPr="0007420E">
        <w:rPr>
          <w:b/>
          <w:bCs/>
          <w:u w:val="single"/>
        </w:rPr>
        <w:t>If schools can be thought of as small-scale republics, they may be redesigned as places in which freedom is constituted rather than violated.</w:t>
      </w:r>
      <w:r w:rsidRPr="0007420E">
        <w:rPr>
          <w:sz w:val="8"/>
        </w:rPr>
        <w:t xml:space="preserve"> We now turn to discuss the republican approach to education. Paulo Freire’s critical pedagogy will inform us in developing the idea of schools as free communities, thereby making neo-republican education more consistent and allowing its differences from liberal education to appear with greater clarity. 762 Policy Futures in Education 14(6) The neo-republican approach to education Although the two most influential republican theorists, Skinner and Pettit, have hardly touched upon the subject of education, other contemporary republicans have stressed its importance for every functioning republic (Dagger, 1997; Honohan, 2002; Maynor, 2003; Peterson, 2011). In the words of Andrew Peterson, ‘‘it is not too strong to suggest that </w:t>
      </w:r>
      <w:r w:rsidRPr="0007420E">
        <w:rPr>
          <w:b/>
          <w:bCs/>
          <w:u w:val="single"/>
        </w:rPr>
        <w:t>without civic education, civic republican projects are seriously undermined</w:t>
      </w:r>
      <w:r w:rsidRPr="0007420E">
        <w:rPr>
          <w:sz w:val="8"/>
        </w:rPr>
        <w:t xml:space="preserve">’’ (2011: 119). And yet, Peterson observes that ‘‘there is currently little detailed exploration of the links between civic republicanism and education and how such links might help to build a better understanding of the purposes and content of civic education’’ (Peterson, 2011: 5). In line with this observation (and notwithstanding Peterson’s own work), we believe that except for general statements, attempts to develop a republican educational theory are still hesitant, and fail to take the republican radical conception of freedom to its full conclusions. The existing neo-republican discourse of education attempts to distinguish itself from the classical-liberal approach to education. Liberal educationalists traditionally argue that the state must not promote concrete values or specific conceptions of the good, and that education ought to be politically neutral, focusing only on acquainting students with their civil rights (Honohan, 2006: 203; Peterson, 2011: 13). The politicization of education, according to this liberal view, not only borders on political indoctrination, but also interferes with students’ lives, thereby illegitimately impinging on their freedom. Nevertheless, most liberal educationalists are well aware that full political neutrality is impossible (Frazer, 1999), and insist that civic education aimed at developing virtues such as individuality, autonomy, and critical thinking is the responsibility of the state (Callan, 1997; Gutmann, 1999). These virtues are taken to be the necessary minimum for freedom and democracy, but it is argued that education must not pour substantive contents into them, lest it lapse into political indoctrination. </w:t>
      </w:r>
      <w:r w:rsidRPr="0007420E">
        <w:rPr>
          <w:b/>
          <w:bCs/>
          <w:u w:val="single"/>
        </w:rPr>
        <w:t>The republican approach is much less reluctant to introduce politics to the field of education.</w:t>
      </w:r>
      <w:r w:rsidRPr="0007420E">
        <w:rPr>
          <w:sz w:val="8"/>
        </w:rPr>
        <w:t xml:space="preserve"> </w:t>
      </w:r>
      <w:r w:rsidRPr="0007420E">
        <w:rPr>
          <w:b/>
          <w:bCs/>
          <w:u w:val="single"/>
        </w:rPr>
        <w:t>The emphasis it places on the concept of citizenship</w:t>
      </w:r>
      <w:r w:rsidRPr="0007420E">
        <w:rPr>
          <w:sz w:val="8"/>
        </w:rPr>
        <w:t xml:space="preserve">, as opposed to the concept of humanity that stands at the heart of liberalism, obliges republicans to acknowledge the need for political education and the state’s responsibility to provide it: Taking a cue from the classical republican approach, </w:t>
      </w:r>
      <w:r w:rsidRPr="00707B98">
        <w:rPr>
          <w:b/>
          <w:bCs/>
          <w:highlight w:val="yellow"/>
          <w:u w:val="single"/>
        </w:rPr>
        <w:t xml:space="preserve">a modern republican state </w:t>
      </w:r>
      <w:r w:rsidRPr="0007420E">
        <w:rPr>
          <w:b/>
          <w:bCs/>
          <w:u w:val="single"/>
        </w:rPr>
        <w:t xml:space="preserve">must </w:t>
      </w:r>
      <w:r w:rsidRPr="00707B98">
        <w:rPr>
          <w:b/>
          <w:bCs/>
          <w:highlight w:val="yellow"/>
          <w:u w:val="single"/>
        </w:rPr>
        <w:t>play an active role</w:t>
      </w:r>
      <w:r w:rsidRPr="0007420E">
        <w:rPr>
          <w:b/>
          <w:bCs/>
          <w:u w:val="single"/>
        </w:rPr>
        <w:t xml:space="preserve"> in the content of public education </w:t>
      </w:r>
      <w:r w:rsidRPr="00707B98">
        <w:rPr>
          <w:b/>
          <w:bCs/>
          <w:highlight w:val="yellow"/>
          <w:u w:val="single"/>
        </w:rPr>
        <w:t xml:space="preserve">by educating </w:t>
      </w:r>
      <w:r w:rsidRPr="0007420E">
        <w:rPr>
          <w:b/>
          <w:bCs/>
          <w:u w:val="single"/>
        </w:rPr>
        <w:t xml:space="preserve">its citizens in the substance and forms of </w:t>
      </w:r>
      <w:r w:rsidRPr="00707B98">
        <w:rPr>
          <w:b/>
          <w:bCs/>
          <w:highlight w:val="yellow"/>
          <w:u w:val="single"/>
        </w:rPr>
        <w:t>nondomination</w:t>
      </w:r>
      <w:r w:rsidRPr="0007420E">
        <w:rPr>
          <w:b/>
          <w:bCs/>
          <w:u w:val="single"/>
        </w:rPr>
        <w:t xml:space="preserve">, </w:t>
      </w:r>
      <w:r w:rsidRPr="00707B98">
        <w:rPr>
          <w:b/>
          <w:bCs/>
          <w:highlight w:val="yellow"/>
          <w:u w:val="single"/>
        </w:rPr>
        <w:t xml:space="preserve">and the necessary values </w:t>
      </w:r>
      <w:r w:rsidRPr="0007420E">
        <w:rPr>
          <w:b/>
          <w:bCs/>
          <w:u w:val="single"/>
        </w:rPr>
        <w:t>and virtues that accompany it.</w:t>
      </w:r>
      <w:r w:rsidRPr="0007420E">
        <w:rPr>
          <w:sz w:val="8"/>
        </w:rPr>
        <w:t xml:space="preserve"> In doing so, a </w:t>
      </w:r>
      <w:r w:rsidRPr="0007420E">
        <w:rPr>
          <w:b/>
          <w:bCs/>
          <w:u w:val="single"/>
        </w:rPr>
        <w:t>modern republic hopes to cultivate</w:t>
      </w:r>
      <w:r w:rsidRPr="0007420E">
        <w:rPr>
          <w:sz w:val="8"/>
        </w:rPr>
        <w:t xml:space="preserve"> certain types of </w:t>
      </w:r>
      <w:r w:rsidRPr="0007420E">
        <w:rPr>
          <w:b/>
          <w:bCs/>
          <w:u w:val="single"/>
        </w:rPr>
        <w:t>individuals</w:t>
      </w:r>
      <w:r w:rsidRPr="0007420E">
        <w:rPr>
          <w:sz w:val="8"/>
        </w:rPr>
        <w:t xml:space="preserve"> </w:t>
      </w:r>
      <w:r w:rsidRPr="0007420E">
        <w:rPr>
          <w:b/>
          <w:bCs/>
          <w:u w:val="single"/>
        </w:rPr>
        <w:t>who locate their good with that of the greater community to foster group-level commitments that will reduce the amount of arbitrary interference within society</w:t>
      </w:r>
      <w:r w:rsidRPr="0007420E">
        <w:rPr>
          <w:sz w:val="8"/>
        </w:rPr>
        <w:t xml:space="preserve">. (Maynor, 2003: 181) That is to say, </w:t>
      </w:r>
      <w:r w:rsidRPr="0007420E">
        <w:rPr>
          <w:b/>
          <w:bCs/>
          <w:u w:val="single"/>
        </w:rPr>
        <w:t xml:space="preserve">civic education is critical </w:t>
      </w:r>
      <w:r w:rsidRPr="00707B98">
        <w:rPr>
          <w:b/>
          <w:bCs/>
          <w:highlight w:val="yellow"/>
          <w:u w:val="single"/>
        </w:rPr>
        <w:t>to ensuring</w:t>
      </w:r>
      <w:r w:rsidRPr="00707B98">
        <w:rPr>
          <w:sz w:val="8"/>
          <w:highlight w:val="yellow"/>
        </w:rPr>
        <w:t xml:space="preserve"> </w:t>
      </w:r>
      <w:r w:rsidRPr="0007420E">
        <w:rPr>
          <w:sz w:val="8"/>
        </w:rPr>
        <w:t xml:space="preserve">a reality in which society is not a battlefield of conflicting interests but rather an arena in which </w:t>
      </w:r>
      <w:r w:rsidRPr="00707B98">
        <w:rPr>
          <w:b/>
          <w:bCs/>
          <w:highlight w:val="yellow"/>
          <w:u w:val="single"/>
        </w:rPr>
        <w:t>citizens cooperate</w:t>
      </w:r>
      <w:r w:rsidRPr="0007420E">
        <w:rPr>
          <w:sz w:val="8"/>
        </w:rPr>
        <w:t xml:space="preserve"> to achieve a common good. However, we believe that the current republican discourse of education still does not realize the full potential of the notion of freedom as non-domination, and fails to draw all the necessary conclusions from this starting point. We will attempt to illuminate the blind spots of this discourse, which are probably a result of a reluctance to break with the prevailing liberal discourse, with the help of Freire’s critical pedagogy. Although republicanism and critical pedagogy seem to belong to two very distinct discursive worlds – liberal democracy and Marxism, respectively – their conceptual points of departure are in fact quite close, as freedom is central to both. Snir and Eylon 763 To be sure, Freire’s and Pettit’s concepts of freedom are by no means identical. Freire, who starts with observing a reality of oppression, conceives of freedom in active terms of liberation from existing domination, while Pettit thinks of freedom as constituted by a political structure, and his concept is consequently static by nature. Yet in both cases </w:t>
      </w:r>
      <w:r w:rsidRPr="0007420E">
        <w:rPr>
          <w:b/>
          <w:bCs/>
          <w:u w:val="single"/>
        </w:rPr>
        <w:t>the heart of the matter is objection to unequal, hierarchical relations, and reflection on ways to engage in a political struggle against them</w:t>
      </w:r>
      <w:r w:rsidRPr="0007420E">
        <w:rPr>
          <w:sz w:val="8"/>
        </w:rPr>
        <w:t xml:space="preserve">. One of the most important lessons of critical pedagogy is that </w:t>
      </w:r>
      <w:r w:rsidRPr="00707B98">
        <w:rPr>
          <w:b/>
          <w:bCs/>
          <w:highlight w:val="yellow"/>
          <w:u w:val="single"/>
        </w:rPr>
        <w:t>school is</w:t>
      </w:r>
      <w:r w:rsidRPr="00707B98">
        <w:rPr>
          <w:sz w:val="8"/>
          <w:highlight w:val="yellow"/>
        </w:rPr>
        <w:t xml:space="preserve"> </w:t>
      </w:r>
      <w:r w:rsidRPr="0007420E">
        <w:rPr>
          <w:sz w:val="8"/>
        </w:rPr>
        <w:t xml:space="preserve">no mere training ground for future political engagement, but rather </w:t>
      </w:r>
      <w:r w:rsidRPr="00707B98">
        <w:rPr>
          <w:b/>
          <w:bCs/>
          <w:highlight w:val="yellow"/>
          <w:u w:val="single"/>
        </w:rPr>
        <w:t>a political arena</w:t>
      </w:r>
      <w:r w:rsidRPr="0007420E">
        <w:rPr>
          <w:b/>
          <w:bCs/>
          <w:u w:val="single"/>
        </w:rPr>
        <w:t xml:space="preserve"> in its own right and that those who attend it</w:t>
      </w:r>
      <w:r w:rsidRPr="0007420E">
        <w:rPr>
          <w:sz w:val="8"/>
        </w:rPr>
        <w:t>—both young and old—</w:t>
      </w:r>
      <w:r w:rsidRPr="0007420E">
        <w:rPr>
          <w:b/>
          <w:bCs/>
          <w:u w:val="single"/>
        </w:rPr>
        <w:t>do</w:t>
      </w:r>
      <w:r w:rsidRPr="0007420E">
        <w:rPr>
          <w:sz w:val="8"/>
        </w:rPr>
        <w:t xml:space="preserve"> so </w:t>
      </w:r>
      <w:r w:rsidRPr="0007420E">
        <w:rPr>
          <w:b/>
          <w:bCs/>
          <w:u w:val="single"/>
        </w:rPr>
        <w:t>already as political agents</w:t>
      </w:r>
      <w:r w:rsidRPr="0007420E">
        <w:rPr>
          <w:sz w:val="8"/>
        </w:rPr>
        <w:t xml:space="preserve"> (Freire, 1996: 36, 49; Giroux, 1988, 2009). Freire suggests that the mechanisms of oppression that tear contemporary society apart do not stop outside the school gates, and that students suffer from systematic oppression in school no less and often even more than anywhere else. Hence, the struggle against oppression must also take place in school</w:t>
      </w:r>
      <w:r w:rsidRPr="0007420E">
        <w:rPr>
          <w:sz w:val="8"/>
          <w:szCs w:val="8"/>
        </w:rPr>
        <w:t>: Freire aspires to turn schools from sites that reproduce the oppressive relations prevailing in society into sites of freedom and equality that serve as a starting point for the broader social struggle (Freire, 1996: 135–136). Under the conventional approach, which Freire refers to as the ‘‘banking’’ concept of education (pp. 52–53), teachers are the only sources of knowledge, and their task is to ‘‘deposit’’ it in the empty minds of passive students. This kind of education reestablishes time and again the hierarchical relations between teachers and students and dehumanizes the latter by not treating them as active, responsible persons. In the kind of education Freire advocates, on the other hand, teachers and students are learning partners: the differences between them are not ignored, but the starting point is a concept of learning as a common endeavor of producing knowledge, to which all parties have much to contribute (Freire, 1996: 45, 61; Freire, 2000: 30). Neo-republican educational theory is also aware that schools often reproduce unequal social relations. But unlike critical pedagogy, the primary concern of existing republican discussions of education is society in general, while everything that occurs in school is considered first and foremost in terms of its relevance to what lies outside it in space and time: the students as adult citizens living in society. Concern for democracy and active citizenship, to be more precise, is aimed at creating a future society of free citizens, and the freedom of schoolchildren is, if anything, only a means to this end. Consequently, contemporary republican theory is not sensitive enough to various kinds of relations of domination that often exist within school. That is to say, existing theories tend too easily to allow education to take the form of domination if it seems that dominating students can contribute to non-domination in a future society. Although Richard Dagger, for example, explicitly objects to any approach that tries to mold students after a pre-given image (1997: 117), and Iseult Honohan warns against education that produces obedient citizens (2006: 205–206), they both conceive of education as one-way flow of knowledge and patterns of action, from teachers to students. Even when they emphasize active participation of students, they clearly have in mind practice or simulation directed from above in order to bear fruit in the future. More recently, Neil Hopkins (2015) has pointed out that students are ‘‘stakeholders,’’ whose freedom is in danger if they do not take part in deliberative discussions on issues that concern them at school. But Hopkins limits his discussion to debates over school curriculum and does not apply the argument to other aspects of school life. Sure enough, freedom as non-domination is relevant only to autonomous subjects capable of independent reasoning. But as Freire has taught us, if we assume in advance that some 764 Policy Futures in Education 14(6) people—including the young—are incapable of thinking for themselves and need to be told what to think and to do, we risk reproducing the existing mechanisms of domination rather than challenging them. In order to realize the full political potential of the idea of nondomination, a republican theory of education must follow the path paved by critical pedagogy and reflect on the proper ways to make school a site of non-domination. In the next part of this article we try to outline a republican theory of education that applies three principles developed by Pettit to form a sch</w:t>
      </w:r>
      <w:r w:rsidRPr="0007420E">
        <w:rPr>
          <w:sz w:val="8"/>
        </w:rPr>
        <w:t xml:space="preserve">ool model that is akin to a small-scale republic in which students are free citizens. School as a site of non-domination Pettit’s republican theory rests on a philosophical definition of freedom and develops principles that ought to guide a state in order for it to grant its citizens such freedom. But are these principles also valid for schools? The obvious differences have to do not only with the age of the people in question, but also with the fact that at school the division of roles is quite strict, and attendance is usually compulsory.2 We suggest that refusing to automatically see students as passive objects of intervention, namely realizing that students are potential subjects of domination, makes it possible as well as useful to think of school in terms of a state, and apply republican principles to it. This parallelism is not perfect, of course, but </w:t>
      </w:r>
      <w:r w:rsidRPr="00707B98">
        <w:rPr>
          <w:b/>
          <w:bCs/>
          <w:highlight w:val="yellow"/>
          <w:u w:val="single"/>
        </w:rPr>
        <w:t>if we want school to be a site of freedom</w:t>
      </w:r>
      <w:r w:rsidRPr="0007420E">
        <w:rPr>
          <w:b/>
          <w:bCs/>
          <w:u w:val="single"/>
        </w:rPr>
        <w:t xml:space="preserve">, </w:t>
      </w:r>
      <w:r w:rsidRPr="00707B98">
        <w:rPr>
          <w:b/>
          <w:bCs/>
          <w:highlight w:val="yellow"/>
          <w:u w:val="single"/>
        </w:rPr>
        <w:t xml:space="preserve">it would be beneficial to adopt </w:t>
      </w:r>
      <w:r w:rsidRPr="0007420E">
        <w:rPr>
          <w:b/>
          <w:bCs/>
          <w:u w:val="single"/>
        </w:rPr>
        <w:t>some of the principles conceived in the context of republican states</w:t>
      </w:r>
      <w:r w:rsidRPr="0007420E">
        <w:rPr>
          <w:sz w:val="8"/>
        </w:rPr>
        <w:t xml:space="preserve">. In what follows, </w:t>
      </w:r>
      <w:r w:rsidRPr="0007420E">
        <w:rPr>
          <w:b/>
          <w:bCs/>
          <w:u w:val="single"/>
        </w:rPr>
        <w:t>we will focus on</w:t>
      </w:r>
      <w:r w:rsidRPr="0007420E">
        <w:rPr>
          <w:sz w:val="8"/>
        </w:rPr>
        <w:t xml:space="preserve"> three basic principles found in Pettit: </w:t>
      </w:r>
      <w:r w:rsidRPr="00707B98">
        <w:rPr>
          <w:b/>
          <w:bCs/>
          <w:highlight w:val="yellow"/>
          <w:u w:val="single"/>
        </w:rPr>
        <w:t>democratic</w:t>
      </w:r>
      <w:r w:rsidRPr="00707B98">
        <w:rPr>
          <w:sz w:val="8"/>
          <w:highlight w:val="yellow"/>
        </w:rPr>
        <w:t xml:space="preserve"> </w:t>
      </w:r>
      <w:r w:rsidRPr="00707B98">
        <w:rPr>
          <w:b/>
          <w:bCs/>
          <w:highlight w:val="yellow"/>
          <w:u w:val="single"/>
        </w:rPr>
        <w:t>control</w:t>
      </w:r>
      <w:r w:rsidRPr="0007420E">
        <w:rPr>
          <w:b/>
          <w:bCs/>
          <w:u w:val="single"/>
        </w:rPr>
        <w:t xml:space="preserve">, civic </w:t>
      </w:r>
      <w:r w:rsidRPr="00707B98">
        <w:rPr>
          <w:b/>
          <w:bCs/>
          <w:highlight w:val="yellow"/>
          <w:u w:val="single"/>
        </w:rPr>
        <w:t>contestation</w:t>
      </w:r>
      <w:r w:rsidRPr="0007420E">
        <w:rPr>
          <w:b/>
          <w:bCs/>
          <w:u w:val="single"/>
        </w:rPr>
        <w:t xml:space="preserve">, </w:t>
      </w:r>
      <w:r w:rsidRPr="00707B98">
        <w:rPr>
          <w:b/>
          <w:bCs/>
          <w:highlight w:val="yellow"/>
          <w:u w:val="single"/>
        </w:rPr>
        <w:t>and trust</w:t>
      </w:r>
      <w:r w:rsidRPr="0007420E">
        <w:rPr>
          <w:sz w:val="8"/>
        </w:rPr>
        <w:t xml:space="preserve">. Democratic control Pettit raises the notion of popular control over government as an answer to the question of state legitimacy. As the state is authorized to use power to enforce laws on its citizens, every political theory—let alone one that places the concept of liberty in its center—must confront the question of what legitimizes this authority (Pettit, 2012: 147). The common answer to this question, which originates with Hobbes (1996) but has become one of the cornerstones of liberalism, is consent: drawing on the idea of freedom of contract, this line of argument holds that if a person willingly consents to an arrangement, then every intervention that is part of the arrangement does not count as interference and does not impinge on the person’s freedom. </w:t>
      </w:r>
      <w:r w:rsidRPr="0007420E">
        <w:rPr>
          <w:sz w:val="8"/>
          <w:szCs w:val="8"/>
        </w:rPr>
        <w:t>From the republican point of view, this answer is highly problematic: past consent may leave the person under the dominating will of another (Pettit, 2012: 158); the freedom of contract does not allow one to willingly sell oneself to slavery, and such a ‘‘free’’ contract is certainly an abuse of freedom. Republican theory, therefore, answers that state interventions are legitimate so long as they are effectively controlled by the people: ‘‘The idea of controlled interference provides us with the core element for a republican theory of political legitimacy. It suggests that if the people governed by a state control the interference practiced by government... then they may not suffer domination at the hands of their rulers and may continue to enjoy their freedom in relation to the state’’ (Pettit, 2012: 153). To have a degree of control over a result, explains Pettit, means having some influence over the process leading to it, and using that influence to impose a desired direction on the process (for random, undesired influence does not give one control). It does not mean fully determining the process or the result (Pettit, Snir and Eylon 765 2012: 153). Control over government, therefore, does not erase the differences between the government and ordinary citizens, but rather gives the latter power to steer governmental activities. When popular control over government is effective and equally accessible to all, state legitimacy may properly be called democratic (Pettit, 2012: 169). In such a case we can say that every state intervention is carried out, as the title of one of Pettit’s books reads, ‘‘on the people’s terms.’’ The argument we wish to develop, following Pettit, is that school education is legitimate so long as the ‘‘citizens’’ of the school community, both teachers and students, have control over the power exercised in it. At first glance, the idea may appear to be quite problematic: schoolchildren should study on the teachers’ terms, rather than decide on their own when, what and how to learn. But control, as we have seen, does not imply full determination. Allowing students, together with teachers, to control school activities means letting them take some part in determining them</w:t>
      </w:r>
      <w:r w:rsidRPr="0007420E">
        <w:rPr>
          <w:b/>
          <w:bCs/>
          <w:u w:val="single"/>
        </w:rPr>
        <w:t xml:space="preserve">. </w:t>
      </w:r>
      <w:r w:rsidRPr="0007420E">
        <w:rPr>
          <w:sz w:val="8"/>
        </w:rPr>
        <w:t xml:space="preserve">The degree of control may vary, of course, according to the students’ age and abilities. That is to say, </w:t>
      </w:r>
      <w:r w:rsidRPr="00707B98">
        <w:rPr>
          <w:b/>
          <w:bCs/>
          <w:highlight w:val="yellow"/>
          <w:u w:val="single"/>
        </w:rPr>
        <w:t xml:space="preserve">students’ control </w:t>
      </w:r>
      <w:r w:rsidRPr="0007420E">
        <w:rPr>
          <w:sz w:val="8"/>
        </w:rPr>
        <w:t xml:space="preserve">over school processes </w:t>
      </w:r>
      <w:r w:rsidRPr="0007420E">
        <w:rPr>
          <w:b/>
          <w:bCs/>
          <w:u w:val="single"/>
        </w:rPr>
        <w:t xml:space="preserve">does not imply eliminating the differences </w:t>
      </w:r>
      <w:r w:rsidRPr="0007420E">
        <w:rPr>
          <w:sz w:val="8"/>
        </w:rPr>
        <w:t xml:space="preserve">between students and teachers, </w:t>
      </w:r>
      <w:r w:rsidRPr="0007420E">
        <w:rPr>
          <w:b/>
          <w:bCs/>
          <w:u w:val="single"/>
        </w:rPr>
        <w:t xml:space="preserve">but </w:t>
      </w:r>
      <w:r w:rsidRPr="00707B98">
        <w:rPr>
          <w:b/>
          <w:bCs/>
          <w:highlight w:val="yellow"/>
          <w:u w:val="single"/>
        </w:rPr>
        <w:t xml:space="preserve">developing mechanisms that </w:t>
      </w:r>
      <w:r w:rsidRPr="0007420E">
        <w:rPr>
          <w:b/>
          <w:bCs/>
          <w:u w:val="single"/>
        </w:rPr>
        <w:t xml:space="preserve">make it possible for students to </w:t>
      </w:r>
      <w:r w:rsidRPr="00707B98">
        <w:rPr>
          <w:b/>
          <w:bCs/>
          <w:highlight w:val="yellow"/>
          <w:u w:val="single"/>
        </w:rPr>
        <w:t xml:space="preserve">speak out and </w:t>
      </w:r>
      <w:r w:rsidRPr="0007420E">
        <w:rPr>
          <w:b/>
          <w:bCs/>
          <w:u w:val="single"/>
        </w:rPr>
        <w:t xml:space="preserve">making sure their </w:t>
      </w:r>
      <w:r w:rsidRPr="00707B98">
        <w:rPr>
          <w:b/>
          <w:bCs/>
          <w:highlight w:val="yellow"/>
          <w:u w:val="single"/>
        </w:rPr>
        <w:t>voices are heard</w:t>
      </w:r>
      <w:r w:rsidRPr="0007420E">
        <w:rPr>
          <w:sz w:val="8"/>
        </w:rPr>
        <w:t xml:space="preserve">. </w:t>
      </w:r>
      <w:r w:rsidRPr="0007420E">
        <w:rPr>
          <w:b/>
          <w:bCs/>
          <w:u w:val="single"/>
        </w:rPr>
        <w:t>The call to involve students</w:t>
      </w:r>
      <w:r w:rsidRPr="0007420E">
        <w:rPr>
          <w:sz w:val="8"/>
        </w:rPr>
        <w:t xml:space="preserve"> in whatever takes place in their school is related to an important trend in contemporary theory of democratic and republican education that emphasizes </w:t>
      </w:r>
      <w:r w:rsidRPr="0007420E">
        <w:rPr>
          <w:b/>
          <w:bCs/>
          <w:u w:val="single"/>
        </w:rPr>
        <w:t>open processes of deliberation</w:t>
      </w:r>
      <w:r w:rsidRPr="0007420E">
        <w:rPr>
          <w:sz w:val="8"/>
        </w:rPr>
        <w:t xml:space="preserve"> (Gutmann, 1999). The deliberative democracy approach attempts to ground democracy in active participation of citizens in public forums of open communication and decision making (Christiano, 2008; Dryzek, 2003; Estlund, 2007; Gutmann and Thompson, 2004; Habermas, 1998). </w:t>
      </w:r>
      <w:r w:rsidRPr="0007420E">
        <w:rPr>
          <w:sz w:val="8"/>
          <w:szCs w:val="8"/>
        </w:rPr>
        <w:t xml:space="preserve">Education is of great importance for deliberative democracy, for it can develop the intellectual and emotional capacities needed for citizens to express themselves in discussion and listen to what others have to say (Peterson, 2011: 136–137). However, existing theories of deliberative education focus on preparing students to take part in future deliberative processes, as adult citizens; they are aware of the need to bring various themes to open discussions in school, but rarely view such discussions as an inherent aspect of decision-making in the present, behind school gates. Consequently, students have no effective control over the power exercised in school, and are in fact dominated. A genuine republican approach, one that views students as partners in processes of decision-making in the present, may benefit from thinking of deliberation in terms of Freirean dialogue: a dialogue (or rather multilogue) between teachers and students that recognizes that each party has relevant knowledge and ideas from which all others can learn (Apple, 2002; Freire, 1996: 71; Kincheloe, 2008). Children, just like the peasants and workers of which Freire often writes, may lack the capacity to articulate and sometimes even to be fully aware of their needs and interests.3 Nevertheless, the unique way in which they experience the world makes them an important source of knowledge rather than merely its recipients. Teachers should thus ‘‘establish an intimate connection between knowledge considered basic to any school curriculum and knowledge that is the fruit of the lived experience of students as individuals’’ (Freire, 2000: 36). This insight is relevant not only to theoretical learning but </w:t>
      </w:r>
      <w:r w:rsidRPr="0007420E">
        <w:rPr>
          <w:sz w:val="8"/>
        </w:rPr>
        <w:t xml:space="preserve">also to practical engagement. Deliberative processes which scaffold students in understanding and articulating their own views, and give these views due weight when determining school policies, will enable students to control the power exercised in school and make it a site of non-domination. 766 Policy Futures in Education 14(6) Civic contestation </w:t>
      </w:r>
      <w:r w:rsidRPr="0007420E">
        <w:rPr>
          <w:b/>
          <w:bCs/>
          <w:u w:val="single"/>
        </w:rPr>
        <w:t>One</w:t>
      </w:r>
      <w:r w:rsidRPr="0007420E">
        <w:rPr>
          <w:sz w:val="8"/>
        </w:rPr>
        <w:t xml:space="preserve"> of the </w:t>
      </w:r>
      <w:r w:rsidRPr="0007420E">
        <w:rPr>
          <w:b/>
          <w:bCs/>
          <w:u w:val="single"/>
        </w:rPr>
        <w:t>key tenet</w:t>
      </w:r>
      <w:r w:rsidRPr="0007420E">
        <w:rPr>
          <w:sz w:val="8"/>
        </w:rPr>
        <w:t xml:space="preserve">s </w:t>
      </w:r>
      <w:r w:rsidRPr="0007420E">
        <w:rPr>
          <w:b/>
          <w:bCs/>
          <w:u w:val="single"/>
        </w:rPr>
        <w:t>of republican political theory,</w:t>
      </w:r>
      <w:r w:rsidRPr="0007420E">
        <w:rPr>
          <w:sz w:val="8"/>
        </w:rPr>
        <w:t xml:space="preserve"> which differentiates it from most contemporary liberal-democratic theories, </w:t>
      </w:r>
      <w:r w:rsidRPr="0007420E">
        <w:rPr>
          <w:b/>
          <w:bCs/>
          <w:u w:val="single"/>
        </w:rPr>
        <w:t>is that deliberation is simply not enough</w:t>
      </w:r>
      <w:r w:rsidRPr="0007420E">
        <w:rPr>
          <w:sz w:val="8"/>
        </w:rPr>
        <w:t xml:space="preserve"> to secure democratic freedom. In republican terms, shared, equal and effective control of government is insufficient to provide for freedom as non-domination. Even when effective means of control are in place it is still possible that some people be subjected to unjust laws, or suffer from ‘‘the problem of the sticky minority,’’ in which certain individuals or groups are structurally in a position in which they are likely to be on the losing side of every vote, and are thus more or less permanently blocked from effectively controlling relevant processes (Pettit, 2012: 211–213). </w:t>
      </w:r>
      <w:r w:rsidRPr="0007420E">
        <w:rPr>
          <w:b/>
          <w:bCs/>
          <w:u w:val="single"/>
        </w:rPr>
        <w:t>The republican solution is ‘‘to introduce a system of individualized contestation... There ought to be openings for particular individuals and subgroups to test the laws or proposals</w:t>
      </w:r>
      <w:r w:rsidRPr="0007420E">
        <w:rPr>
          <w:sz w:val="8"/>
        </w:rPr>
        <w:t xml:space="preserve"> for how far the process in which they are generated respects the value of equal access to influence, and more generally, the value of equal status’’ (p. 213). That is to say, in addition to institutions of control and popular deliberation a republic should make available institutional channels—from designated courts and ombudsmen to support for public demonstrations—through which all those who feel they suffer injustice can contest any decision or law and receive fair, unbiased hearing. </w:t>
      </w:r>
      <w:r w:rsidRPr="0007420E">
        <w:rPr>
          <w:b/>
          <w:bCs/>
          <w:u w:val="single"/>
        </w:rPr>
        <w:t>This way more voices will be heard, and fewer will be subjected to domination</w:t>
      </w:r>
      <w:r w:rsidRPr="0007420E">
        <w:rPr>
          <w:sz w:val="8"/>
        </w:rPr>
        <w:t xml:space="preserve"> (Pettit, 1999, 2000). Pettit is well aware that the formal existence of institutions for contestation is not enough, for the appeal to these institutions is essentially voluntary and circumstantial. </w:t>
      </w:r>
      <w:r w:rsidRPr="00707B98">
        <w:rPr>
          <w:b/>
          <w:bCs/>
          <w:highlight w:val="yellow"/>
          <w:u w:val="single"/>
        </w:rPr>
        <w:t xml:space="preserve">There ought to be a ‘‘contestatory culture’’ </w:t>
      </w:r>
      <w:r w:rsidRPr="0007420E">
        <w:rPr>
          <w:b/>
          <w:bCs/>
          <w:u w:val="single"/>
        </w:rPr>
        <w:t xml:space="preserve">that disposes people </w:t>
      </w:r>
      <w:r w:rsidRPr="00707B98">
        <w:rPr>
          <w:b/>
          <w:bCs/>
          <w:highlight w:val="yellow"/>
          <w:u w:val="single"/>
        </w:rPr>
        <w:t xml:space="preserve">to oppose </w:t>
      </w:r>
      <w:r w:rsidRPr="0007420E">
        <w:rPr>
          <w:b/>
          <w:bCs/>
          <w:u w:val="single"/>
        </w:rPr>
        <w:t xml:space="preserve">any instance of </w:t>
      </w:r>
      <w:r w:rsidRPr="00707B98">
        <w:rPr>
          <w:b/>
          <w:bCs/>
          <w:highlight w:val="yellow"/>
          <w:u w:val="single"/>
        </w:rPr>
        <w:t>domination</w:t>
      </w:r>
      <w:r w:rsidRPr="00707B98">
        <w:rPr>
          <w:sz w:val="8"/>
          <w:highlight w:val="yellow"/>
        </w:rPr>
        <w:t xml:space="preserve"> </w:t>
      </w:r>
      <w:r w:rsidRPr="0007420E">
        <w:rPr>
          <w:sz w:val="8"/>
        </w:rPr>
        <w:t xml:space="preserve">(Pettit, 2012: 225). People must be on the watch for proposals or measures that are not suitably supported ... and they must be ready to organize in opposition to such policies. It is only ... in the presence of civic vigilance ...that we can have any assurance that government will be forced to remain responsive to popular inputs. (Pettit, 2012: 226; see also Eylon and Harel, 2006) To be sure, not everyone must be a political activist, but </w:t>
      </w:r>
      <w:r w:rsidRPr="0007420E">
        <w:rPr>
          <w:b/>
          <w:bCs/>
          <w:u w:val="single"/>
        </w:rPr>
        <w:t>the community in general must practice a high level of civic engagement</w:t>
      </w:r>
      <w:r w:rsidRPr="0007420E">
        <w:rPr>
          <w:sz w:val="8"/>
        </w:rPr>
        <w:t xml:space="preserve">, which is the price to be paid for freedom as nondomination (Pettit, 2012: 174). Education obviously has a crucial role in fostering a republican spirit of readiness to challenge moral and political wrongs. In this vein, Honohan claims that school education must cultivate ‘‘an orientation to challenge infringements not only of one’s own rights, but also those of others’’ (2006: 205). Ways to challenge such infringements must be taught not only in theory, but also be actively practiced: </w:t>
      </w:r>
      <w:r w:rsidRPr="0007420E">
        <w:rPr>
          <w:b/>
          <w:bCs/>
          <w:u w:val="single"/>
        </w:rPr>
        <w:t>a truly republican school must allow its student-citizens open channels for contesting the decisions of teachers and management</w:t>
      </w:r>
      <w:r w:rsidRPr="0007420E">
        <w:rPr>
          <w:sz w:val="8"/>
        </w:rPr>
        <w:t xml:space="preserve">, and make sure their views are given fair consideration. And yet, the nature of republican contestation can be easily misunderstood. Peterson’s discussion of the role of contestation in republican education, for example, relies on Pettit and Maynor to argue that the aim of ‘‘contestatory deliberation’’ is to strive to consensus and the formation of shared values (Peterson, 2009: 64–66). This interpretation, which understands contestation as an aspect of deliberation and popular control, misses an essential and unique element of republicanism. </w:t>
      </w:r>
      <w:r w:rsidRPr="00707B98">
        <w:rPr>
          <w:b/>
          <w:bCs/>
          <w:highlight w:val="yellow"/>
          <w:u w:val="single"/>
        </w:rPr>
        <w:t>Contestation</w:t>
      </w:r>
      <w:r w:rsidRPr="0007420E">
        <w:rPr>
          <w:sz w:val="8"/>
        </w:rPr>
        <w:t xml:space="preserve">, like contemporary republicanism in general, is not so much a matter of agreement and consensus but rather </w:t>
      </w:r>
      <w:r w:rsidRPr="00707B98">
        <w:rPr>
          <w:b/>
          <w:bCs/>
          <w:highlight w:val="yellow"/>
          <w:u w:val="single"/>
        </w:rPr>
        <w:t>has to do with the conflictual</w:t>
      </w:r>
      <w:r w:rsidRPr="0007420E">
        <w:rPr>
          <w:b/>
          <w:bCs/>
          <w:u w:val="single"/>
        </w:rPr>
        <w:t xml:space="preserve">, antagonistic </w:t>
      </w:r>
      <w:r w:rsidRPr="00707B98">
        <w:rPr>
          <w:b/>
          <w:bCs/>
          <w:highlight w:val="yellow"/>
          <w:u w:val="single"/>
        </w:rPr>
        <w:t>nature of democratic politics</w:t>
      </w:r>
      <w:r w:rsidRPr="0007420E">
        <w:rPr>
          <w:b/>
          <w:bCs/>
          <w:u w:val="single"/>
        </w:rPr>
        <w:t>: ‘‘freedom as nondomination supports a conception of democracy under which contestability takes the place usually given to consent</w:t>
      </w:r>
      <w:r w:rsidRPr="0007420E">
        <w:rPr>
          <w:sz w:val="8"/>
        </w:rPr>
        <w:t xml:space="preserve">; what is of primary importance is not that government does what Snir and Eylon 767 the people tells it but ... that people can always contest whatever it is that government does’’ (Pettit, 1997: ix). The republican spirit requires not only that </w:t>
      </w:r>
      <w:r w:rsidRPr="0007420E">
        <w:rPr>
          <w:b/>
          <w:bCs/>
          <w:u w:val="single"/>
        </w:rPr>
        <w:t>citizens are taught how not to dominate others, but also that they be taught how not to be dominated</w:t>
      </w:r>
      <w:r w:rsidRPr="0007420E">
        <w:rPr>
          <w:sz w:val="8"/>
        </w:rPr>
        <w:t xml:space="preserve">. We believe that this aspect of republican education will also be best understood if considered not in relation to liberal-democratic education but rather to critical pedagogy. </w:t>
      </w:r>
      <w:r w:rsidRPr="0007420E">
        <w:rPr>
          <w:b/>
          <w:bCs/>
          <w:u w:val="single"/>
        </w:rPr>
        <w:t>As an offshoot of Marxist politics, critical pedagogy conceives of politics first and foremost as a struggle</w:t>
      </w:r>
      <w:r w:rsidRPr="0007420E">
        <w:rPr>
          <w:sz w:val="8"/>
        </w:rPr>
        <w:t xml:space="preserve">, and its addressees—or better, its agents—are primarily the oppressed, the ‘‘wretched of the earth’’ (Freire, 2000: 22). The emphasis on dialogue and cooperation in Freire’s theory and praxis must not blur this starting point: </w:t>
      </w:r>
      <w:r w:rsidRPr="0007420E">
        <w:rPr>
          <w:b/>
          <w:bCs/>
          <w:u w:val="single"/>
        </w:rPr>
        <w:t xml:space="preserve">the aim of politics is liberation, which means a radical change in existing relations of domination. </w:t>
      </w:r>
      <w:r w:rsidRPr="0007420E">
        <w:rPr>
          <w:sz w:val="8"/>
        </w:rPr>
        <w:t>Moreover, Freire argues that as modern capitalist society denies people their freedom, it also dehumanizes them: it does not allow them to consider themselves to be human subjects capable of fighting for what is theirs and changing reality (Freire, 1996: 25–27). Its outcome notwithstanding</w:t>
      </w:r>
      <w:r w:rsidRPr="00707B98">
        <w:rPr>
          <w:sz w:val="8"/>
          <w:highlight w:val="yellow"/>
        </w:rPr>
        <w:t xml:space="preserve">, </w:t>
      </w:r>
      <w:r w:rsidRPr="00707B98">
        <w:rPr>
          <w:b/>
          <w:bCs/>
          <w:highlight w:val="yellow"/>
          <w:u w:val="single"/>
        </w:rPr>
        <w:t>political struggle</w:t>
      </w:r>
      <w:r w:rsidRPr="0007420E">
        <w:rPr>
          <w:sz w:val="8"/>
        </w:rPr>
        <w:t xml:space="preserve">, therefore, </w:t>
      </w:r>
      <w:r w:rsidRPr="0007420E">
        <w:rPr>
          <w:b/>
          <w:bCs/>
          <w:u w:val="single"/>
        </w:rPr>
        <w:t xml:space="preserve">is intrinsically valuable as it </w:t>
      </w:r>
      <w:r w:rsidRPr="00707B98">
        <w:rPr>
          <w:b/>
          <w:bCs/>
          <w:highlight w:val="yellow"/>
          <w:u w:val="single"/>
        </w:rPr>
        <w:t>rehumanizes the oppressed</w:t>
      </w:r>
      <w:r w:rsidRPr="00707B98">
        <w:rPr>
          <w:sz w:val="8"/>
          <w:highlight w:val="yellow"/>
        </w:rPr>
        <w:t xml:space="preserve"> </w:t>
      </w:r>
      <w:r w:rsidRPr="0007420E">
        <w:rPr>
          <w:sz w:val="8"/>
        </w:rPr>
        <w:t xml:space="preserve">(Freire, 2014: 74). Accordingly, </w:t>
      </w:r>
      <w:r w:rsidRPr="0007420E">
        <w:rPr>
          <w:b/>
          <w:bCs/>
          <w:u w:val="single"/>
        </w:rPr>
        <w:t>everything that takes place at school</w:t>
      </w:r>
      <w:r w:rsidRPr="0007420E">
        <w:rPr>
          <w:sz w:val="8"/>
        </w:rPr>
        <w:t xml:space="preserve">, including the curriculum and the student-teacher multilogue, </w:t>
      </w:r>
      <w:r w:rsidRPr="0007420E">
        <w:rPr>
          <w:b/>
          <w:bCs/>
          <w:u w:val="single"/>
        </w:rPr>
        <w:t>should be thought of through the political prism of rehumanization through active struggle</w:t>
      </w:r>
      <w:r w:rsidRPr="0007420E">
        <w:rPr>
          <w:sz w:val="8"/>
        </w:rPr>
        <w:t xml:space="preserve">. </w:t>
      </w:r>
      <w:r w:rsidRPr="0007420E">
        <w:rPr>
          <w:b/>
          <w:bCs/>
          <w:u w:val="single"/>
        </w:rPr>
        <w:t>Republican education</w:t>
      </w:r>
      <w:r w:rsidRPr="0007420E">
        <w:rPr>
          <w:sz w:val="8"/>
        </w:rPr>
        <w:t xml:space="preserve"> that places nondomination at its center must work along the same lines: it </w:t>
      </w:r>
      <w:r w:rsidRPr="0007420E">
        <w:rPr>
          <w:b/>
          <w:bCs/>
          <w:u w:val="single"/>
        </w:rPr>
        <w:t>must enable students to grow from children to citizens by way of civic engagement</w:t>
      </w:r>
      <w:r w:rsidRPr="0007420E">
        <w:rPr>
          <w:sz w:val="8"/>
        </w:rPr>
        <w:t>, an essential aspect of which is the struggle for rights and liberties. It must realize that other aspects of school life, including the acquisition of theoretical knowledge, will only be enhanced by active involvement of students in all aspects of the learning process. Contestation is clearly a delicate issue. Schools are small, fragile communities, and many of their members are highly vulnerable, as their personal and civic virtues are still in the process of formation. Hence, every challenge to authority might be dangerous for both the institution and the individuals within it. It is therefore especially important that the channels of contestation be jointly and judiciously developed by students and teachers. These channels can include joint student-teacher committees, as well as petitions and even strikes and demonstrations. But as forms of civic engagement, they must not be limited in advance</w:t>
      </w:r>
      <w:r w:rsidRPr="0007420E">
        <w:rPr>
          <w:sz w:val="8"/>
          <w:szCs w:val="8"/>
        </w:rPr>
        <w:t xml:space="preserve">. For school citizenship to be pluralist and inclusive, it must acknowledge that different students need different ways to express protest. In this manner, schools can become effective platforms for genuine citizenship – not merely places in which citizens are trained, but rather laboratories in which ever new ways of political engagement and contestation are explored. Just like in the vision of critical pedagogy, political engagement within school will be a source of inspiration and action that will promote freedom and equality in society in general. Trust Where and how should we draw the borderline between effective civil contestation and sheer rebelliousness? On the one hand, if the school administration has the right to determine when contestation is legitimate, this would blunt the edge of republican contestation and turn school citizenship into mere simulation. On the other hand, if students are allowed to contest everything that takes place at school as they please, the entire school system would be undermined. To deal with this problem, we will borrow one last concept from Pettit’s republicanism, which is of great relevance to education—trust. Trust among citizens, and between citizens and state, is a crucial element in a republic (Pettit, 1997: 262). At first sight trust may seem to clash with civic vigilance, since vigilance 768 Policy Futures in Education 14(6) implies constant refusal to automatically assume that all others respect the shared laws and norms. But Pettit insists that feeling trust does not necessarily mean expressing it, and that the citizens of the republic may certainly trust the state and their fellow citizens while publicly expressing distrust: The republican recommendation is that, whatever confidence people feel in the authorities, they will have all the more reason to feel such confidence ... if they always insist on the authorities going through the required hoops in order to prove themselves virtuous. To be vigilant in this sense will not be to feel an attitude of distrust towards the authorities – or at least not necessarily – but to maintain a demanding pattern of expectations in their regard. (Pettit, 1997: 264) That is to say, trust and vigilance, properly understood, are complementary: the possibility of effective contestation is the ground from which trust between citizens and state grows, while one of the fruits of trust is the citizens’ reluctance to protest in ways that might undermine the very foundations of the republic. As Freire makes clear, the notion of trust is especially relevant for the school community. Critical pedagogy, while explicitly calling for radical political action and undermining the traditional hierarchical relations between teachers and students, appeals to trust as the basis upon which dialogical cooperation must stand. It is </w:t>
      </w:r>
      <w:r w:rsidRPr="0007420E">
        <w:rPr>
          <w:sz w:val="8"/>
        </w:rPr>
        <w:t>often the case, according to Freire, that teachers bring their prejudices to school, and even the best-intended among them lack confidence in their students’ ability to think and learn (1996: 42). Therefore, ‘‘</w:t>
      </w:r>
      <w:r w:rsidRPr="00707B98">
        <w:rPr>
          <w:b/>
          <w:bCs/>
          <w:highlight w:val="yellow"/>
          <w:u w:val="single"/>
        </w:rPr>
        <w:t>it is necessary to trust</w:t>
      </w:r>
      <w:r w:rsidRPr="0007420E">
        <w:rPr>
          <w:b/>
          <w:bCs/>
          <w:u w:val="single"/>
        </w:rPr>
        <w:t xml:space="preserve"> in </w:t>
      </w:r>
      <w:r w:rsidRPr="00707B98">
        <w:rPr>
          <w:b/>
          <w:bCs/>
          <w:highlight w:val="yellow"/>
          <w:u w:val="single"/>
        </w:rPr>
        <w:t xml:space="preserve">the oppressed </w:t>
      </w:r>
      <w:r w:rsidRPr="0007420E">
        <w:rPr>
          <w:b/>
          <w:bCs/>
          <w:u w:val="single"/>
        </w:rPr>
        <w:t xml:space="preserve">and </w:t>
      </w:r>
      <w:r w:rsidRPr="00707B98">
        <w:rPr>
          <w:b/>
          <w:bCs/>
          <w:highlight w:val="yellow"/>
          <w:u w:val="single"/>
        </w:rPr>
        <w:t>in their ability to reason’’</w:t>
      </w:r>
      <w:r w:rsidRPr="00707B98">
        <w:rPr>
          <w:sz w:val="8"/>
          <w:highlight w:val="yellow"/>
        </w:rPr>
        <w:t xml:space="preserve"> </w:t>
      </w:r>
      <w:r w:rsidRPr="0007420E">
        <w:rPr>
          <w:sz w:val="8"/>
        </w:rPr>
        <w:t xml:space="preserve">(p.48), just as it is necessary that the oppressed learn to trust their educators even if they happen to belong to the ranks of the oppressors. Furthermore, the process through which people gain civic consciousness makes them politically responsible subjects, thereby restraining fanatical tendencies (p.18) and making it possible for teachers to trust that their students’ political engagement will not become mere violent rebelliousness. This is of great importance also in the context of republican education. The way to making school a sustainable site of non-domination necessarily passes through the exhausting, dangerous effort of building mutual trust: if schools succeed in getting students to trust them, they will be able to trust students not to let contestation get out of hand. Neo-republicanism and contemporary debates in critical pedagogy Just as neo-republicanism can benefit from dialogue with critical pedagogy, so it can contribute to contemporary critical pedagogy. In the last couple of decades—following Freire’s demise and due to significant changes in sociopolitical realities and academic discourses—critical pedagogy has suffered from disorientation, sometimes termed ‘‘crisis’’ (Tubbs, 2005: 226), leading to claims that it should ‘‘reinvent itself’’ (Allen and Rossatto, 2009: 165). In the following section we present four issues on which post-Freirean critical pedagogy is engaged in heated debates and show how neo-republican theory can help adjust critical pedagogy to contemporary realities. </w:t>
      </w:r>
    </w:p>
    <w:p w14:paraId="79EA58FB" w14:textId="77777777" w:rsidR="00391800" w:rsidRPr="00F601E6" w:rsidRDefault="00391800" w:rsidP="00391800"/>
    <w:p w14:paraId="74497D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18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80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AC35B"/>
  <w14:defaultImageDpi w14:val="300"/>
  <w15:docId w15:val="{F1FC9557-4EC5-574B-86AE-AA2CA16D6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180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918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18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3918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3918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18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1800"/>
  </w:style>
  <w:style w:type="character" w:customStyle="1" w:styleId="Heading1Char">
    <w:name w:val="Heading 1 Char"/>
    <w:aliases w:val="Pocket Char"/>
    <w:basedOn w:val="DefaultParagraphFont"/>
    <w:link w:val="Heading1"/>
    <w:uiPriority w:val="9"/>
    <w:rsid w:val="003918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180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391800"/>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3918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1800"/>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391800"/>
    <w:rPr>
      <w:b w:val="0"/>
      <w:sz w:val="22"/>
      <w:u w:val="single"/>
    </w:rPr>
  </w:style>
  <w:style w:type="character" w:styleId="Emphasis">
    <w:name w:val="Emphasis"/>
    <w:basedOn w:val="DefaultParagraphFont"/>
    <w:uiPriority w:val="20"/>
    <w:qFormat/>
    <w:rsid w:val="0039180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180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391800"/>
    <w:rPr>
      <w:color w:val="auto"/>
      <w:u w:val="none"/>
    </w:rPr>
  </w:style>
  <w:style w:type="paragraph" w:styleId="DocumentMap">
    <w:name w:val="Document Map"/>
    <w:basedOn w:val="Normal"/>
    <w:link w:val="DocumentMapChar"/>
    <w:uiPriority w:val="99"/>
    <w:semiHidden/>
    <w:unhideWhenUsed/>
    <w:rsid w:val="003918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1800"/>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391800"/>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3918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23484596.%20Accessed%206%20July%2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17710</Words>
  <Characters>100953</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2021-11-13T14:02:00Z</dcterms:created>
  <dcterms:modified xsi:type="dcterms:W3CDTF">2021-11-13T14:02:00Z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