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096F" w14:textId="2D6F4E25" w:rsidR="00A95652" w:rsidRDefault="00766504" w:rsidP="00766504">
      <w:pPr>
        <w:pStyle w:val="Heading1"/>
      </w:pPr>
      <w:r>
        <w:t>1NC vs Harvard Westlake NL</w:t>
      </w:r>
    </w:p>
    <w:p w14:paraId="2215BD02" w14:textId="3700A7DB" w:rsidR="00766504" w:rsidRDefault="00766504" w:rsidP="00766504"/>
    <w:p w14:paraId="2F3443E4" w14:textId="17DF85F8" w:rsidR="00766504" w:rsidRDefault="00766504" w:rsidP="00766504">
      <w:pPr>
        <w:pStyle w:val="Heading2"/>
      </w:pPr>
      <w:r>
        <w:t>1</w:t>
      </w:r>
    </w:p>
    <w:p w14:paraId="16E28C78" w14:textId="77F14495" w:rsidR="00766504" w:rsidRPr="00653DEB" w:rsidRDefault="00766504" w:rsidP="00766504">
      <w:pPr>
        <w:pStyle w:val="Heading4"/>
        <w:rPr>
          <w:i/>
          <w:iCs w:val="0"/>
        </w:rPr>
      </w:pPr>
      <w:r>
        <w:t xml:space="preserve">A. Interpretation: </w:t>
      </w:r>
      <w:r w:rsidRPr="00653DEB">
        <w:t xml:space="preserve">If the affirmative defends anything other than </w:t>
      </w:r>
      <w:r>
        <w:t>“The member nations of the World Trade Organization ought to reduce intellectual property protections for medicines”</w:t>
      </w:r>
      <w:r w:rsidRPr="00653DEB">
        <w:t xml:space="preserve"> </w:t>
      </w:r>
      <w:r>
        <w:t xml:space="preserve">then </w:t>
      </w:r>
      <w:r w:rsidRPr="00653DEB">
        <w:t xml:space="preserve">they must provide a counter-solvency advocate for their specific advocacy. </w:t>
      </w:r>
    </w:p>
    <w:p w14:paraId="0C339B42" w14:textId="77777777" w:rsidR="00766504" w:rsidRDefault="00766504" w:rsidP="00766504">
      <w:pPr>
        <w:pStyle w:val="Heading4"/>
      </w:pPr>
      <w:r>
        <w:t>B. Violation:</w:t>
      </w:r>
    </w:p>
    <w:p w14:paraId="32D7F2C7" w14:textId="77777777" w:rsidR="00766504" w:rsidRDefault="00766504" w:rsidP="00766504">
      <w:pPr>
        <w:pStyle w:val="Heading4"/>
      </w:pPr>
      <w:r>
        <w:t>C. Standards:</w:t>
      </w:r>
    </w:p>
    <w:p w14:paraId="21899C8A" w14:textId="7DE107CE" w:rsidR="00766504" w:rsidRDefault="00766504" w:rsidP="00766504">
      <w:pPr>
        <w:pStyle w:val="Heading4"/>
      </w:pPr>
      <w:r>
        <w:t xml:space="preserve">1. </w:t>
      </w:r>
      <w:r w:rsidRPr="00653DEB">
        <w:rPr>
          <w:u w:val="single"/>
        </w:rPr>
        <w:t>Fairness</w:t>
      </w:r>
      <w:r w:rsidRPr="00653DEB">
        <w:t xml:space="preserve"> – </w:t>
      </w:r>
    </w:p>
    <w:p w14:paraId="37472CF8" w14:textId="3CF55775" w:rsidR="00766504" w:rsidRDefault="00766504" w:rsidP="00766504">
      <w:pPr>
        <w:pStyle w:val="Heading4"/>
      </w:pPr>
      <w:r w:rsidRPr="00653DEB">
        <w:t xml:space="preserve">a) Ground – </w:t>
      </w:r>
    </w:p>
    <w:p w14:paraId="4094E539" w14:textId="57922BBB" w:rsidR="00766504" w:rsidRPr="00653DEB" w:rsidRDefault="00766504" w:rsidP="00766504">
      <w:pPr>
        <w:pStyle w:val="Heading4"/>
      </w:pPr>
      <w:r w:rsidRPr="00653DEB">
        <w:t xml:space="preserve">b) Limits – </w:t>
      </w:r>
    </w:p>
    <w:p w14:paraId="2B2A83A4" w14:textId="1DA49122" w:rsidR="00766504" w:rsidRDefault="00766504" w:rsidP="00766504">
      <w:pPr>
        <w:pStyle w:val="Heading4"/>
      </w:pPr>
      <w:r>
        <w:t xml:space="preserve">2. </w:t>
      </w:r>
      <w:r w:rsidRPr="00653DEB">
        <w:rPr>
          <w:u w:val="single"/>
        </w:rPr>
        <w:t>Research</w:t>
      </w:r>
      <w:r w:rsidRPr="00653DEB">
        <w:t xml:space="preserve"> – </w:t>
      </w:r>
    </w:p>
    <w:p w14:paraId="3C88F087" w14:textId="77777777" w:rsidR="0009327D" w:rsidRPr="0009327D" w:rsidRDefault="0009327D" w:rsidP="0009327D"/>
    <w:p w14:paraId="3C8C8292" w14:textId="7579E8F6" w:rsidR="004B2603" w:rsidRPr="004B2603" w:rsidRDefault="004B2603" w:rsidP="004B2603">
      <w:pPr>
        <w:pStyle w:val="Heading2"/>
      </w:pPr>
      <w:r>
        <w:t>2</w:t>
      </w:r>
    </w:p>
    <w:p w14:paraId="24048338" w14:textId="77777777" w:rsidR="0009327D" w:rsidRDefault="0009327D" w:rsidP="0009327D">
      <w:pPr>
        <w:pStyle w:val="Heading4"/>
      </w:pPr>
      <w:r>
        <w:t>A. Interpretation: The affirmative debater must articulate a distinct ROB in the form of a delineated text in the first affirmative speech.</w:t>
      </w:r>
    </w:p>
    <w:p w14:paraId="5C2AB2F0" w14:textId="77777777" w:rsidR="0009327D" w:rsidRDefault="0009327D" w:rsidP="0009327D">
      <w:pPr>
        <w:pStyle w:val="Heading4"/>
      </w:pPr>
      <w:r>
        <w:t xml:space="preserve">B. Violation: </w:t>
      </w:r>
    </w:p>
    <w:p w14:paraId="6D1F98D8" w14:textId="77777777" w:rsidR="0009327D" w:rsidRDefault="0009327D" w:rsidP="0009327D">
      <w:pPr>
        <w:pStyle w:val="Heading4"/>
      </w:pPr>
      <w:r>
        <w:t>C. Standards:</w:t>
      </w:r>
    </w:p>
    <w:p w14:paraId="703799BE" w14:textId="4D6083EB" w:rsidR="0009327D" w:rsidRDefault="0009327D" w:rsidP="0009327D">
      <w:pPr>
        <w:pStyle w:val="Heading4"/>
      </w:pPr>
      <w:r>
        <w:t xml:space="preserve">1. </w:t>
      </w:r>
      <w:r w:rsidRPr="008A3EB5">
        <w:rPr>
          <w:u w:val="single"/>
        </w:rPr>
        <w:t>Strat Skew</w:t>
      </w:r>
      <w:r>
        <w:t xml:space="preserve"> – </w:t>
      </w:r>
    </w:p>
    <w:p w14:paraId="6B51CB83" w14:textId="0AB19B8D" w:rsidR="0009327D" w:rsidRPr="0009327D" w:rsidRDefault="0009327D" w:rsidP="0086094B">
      <w:pPr>
        <w:pStyle w:val="Heading4"/>
        <w:rPr>
          <w:i/>
          <w:iCs w:val="0"/>
        </w:rPr>
      </w:pPr>
      <w:r>
        <w:t xml:space="preserve">2. </w:t>
      </w:r>
      <w:r w:rsidRPr="00234A3E">
        <w:rPr>
          <w:u w:val="single"/>
        </w:rPr>
        <w:t>Reciprocity</w:t>
      </w:r>
      <w:r>
        <w:t xml:space="preserve"> – </w:t>
      </w:r>
    </w:p>
    <w:p w14:paraId="378329FF" w14:textId="77777777" w:rsidR="004B2603" w:rsidRPr="004B2603" w:rsidRDefault="004B2603" w:rsidP="004B2603"/>
    <w:p w14:paraId="75233982" w14:textId="51CC5905" w:rsidR="00766504" w:rsidRDefault="004B2603" w:rsidP="004B2603">
      <w:pPr>
        <w:pStyle w:val="Heading2"/>
      </w:pPr>
      <w:r>
        <w:t>3</w:t>
      </w:r>
    </w:p>
    <w:p w14:paraId="277FF241" w14:textId="60F15A5E" w:rsidR="0009327D" w:rsidRPr="0009327D" w:rsidRDefault="0009327D" w:rsidP="0009327D">
      <w:pPr>
        <w:pStyle w:val="Heading4"/>
      </w:pPr>
      <w:r w:rsidRPr="00872630">
        <w:t>Use a truth testing paradigm a) Logic</w:t>
      </w:r>
      <w:r>
        <w:t xml:space="preserve"> ––</w:t>
      </w:r>
      <w:r w:rsidRPr="00872630">
        <w:t xml:space="preserve"> b) </w:t>
      </w:r>
      <w:r>
        <w:t>F</w:t>
      </w:r>
      <w:r w:rsidRPr="00872630">
        <w:t>iat is illusory –</w:t>
      </w:r>
      <w:r>
        <w:t xml:space="preserve">– c) </w:t>
      </w:r>
      <w:r w:rsidRPr="00CB7FDD">
        <w:t xml:space="preserve">ROBs that aren’t phrased as binaries maximize leeway for interpretation </w:t>
      </w:r>
      <w:r>
        <w:t xml:space="preserve">– d) Inclusion –– e) Permissibility trigger –– f) </w:t>
      </w:r>
      <w:proofErr w:type="spellStart"/>
      <w:r>
        <w:t>Constitutivism</w:t>
      </w:r>
      <w:proofErr w:type="spellEnd"/>
      <w:r>
        <w:t xml:space="preserve"> –</w:t>
      </w:r>
      <w:r>
        <w:rPr>
          <w:rFonts w:eastAsia="Calibri" w:cs="Times New Roman"/>
          <w:color w:val="000000"/>
        </w:rPr>
        <w:t xml:space="preserve">– </w:t>
      </w:r>
      <w:r>
        <w:t xml:space="preserve">g) Inescapability – </w:t>
      </w:r>
    </w:p>
    <w:p w14:paraId="0F6C679D" w14:textId="5FE5A85C" w:rsidR="004B2603" w:rsidRDefault="004B2603" w:rsidP="004B2603">
      <w:pPr>
        <w:pStyle w:val="Heading2"/>
      </w:pPr>
      <w:r>
        <w:t>4</w:t>
      </w:r>
    </w:p>
    <w:p w14:paraId="7C76780F" w14:textId="6A46EBF6" w:rsidR="0009327D" w:rsidRDefault="0009327D" w:rsidP="0009327D">
      <w:pPr>
        <w:pStyle w:val="Heading4"/>
      </w:pPr>
      <w:r>
        <w:t xml:space="preserve">Presumption and permissibility </w:t>
      </w:r>
      <w:proofErr w:type="gramStart"/>
      <w:r>
        <w:t>negates</w:t>
      </w:r>
      <w:proofErr w:type="gramEnd"/>
      <w:r>
        <w:t xml:space="preserve"> –</w:t>
      </w:r>
    </w:p>
    <w:p w14:paraId="67E8C418" w14:textId="77777777" w:rsidR="0009327D" w:rsidRDefault="0009327D" w:rsidP="0009327D">
      <w:pPr>
        <w:pStyle w:val="Heading4"/>
      </w:pPr>
      <w:r>
        <w:t xml:space="preserve">Every reason is equally as violent in its creation. </w:t>
      </w:r>
    </w:p>
    <w:p w14:paraId="67B7B53E" w14:textId="77777777" w:rsidR="0009327D" w:rsidRDefault="0009327D" w:rsidP="0009327D">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 xml:space="preserve">Massa </w:t>
      </w:r>
      <w:r w:rsidRPr="000C791C">
        <w:rPr>
          <w:sz w:val="16"/>
          <w:szCs w:val="16"/>
        </w:rPr>
        <w:t xml:space="preserve"> But</w:t>
      </w:r>
      <w:proofErr w:type="gramEnd"/>
      <w:r w:rsidRPr="000C791C">
        <w:rPr>
          <w:sz w:val="16"/>
          <w:szCs w:val="16"/>
        </w:rPr>
        <w:t xml:space="preserve"> </w:t>
      </w:r>
      <w:r w:rsidRPr="00A2298D">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A2298D">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A2298D">
        <w:rPr>
          <w:b/>
          <w:sz w:val="26"/>
          <w:szCs w:val="26"/>
          <w:highlight w:val="green"/>
          <w:u w:val="single"/>
        </w:rPr>
        <w:t>a</w:t>
      </w:r>
      <w:r w:rsidRPr="00120097">
        <w:rPr>
          <w:b/>
          <w:sz w:val="26"/>
          <w:szCs w:val="26"/>
          <w:u w:val="single"/>
        </w:rPr>
        <w:t xml:space="preserve"> just </w:t>
      </w:r>
      <w:r w:rsidRPr="00A2298D">
        <w:rPr>
          <w:b/>
          <w:sz w:val="26"/>
          <w:szCs w:val="26"/>
          <w:highlight w:val="green"/>
          <w:u w:val="single"/>
        </w:rPr>
        <w:t>decision is</w:t>
      </w:r>
      <w:r w:rsidRPr="00120097">
        <w:rPr>
          <w:b/>
          <w:sz w:val="26"/>
          <w:szCs w:val="26"/>
          <w:u w:val="single"/>
        </w:rPr>
        <w:t xml:space="preserve"> always </w:t>
      </w:r>
      <w:r w:rsidRPr="00A2298D">
        <w:rPr>
          <w:b/>
          <w:sz w:val="26"/>
          <w:szCs w:val="26"/>
          <w:highlight w:val="green"/>
          <w:u w:val="single"/>
        </w:rPr>
        <w:t>required immediately</w:t>
      </w:r>
      <w:r w:rsidRPr="00120097">
        <w:rPr>
          <w:b/>
          <w:sz w:val="12"/>
          <w:szCs w:val="26"/>
        </w:rPr>
        <w:t xml:space="preserve">, "right away." </w:t>
      </w:r>
      <w:r w:rsidRPr="00A2298D">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A2298D">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A2298D">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A2298D">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A2298D">
        <w:rPr>
          <w:b/>
          <w:sz w:val="26"/>
          <w:szCs w:val="26"/>
          <w:highlight w:val="green"/>
          <w:u w:val="single"/>
        </w:rPr>
        <w:t>remains a</w:t>
      </w:r>
      <w:r w:rsidRPr="00120097">
        <w:rPr>
          <w:b/>
          <w:sz w:val="26"/>
          <w:szCs w:val="26"/>
          <w:u w:val="single"/>
        </w:rPr>
        <w:t xml:space="preserve"> finite </w:t>
      </w:r>
      <w:r w:rsidRPr="00A2298D">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A2298D">
        <w:rPr>
          <w:b/>
          <w:sz w:val="26"/>
          <w:szCs w:val="26"/>
          <w:highlight w:val="green"/>
          <w:u w:val="single"/>
        </w:rPr>
        <w:t>since it</w:t>
      </w:r>
      <w:r w:rsidRPr="00120097">
        <w:rPr>
          <w:b/>
          <w:sz w:val="26"/>
          <w:szCs w:val="26"/>
          <w:u w:val="single"/>
        </w:rPr>
        <w:t xml:space="preserve"> always </w:t>
      </w:r>
      <w:r w:rsidRPr="00A2298D">
        <w:rPr>
          <w:b/>
          <w:sz w:val="26"/>
          <w:szCs w:val="26"/>
          <w:highlight w:val="green"/>
          <w:u w:val="single"/>
        </w:rPr>
        <w:t>marks</w:t>
      </w:r>
      <w:r w:rsidRPr="00120097">
        <w:rPr>
          <w:b/>
          <w:sz w:val="26"/>
          <w:szCs w:val="26"/>
          <w:u w:val="single"/>
        </w:rPr>
        <w:t xml:space="preserve"> the </w:t>
      </w:r>
      <w:r w:rsidRPr="00A2298D">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A2298D">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0DB0F447" w14:textId="77777777" w:rsidR="0009327D" w:rsidRDefault="0009327D" w:rsidP="0009327D">
      <w:pPr>
        <w:pStyle w:val="Heading4"/>
      </w:pPr>
      <w:r>
        <w:t>External world skep is true.</w:t>
      </w:r>
    </w:p>
    <w:p w14:paraId="5897F8B8" w14:textId="77777777" w:rsidR="0009327D" w:rsidRPr="009E037C" w:rsidRDefault="0009327D" w:rsidP="0009327D">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0878AF63" w14:textId="332F650E" w:rsidR="004B2603" w:rsidRPr="0009327D" w:rsidRDefault="0009327D" w:rsidP="004B2603">
      <w:pPr>
        <w:rPr>
          <w:b/>
          <w:bCs/>
          <w:sz w:val="26"/>
          <w:szCs w:val="26"/>
          <w:u w:val="single"/>
        </w:rPr>
      </w:pPr>
      <w:r w:rsidRPr="009E037C">
        <w:rPr>
          <w:sz w:val="16"/>
        </w:rPr>
        <w:t xml:space="preserve">You take yourself to know that you have hands. But notice that, </w:t>
      </w:r>
      <w:r w:rsidRPr="00A2298D">
        <w:rPr>
          <w:b/>
          <w:bCs/>
          <w:sz w:val="26"/>
          <w:szCs w:val="26"/>
          <w:highlight w:val="green"/>
          <w:u w:val="single"/>
        </w:rPr>
        <w:t>if you</w:t>
      </w:r>
      <w:r w:rsidRPr="009E037C">
        <w:rPr>
          <w:b/>
          <w:bCs/>
          <w:sz w:val="26"/>
          <w:szCs w:val="26"/>
          <w:u w:val="single"/>
        </w:rPr>
        <w:t xml:space="preserve"> do </w:t>
      </w:r>
      <w:r w:rsidRPr="00A2298D">
        <w:rPr>
          <w:b/>
          <w:bCs/>
          <w:sz w:val="26"/>
          <w:szCs w:val="26"/>
          <w:highlight w:val="green"/>
          <w:u w:val="single"/>
        </w:rPr>
        <w:t>have hands, then you are not</w:t>
      </w:r>
      <w:r w:rsidRPr="009E037C">
        <w:rPr>
          <w:b/>
          <w:bCs/>
          <w:sz w:val="26"/>
          <w:szCs w:val="26"/>
          <w:u w:val="single"/>
        </w:rPr>
        <w:t xml:space="preserve"> merely </w:t>
      </w:r>
      <w:r w:rsidRPr="00A2298D">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A2298D">
        <w:rPr>
          <w:b/>
          <w:bCs/>
          <w:sz w:val="26"/>
          <w:szCs w:val="26"/>
          <w:highlight w:val="green"/>
          <w:u w:val="single"/>
        </w:rPr>
        <w:t>But how could you know</w:t>
      </w:r>
      <w:r w:rsidRPr="009E037C">
        <w:rPr>
          <w:b/>
          <w:bCs/>
          <w:sz w:val="26"/>
          <w:szCs w:val="26"/>
          <w:u w:val="single"/>
        </w:rPr>
        <w:t xml:space="preserve"> that </w:t>
      </w:r>
      <w:r w:rsidRPr="00A2298D">
        <w:rPr>
          <w:b/>
          <w:bCs/>
          <w:sz w:val="26"/>
          <w:szCs w:val="26"/>
          <w:highlight w:val="green"/>
          <w:u w:val="single"/>
        </w:rPr>
        <w:t>you are not</w:t>
      </w:r>
      <w:r w:rsidRPr="009E037C">
        <w:rPr>
          <w:b/>
          <w:bCs/>
          <w:sz w:val="26"/>
          <w:szCs w:val="26"/>
          <w:u w:val="single"/>
        </w:rPr>
        <w:t xml:space="preserve"> such a brain? If you were such a brain, </w:t>
      </w:r>
      <w:r w:rsidRPr="00A2298D">
        <w:rPr>
          <w:b/>
          <w:bCs/>
          <w:sz w:val="26"/>
          <w:szCs w:val="26"/>
          <w:highlight w:val="green"/>
          <w:u w:val="single"/>
        </w:rPr>
        <w:t>everything would seem exactly as it does now</w:t>
      </w:r>
      <w:r w:rsidRPr="009E037C">
        <w:rPr>
          <w:sz w:val="16"/>
        </w:rPr>
        <w:t xml:space="preserve">; </w:t>
      </w:r>
      <w:r w:rsidRPr="00A2298D">
        <w:rPr>
          <w:b/>
          <w:bCs/>
          <w:sz w:val="26"/>
          <w:szCs w:val="26"/>
          <w:highlight w:val="green"/>
          <w:u w:val="single"/>
        </w:rPr>
        <w:t>you would</w:t>
      </w:r>
      <w:r w:rsidRPr="009E037C">
        <w:rPr>
          <w:sz w:val="16"/>
        </w:rPr>
        <w:t xml:space="preserve"> (by hypothesis) </w:t>
      </w:r>
      <w:r w:rsidRPr="00A2298D">
        <w:rPr>
          <w:b/>
          <w:bCs/>
          <w:sz w:val="26"/>
          <w:szCs w:val="26"/>
          <w:highlight w:val="green"/>
          <w:u w:val="single"/>
        </w:rPr>
        <w:t>have</w:t>
      </w:r>
      <w:r w:rsidRPr="009E037C">
        <w:rPr>
          <w:b/>
          <w:bCs/>
          <w:sz w:val="26"/>
          <w:szCs w:val="26"/>
          <w:u w:val="single"/>
        </w:rPr>
        <w:t xml:space="preserve"> all </w:t>
      </w:r>
      <w:r w:rsidRPr="00A2298D">
        <w:rPr>
          <w:b/>
          <w:bCs/>
          <w:sz w:val="26"/>
          <w:szCs w:val="26"/>
          <w:highlight w:val="green"/>
          <w:u w:val="single"/>
        </w:rPr>
        <w:t>the same sensory experiences that you’re having</w:t>
      </w:r>
      <w:r w:rsidRPr="009E037C">
        <w:rPr>
          <w:b/>
          <w:bCs/>
          <w:sz w:val="26"/>
          <w:szCs w:val="26"/>
          <w:u w:val="single"/>
        </w:rPr>
        <w:t xml:space="preserve"> right </w:t>
      </w:r>
      <w:r w:rsidRPr="00A2298D">
        <w:rPr>
          <w:b/>
          <w:bCs/>
          <w:sz w:val="26"/>
          <w:szCs w:val="26"/>
          <w:highlight w:val="green"/>
          <w:u w:val="single"/>
        </w:rPr>
        <w:t>now.</w:t>
      </w:r>
      <w:r w:rsidRPr="009E037C">
        <w:rPr>
          <w:sz w:val="16"/>
        </w:rPr>
        <w:t xml:space="preserve"> Since your </w:t>
      </w:r>
      <w:r w:rsidRPr="00A2298D">
        <w:rPr>
          <w:b/>
          <w:bCs/>
          <w:sz w:val="26"/>
          <w:szCs w:val="26"/>
          <w:highlight w:val="green"/>
          <w:u w:val="single"/>
        </w:rPr>
        <w:t>empirical knowledge of the world</w:t>
      </w:r>
      <w:r w:rsidRPr="009E037C">
        <w:rPr>
          <w:sz w:val="16"/>
        </w:rPr>
        <w:t xml:space="preserve"> around you </w:t>
      </w:r>
      <w:r w:rsidRPr="00A2298D">
        <w:rPr>
          <w:b/>
          <w:bCs/>
          <w:sz w:val="26"/>
          <w:szCs w:val="26"/>
          <w:highlight w:val="green"/>
          <w:u w:val="single"/>
        </w:rPr>
        <w:t>must</w:t>
      </w:r>
      <w:r w:rsidRPr="009E037C">
        <w:rPr>
          <w:b/>
          <w:bCs/>
          <w:sz w:val="26"/>
          <w:szCs w:val="26"/>
          <w:u w:val="single"/>
        </w:rPr>
        <w:t xml:space="preserve"> somehow </w:t>
      </w:r>
      <w:r w:rsidRPr="00A2298D">
        <w:rPr>
          <w:b/>
          <w:bCs/>
          <w:sz w:val="26"/>
          <w:szCs w:val="26"/>
          <w:highlight w:val="green"/>
          <w:u w:val="single"/>
        </w:rPr>
        <w:t>be based upon</w:t>
      </w:r>
      <w:r w:rsidRPr="009E037C">
        <w:rPr>
          <w:b/>
          <w:bCs/>
          <w:sz w:val="26"/>
          <w:szCs w:val="26"/>
          <w:u w:val="single"/>
        </w:rPr>
        <w:t xml:space="preserve"> your </w:t>
      </w:r>
      <w:r w:rsidRPr="00A2298D">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5A213B77" w14:textId="7DE45615" w:rsidR="004B2603" w:rsidRDefault="004B2603" w:rsidP="004B2603">
      <w:pPr>
        <w:pStyle w:val="Heading2"/>
      </w:pPr>
      <w:r>
        <w:t>Case</w:t>
      </w:r>
    </w:p>
    <w:p w14:paraId="55554107" w14:textId="2592539F" w:rsidR="004B2603" w:rsidRPr="004B2603" w:rsidRDefault="0086094B" w:rsidP="0086094B">
      <w:pPr>
        <w:pStyle w:val="Heading1"/>
      </w:pPr>
      <w:r>
        <w:t>Accessibility Formatting</w:t>
      </w:r>
    </w:p>
    <w:p w14:paraId="1A422681" w14:textId="3835E208" w:rsidR="004B2603" w:rsidRDefault="004B2603" w:rsidP="004B2603"/>
    <w:p w14:paraId="062D1BA9" w14:textId="0B24DCF9" w:rsidR="0086094B" w:rsidRDefault="0086094B" w:rsidP="0086094B">
      <w:pPr>
        <w:pStyle w:val="Heading4"/>
      </w:pPr>
      <w:r>
        <w:t xml:space="preserve">Every reason is equally as violent in its creation. </w:t>
      </w:r>
    </w:p>
    <w:p w14:paraId="36A2D752" w14:textId="463166BE" w:rsidR="0086094B" w:rsidRDefault="0086094B" w:rsidP="0086094B">
      <w:r>
        <w:t>Justice must not wait a decision is required immediately It cannot furnish itself with unlimited knowledge of conditions even if it did the moment of decision remains a moment of urgency since it marks interruption of deliberation that precedes it</w:t>
      </w:r>
    </w:p>
    <w:p w14:paraId="703F5CD0" w14:textId="77777777" w:rsidR="0086094B" w:rsidRDefault="0086094B" w:rsidP="0086094B"/>
    <w:p w14:paraId="202B4706" w14:textId="21A8076B" w:rsidR="0086094B" w:rsidRDefault="0086094B" w:rsidP="0086094B">
      <w:pPr>
        <w:pStyle w:val="Heading4"/>
      </w:pPr>
      <w:r>
        <w:t>External world skep is true.</w:t>
      </w:r>
    </w:p>
    <w:p w14:paraId="375069AD" w14:textId="77777777" w:rsidR="0086094B" w:rsidRPr="00B55AD5" w:rsidRDefault="0086094B" w:rsidP="0086094B">
      <w:r>
        <w:t xml:space="preserve">if you have hands, then you are not a brain floating in a vat </w:t>
      </w:r>
      <w:proofErr w:type="gramStart"/>
      <w:r>
        <w:t>But</w:t>
      </w:r>
      <w:proofErr w:type="gramEnd"/>
      <w:r>
        <w:t xml:space="preserve"> how could you know you are not everything would seem exactly as it does now you would have the same sensory experiences that you’re having now. empirical knowledge of the world must be based upon sensory experiences</w:t>
      </w:r>
    </w:p>
    <w:p w14:paraId="67AEC405" w14:textId="77777777" w:rsidR="0086094B" w:rsidRPr="004B2603" w:rsidRDefault="0086094B" w:rsidP="004B2603"/>
    <w:sectPr w:rsidR="0086094B" w:rsidRPr="004B26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709A" w14:textId="77777777" w:rsidR="00DD142E" w:rsidRDefault="00DD142E" w:rsidP="004B2603">
      <w:pPr>
        <w:spacing w:after="0" w:line="240" w:lineRule="auto"/>
      </w:pPr>
      <w:r>
        <w:separator/>
      </w:r>
    </w:p>
  </w:endnote>
  <w:endnote w:type="continuationSeparator" w:id="0">
    <w:p w14:paraId="558F9633" w14:textId="77777777" w:rsidR="00DD142E" w:rsidRDefault="00DD142E" w:rsidP="004B2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8454" w14:textId="77777777" w:rsidR="00DD142E" w:rsidRDefault="00DD142E" w:rsidP="004B2603">
      <w:pPr>
        <w:spacing w:after="0" w:line="240" w:lineRule="auto"/>
      </w:pPr>
      <w:r>
        <w:separator/>
      </w:r>
    </w:p>
  </w:footnote>
  <w:footnote w:type="continuationSeparator" w:id="0">
    <w:p w14:paraId="18A0BE63" w14:textId="77777777" w:rsidR="00DD142E" w:rsidRDefault="00DD142E" w:rsidP="004B26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6504"/>
    <w:rsid w:val="000139A3"/>
    <w:rsid w:val="0009327D"/>
    <w:rsid w:val="000E0007"/>
    <w:rsid w:val="00100833"/>
    <w:rsid w:val="00104529"/>
    <w:rsid w:val="00105942"/>
    <w:rsid w:val="00107396"/>
    <w:rsid w:val="00143EE0"/>
    <w:rsid w:val="00144A4C"/>
    <w:rsid w:val="00176AB0"/>
    <w:rsid w:val="00177B7D"/>
    <w:rsid w:val="0018322D"/>
    <w:rsid w:val="001B5776"/>
    <w:rsid w:val="001E527A"/>
    <w:rsid w:val="001F78CE"/>
    <w:rsid w:val="00233184"/>
    <w:rsid w:val="00251FC7"/>
    <w:rsid w:val="002855A7"/>
    <w:rsid w:val="002B146A"/>
    <w:rsid w:val="002B5E17"/>
    <w:rsid w:val="00315690"/>
    <w:rsid w:val="00316B75"/>
    <w:rsid w:val="00325646"/>
    <w:rsid w:val="003460F2"/>
    <w:rsid w:val="0038158C"/>
    <w:rsid w:val="003902BA"/>
    <w:rsid w:val="003A09E2"/>
    <w:rsid w:val="00407037"/>
    <w:rsid w:val="004605D6"/>
    <w:rsid w:val="004B2603"/>
    <w:rsid w:val="004C2406"/>
    <w:rsid w:val="004C60E8"/>
    <w:rsid w:val="004E3579"/>
    <w:rsid w:val="004E728B"/>
    <w:rsid w:val="004F39E0"/>
    <w:rsid w:val="00511F76"/>
    <w:rsid w:val="00537BD5"/>
    <w:rsid w:val="0057268A"/>
    <w:rsid w:val="005D2912"/>
    <w:rsid w:val="006065BD"/>
    <w:rsid w:val="00645FA9"/>
    <w:rsid w:val="00647866"/>
    <w:rsid w:val="00665003"/>
    <w:rsid w:val="006953A3"/>
    <w:rsid w:val="006A2AD0"/>
    <w:rsid w:val="006C2375"/>
    <w:rsid w:val="006D4ECC"/>
    <w:rsid w:val="006D6AD5"/>
    <w:rsid w:val="00722258"/>
    <w:rsid w:val="007243E5"/>
    <w:rsid w:val="00766504"/>
    <w:rsid w:val="00766EA0"/>
    <w:rsid w:val="007A2226"/>
    <w:rsid w:val="007F5B66"/>
    <w:rsid w:val="00823A1C"/>
    <w:rsid w:val="00845B9D"/>
    <w:rsid w:val="0086094B"/>
    <w:rsid w:val="00860984"/>
    <w:rsid w:val="008B3ECB"/>
    <w:rsid w:val="008B4E85"/>
    <w:rsid w:val="008C1B2E"/>
    <w:rsid w:val="0091627E"/>
    <w:rsid w:val="0097032B"/>
    <w:rsid w:val="009A7E67"/>
    <w:rsid w:val="009D2EAD"/>
    <w:rsid w:val="009D54B2"/>
    <w:rsid w:val="009E1922"/>
    <w:rsid w:val="009F7ED2"/>
    <w:rsid w:val="00A93661"/>
    <w:rsid w:val="00A95652"/>
    <w:rsid w:val="00AC0AB8"/>
    <w:rsid w:val="00B33C6D"/>
    <w:rsid w:val="00B4508F"/>
    <w:rsid w:val="00B518FD"/>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2921"/>
    <w:rsid w:val="00CF59A8"/>
    <w:rsid w:val="00D15FA6"/>
    <w:rsid w:val="00D325A9"/>
    <w:rsid w:val="00D36A8A"/>
    <w:rsid w:val="00D61409"/>
    <w:rsid w:val="00D6691E"/>
    <w:rsid w:val="00D71170"/>
    <w:rsid w:val="00DA1C92"/>
    <w:rsid w:val="00DA25D4"/>
    <w:rsid w:val="00DA6538"/>
    <w:rsid w:val="00DD142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A3A0"/>
  <w15:chartTrackingRefBased/>
  <w15:docId w15:val="{C5D018BD-145A-4B64-95AC-0AE2AE02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094B"/>
    <w:rPr>
      <w:rFonts w:ascii="Calibri" w:hAnsi="Calibri"/>
    </w:rPr>
  </w:style>
  <w:style w:type="paragraph" w:styleId="Heading1">
    <w:name w:val="heading 1"/>
    <w:aliases w:val="Pocket"/>
    <w:basedOn w:val="Normal"/>
    <w:next w:val="Normal"/>
    <w:link w:val="Heading1Char"/>
    <w:qFormat/>
    <w:rsid w:val="008609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09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2"/>
    <w:unhideWhenUsed/>
    <w:qFormat/>
    <w:rsid w:val="008609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609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09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94B"/>
  </w:style>
  <w:style w:type="character" w:customStyle="1" w:styleId="Heading1Char">
    <w:name w:val="Heading 1 Char"/>
    <w:aliases w:val="Pocket Char"/>
    <w:basedOn w:val="DefaultParagraphFont"/>
    <w:link w:val="Heading1"/>
    <w:rsid w:val="008609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094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2"/>
    <w:rsid w:val="0086094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6094B"/>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86094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6094B"/>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86094B"/>
    <w:rPr>
      <w:b w:val="0"/>
      <w:sz w:val="22"/>
      <w:u w:val="singl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Pocket Cha"/>
    <w:basedOn w:val="DefaultParagraphFont"/>
    <w:uiPriority w:val="99"/>
    <w:unhideWhenUsed/>
    <w:rsid w:val="0086094B"/>
    <w:rPr>
      <w:color w:val="auto"/>
      <w:u w:val="none"/>
    </w:rPr>
  </w:style>
  <w:style w:type="character" w:styleId="FollowedHyperlink">
    <w:name w:val="FollowedHyperlink"/>
    <w:basedOn w:val="DefaultParagraphFont"/>
    <w:uiPriority w:val="99"/>
    <w:semiHidden/>
    <w:unhideWhenUsed/>
    <w:rsid w:val="0086094B"/>
    <w:rPr>
      <w:color w:val="auto"/>
      <w:u w:val="none"/>
    </w:rPr>
  </w:style>
  <w:style w:type="paragraph" w:styleId="DocumentMap">
    <w:name w:val="Document Map"/>
    <w:basedOn w:val="Normal"/>
    <w:link w:val="DocumentMapChar"/>
    <w:uiPriority w:val="99"/>
    <w:semiHidden/>
    <w:unhideWhenUsed/>
    <w:rsid w:val="00233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3184"/>
    <w:rPr>
      <w:rFonts w:ascii="Lucida Grande" w:hAnsi="Lucida Grande" w:cs="Lucida Grande"/>
      <w:sz w:val="24"/>
    </w:rPr>
  </w:style>
  <w:style w:type="paragraph" w:customStyle="1" w:styleId="textbold">
    <w:name w:val="text bold"/>
    <w:basedOn w:val="Normal"/>
    <w:link w:val="Emphasis"/>
    <w:uiPriority w:val="7"/>
    <w:qFormat/>
    <w:rsid w:val="00233184"/>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B2603"/>
    <w:rPr>
      <w:vertAlign w:val="superscript"/>
    </w:rPr>
  </w:style>
  <w:style w:type="paragraph" w:styleId="FootnoteText">
    <w:name w:val="footnote text"/>
    <w:basedOn w:val="Normal"/>
    <w:link w:val="FootnoteTextChar"/>
    <w:uiPriority w:val="99"/>
    <w:unhideWhenUsed/>
    <w:qFormat/>
    <w:rsid w:val="004B2603"/>
    <w:pPr>
      <w:spacing w:after="0" w:line="240" w:lineRule="auto"/>
    </w:pPr>
    <w:rPr>
      <w:sz w:val="20"/>
      <w:szCs w:val="20"/>
    </w:rPr>
  </w:style>
  <w:style w:type="character" w:customStyle="1" w:styleId="FootnoteTextChar">
    <w:name w:val="Footnote Text Char"/>
    <w:basedOn w:val="DefaultParagraphFont"/>
    <w:link w:val="FootnoteText"/>
    <w:uiPriority w:val="99"/>
    <w:rsid w:val="004B26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9</cp:revision>
  <dcterms:created xsi:type="dcterms:W3CDTF">2021-09-05T14:34:00Z</dcterms:created>
  <dcterms:modified xsi:type="dcterms:W3CDTF">2021-09-15T05:15:00Z</dcterms:modified>
</cp:coreProperties>
</file>