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BAC76" w14:textId="3D53797C" w:rsidR="00374E5A" w:rsidRDefault="00374E5A" w:rsidP="00374E5A">
      <w:pPr>
        <w:pStyle w:val="Heading1"/>
      </w:pPr>
      <w:r>
        <w:t>1NC vs Monta Vista</w:t>
      </w:r>
      <w:r w:rsidR="00247FB5">
        <w:t xml:space="preserve"> KR</w:t>
      </w:r>
    </w:p>
    <w:p w14:paraId="6F33C936" w14:textId="77777777" w:rsidR="00374E5A" w:rsidRDefault="00374E5A" w:rsidP="00374E5A"/>
    <w:p w14:paraId="30BB0C1D" w14:textId="77777777" w:rsidR="00374E5A" w:rsidRPr="002B5B0E" w:rsidRDefault="00374E5A" w:rsidP="00374E5A">
      <w:pPr>
        <w:pStyle w:val="Heading2"/>
      </w:pPr>
      <w:r>
        <w:t>1</w:t>
      </w:r>
    </w:p>
    <w:p w14:paraId="12CC7E58" w14:textId="77777777" w:rsidR="00374E5A" w:rsidRPr="00BC4CCD" w:rsidRDefault="00374E5A" w:rsidP="00374E5A">
      <w:pPr>
        <w:pStyle w:val="Heading4"/>
      </w:pPr>
      <w:r>
        <w:t>A] Interpretation:</w:t>
      </w:r>
      <w:r w:rsidRPr="006451C6">
        <w:t xml:space="preserve"> </w:t>
      </w:r>
      <w:r w:rsidRPr="00BC4CCD">
        <w:t>The aff</w:t>
      </w:r>
      <w:r>
        <w:t>irmative</w:t>
      </w:r>
      <w:r w:rsidRPr="00BC4CCD">
        <w:t xml:space="preserve"> may not defend </w:t>
      </w:r>
      <w:r>
        <w:t>a subset of workers – “workers</w:t>
      </w:r>
      <w:r w:rsidRPr="00BC4CCD">
        <w:t xml:space="preserve">” </w:t>
      </w:r>
      <w:r>
        <w:t>is a generic bare plural.</w:t>
      </w:r>
    </w:p>
    <w:p w14:paraId="4A17A639" w14:textId="77777777" w:rsidR="00374E5A" w:rsidRPr="00BC4CCD" w:rsidRDefault="00374E5A" w:rsidP="00374E5A">
      <w:pPr>
        <w:rPr>
          <w:rFonts w:eastAsia="Calibri" w:cs="Calibri"/>
          <w:sz w:val="16"/>
        </w:rPr>
      </w:pPr>
      <w:r w:rsidRPr="00BC4CCD">
        <w:rPr>
          <w:rFonts w:eastAsia="Calibri" w:cs="Calibri"/>
          <w:sz w:val="16"/>
        </w:rPr>
        <w:t xml:space="preserve">Jake </w:t>
      </w:r>
      <w:proofErr w:type="spellStart"/>
      <w:r w:rsidRPr="006451C6">
        <w:rPr>
          <w:rFonts w:eastAsia="Times New Roman" w:cs="Calibri"/>
          <w:b/>
          <w:iCs/>
          <w:sz w:val="26"/>
          <w:u w:val="single"/>
        </w:rPr>
        <w:t>Nebel</w:t>
      </w:r>
      <w:proofErr w:type="spellEnd"/>
      <w:r>
        <w:rPr>
          <w:rFonts w:eastAsia="Times New Roman" w:cs="Calibri"/>
          <w:b/>
          <w:iCs/>
          <w:sz w:val="26"/>
          <w:u w:val="single"/>
        </w:rPr>
        <w:t xml:space="preserve"> 14 </w:t>
      </w:r>
      <w:r w:rsidRPr="00BC4CCD">
        <w:rPr>
          <w:rFonts w:eastAsia="Calibri" w:cs="Calibri"/>
          <w:sz w:val="16"/>
        </w:rPr>
        <w:t>[</w:t>
      </w:r>
      <w:r w:rsidRPr="0026041D">
        <w:rPr>
          <w:sz w:val="16"/>
          <w:szCs w:val="16"/>
        </w:rPr>
        <w:t xml:space="preserve">Jake </w:t>
      </w:r>
      <w:proofErr w:type="spellStart"/>
      <w:r w:rsidRPr="0026041D">
        <w:rPr>
          <w:sz w:val="16"/>
          <w:szCs w:val="16"/>
        </w:rPr>
        <w:t>Nebel</w:t>
      </w:r>
      <w:proofErr w:type="spellEnd"/>
      <w:r w:rsidRPr="0026041D">
        <w:rPr>
          <w:sz w:val="16"/>
          <w:szCs w:val="16"/>
        </w:rPr>
        <w:t xml:space="preserve"> is an assistant professor of philosophy at the University of Southern California and executive director of Victory Briefs. </w:t>
      </w:r>
      <w:r>
        <w:rPr>
          <w:sz w:val="16"/>
          <w:szCs w:val="16"/>
        </w:rPr>
        <w:t>You know who he is – the</w:t>
      </w:r>
      <w:r>
        <w:rPr>
          <w:rFonts w:eastAsia="Calibri" w:cs="Calibri"/>
          <w:sz w:val="16"/>
        </w:rPr>
        <w:t xml:space="preserve"> shell is named after him lol</w:t>
      </w:r>
      <w:r w:rsidRPr="00BC4CCD">
        <w:rPr>
          <w:rFonts w:eastAsia="Calibri" w:cs="Calibri"/>
          <w:sz w:val="16"/>
        </w:rPr>
        <w:t xml:space="preserve">], “Jake </w:t>
      </w:r>
      <w:proofErr w:type="spellStart"/>
      <w:r w:rsidRPr="00BC4CCD">
        <w:rPr>
          <w:rFonts w:eastAsia="Calibri" w:cs="Calibri"/>
          <w:sz w:val="16"/>
        </w:rPr>
        <w:t>Nebel</w:t>
      </w:r>
      <w:proofErr w:type="spellEnd"/>
      <w:r w:rsidRPr="00BC4CCD">
        <w:rPr>
          <w:rFonts w:eastAsia="Calibri" w:cs="Calibri"/>
          <w:sz w:val="16"/>
        </w:rPr>
        <w:t xml:space="preserve"> on Specifying “Just Governments””, </w:t>
      </w:r>
      <w:proofErr w:type="spellStart"/>
      <w:r w:rsidRPr="00BC4CCD">
        <w:rPr>
          <w:rFonts w:eastAsia="Calibri" w:cs="Calibri"/>
          <w:sz w:val="16"/>
        </w:rPr>
        <w:t>VBriefly</w:t>
      </w:r>
      <w:proofErr w:type="spellEnd"/>
      <w:r w:rsidRPr="00BC4CCD">
        <w:rPr>
          <w:rFonts w:eastAsia="Calibri" w:cs="Calibri"/>
          <w:sz w:val="16"/>
        </w:rPr>
        <w:t xml:space="preserve">, </w:t>
      </w:r>
      <w:r w:rsidRPr="00B63979">
        <w:rPr>
          <w:rFonts w:eastAsia="Calibri" w:cs="Calibri"/>
          <w:sz w:val="16"/>
          <w:szCs w:val="16"/>
        </w:rPr>
        <w:t>19 Dec 2014,</w:t>
      </w:r>
      <w:r>
        <w:rPr>
          <w:rFonts w:eastAsia="Calibri" w:cs="Calibri"/>
          <w:sz w:val="16"/>
          <w:szCs w:val="16"/>
        </w:rPr>
        <w:t xml:space="preserve"> </w:t>
      </w:r>
      <w:r w:rsidRPr="0077631F">
        <w:rPr>
          <w:rFonts w:eastAsia="Calibri" w:cs="Calibri"/>
          <w:sz w:val="16"/>
          <w:szCs w:val="16"/>
        </w:rPr>
        <w:t>https://www.vbriefly.com/2014/12/19/jake-nebel-on-specifying-just-governments/</w:t>
      </w:r>
      <w:r w:rsidRPr="00BC4CCD">
        <w:rPr>
          <w:rFonts w:eastAsia="Calibri" w:cs="Calibri"/>
          <w:sz w:val="16"/>
        </w:rPr>
        <w:t xml:space="preserve"> </w:t>
      </w:r>
      <w:r>
        <w:rPr>
          <w:rFonts w:eastAsia="Calibri" w:cs="Calibri"/>
          <w:sz w:val="16"/>
        </w:rPr>
        <w:t>// King CP</w:t>
      </w:r>
    </w:p>
    <w:p w14:paraId="0850B1A7" w14:textId="77777777" w:rsidR="00374E5A" w:rsidRPr="00BC4CCD" w:rsidRDefault="00374E5A" w:rsidP="00374E5A">
      <w:pPr>
        <w:rPr>
          <w:rFonts w:eastAsia="Calibri" w:cs="Calibri"/>
          <w:sz w:val="14"/>
        </w:rPr>
      </w:pPr>
      <w:r w:rsidRPr="00BC4CCD">
        <w:rPr>
          <w:rFonts w:eastAsia="Calibri" w:cs="Calibri"/>
          <w:sz w:val="14"/>
        </w:rPr>
        <w:t xml:space="preserve">I believe that </w:t>
      </w:r>
      <w:r w:rsidRPr="00B63979">
        <w:rPr>
          <w:rFonts w:eastAsia="Calibri" w:cs="Calibri"/>
          <w:b/>
          <w:sz w:val="26"/>
          <w:highlight w:val="green"/>
          <w:u w:val="single"/>
        </w:rPr>
        <w:t>debaters shouldn’t specify</w:t>
      </w:r>
      <w:r w:rsidRPr="00BC4CCD">
        <w:rPr>
          <w:rFonts w:eastAsia="Calibri" w:cs="Calibri"/>
          <w:b/>
          <w:sz w:val="26"/>
          <w:u w:val="single"/>
        </w:rPr>
        <w:t xml:space="preserve"> a government on the living wage topic. The standard argument for this is simple: “just governments” is </w:t>
      </w:r>
      <w:r w:rsidRPr="00B63979">
        <w:rPr>
          <w:rFonts w:eastAsia="Calibri" w:cs="Calibri"/>
          <w:b/>
          <w:sz w:val="26"/>
          <w:highlight w:val="green"/>
          <w:u w:val="single"/>
        </w:rPr>
        <w:t>a plural noun phrase</w:t>
      </w:r>
      <w:r w:rsidRPr="00BC4CCD">
        <w:rPr>
          <w:rFonts w:eastAsia="Calibri" w:cs="Calibri"/>
          <w:b/>
          <w:sz w:val="26"/>
          <w:u w:val="single"/>
        </w:rPr>
        <w:t xml:space="preserve">, so it </w:t>
      </w:r>
      <w:r w:rsidRPr="00B63979">
        <w:rPr>
          <w:rFonts w:eastAsia="Calibri" w:cs="Calibri"/>
          <w:b/>
          <w:sz w:val="26"/>
          <w:highlight w:val="green"/>
          <w:u w:val="single"/>
        </w:rPr>
        <w:t>refers to more than one</w:t>
      </w:r>
      <w:r w:rsidRPr="00BC4CCD">
        <w:rPr>
          <w:rFonts w:eastAsia="Calibri" w:cs="Calibri"/>
          <w:b/>
          <w:sz w:val="26"/>
          <w:u w:val="single"/>
        </w:rPr>
        <w:t xml:space="preserve"> just government</w:t>
      </w:r>
      <w:r w:rsidRPr="00BC4CCD">
        <w:rPr>
          <w:rFonts w:eastAsia="Calibri" w:cs="Calibri"/>
          <w:sz w:val="14"/>
        </w:rPr>
        <w:t>. Most debaters will stop there. But there is much more to say. (Some seem not to care about the plural construction. I plan to address this view in a later article about the parametric conception of topicality</w:t>
      </w:r>
      <w:proofErr w:type="gramStart"/>
      <w:r w:rsidRPr="00BC4CCD">
        <w:rPr>
          <w:rFonts w:eastAsia="Calibri" w:cs="Calibri"/>
          <w:sz w:val="14"/>
        </w:rPr>
        <w:t>.)</w:t>
      </w:r>
      <w:r w:rsidRPr="00BC4CCD">
        <w:rPr>
          <w:rFonts w:eastAsia="Calibri" w:cs="Calibri"/>
          <w:sz w:val="12"/>
        </w:rPr>
        <w:t>¶</w:t>
      </w:r>
      <w:proofErr w:type="gramEnd"/>
      <w:r w:rsidRPr="00BC4CCD">
        <w:rPr>
          <w:rFonts w:eastAsia="Calibri" w:cs="Calibri"/>
          <w:sz w:val="14"/>
        </w:rPr>
        <w:t xml:space="preserve"> Some noun phrases include articles like “the,” demonstratives like “these,” possessives like “my,” or quantifiers like “some” or “all.” These words are called determiners. </w:t>
      </w:r>
      <w:r w:rsidRPr="00B63979">
        <w:rPr>
          <w:rFonts w:eastAsia="Calibri" w:cs="Calibri"/>
          <w:b/>
          <w:sz w:val="26"/>
          <w:highlight w:val="green"/>
          <w:u w:val="single"/>
        </w:rPr>
        <w:t>Bare plurals</w:t>
      </w:r>
      <w:r w:rsidRPr="00BC4CCD">
        <w:rPr>
          <w:rFonts w:eastAsia="Calibri" w:cs="Calibri"/>
          <w:b/>
          <w:sz w:val="26"/>
          <w:u w:val="single"/>
        </w:rPr>
        <w:t xml:space="preserve">, including “just governments,” </w:t>
      </w:r>
      <w:r w:rsidRPr="00B63979">
        <w:rPr>
          <w:rFonts w:eastAsia="Calibri" w:cs="Calibri"/>
          <w:b/>
          <w:sz w:val="26"/>
          <w:highlight w:val="green"/>
          <w:u w:val="single"/>
        </w:rPr>
        <w:t>lack determiners</w:t>
      </w:r>
      <w:r w:rsidRPr="00BC4CCD">
        <w:rPr>
          <w:rFonts w:eastAsia="Calibri" w:cs="Calibri"/>
          <w:b/>
          <w:sz w:val="26"/>
          <w:u w:val="single"/>
        </w:rPr>
        <w:t>.</w:t>
      </w:r>
      <w:r w:rsidRPr="00BC4CCD">
        <w:rPr>
          <w:rFonts w:eastAsia="Calibri" w:cs="Calibri"/>
          <w:sz w:val="14"/>
        </w:rPr>
        <w:t xml:space="preserve"> There’s no article, demonstrative, possessive, or quantifier in front of the noun to tell you how many or which governments are being </w:t>
      </w:r>
      <w:proofErr w:type="gramStart"/>
      <w:r w:rsidRPr="00BC4CCD">
        <w:rPr>
          <w:rFonts w:eastAsia="Calibri" w:cs="Calibri"/>
          <w:sz w:val="14"/>
        </w:rPr>
        <w:t>discussed.</w:t>
      </w:r>
      <w:r w:rsidRPr="00BC4CCD">
        <w:rPr>
          <w:rFonts w:eastAsia="Calibri" w:cs="Calibri"/>
          <w:sz w:val="12"/>
        </w:rPr>
        <w:t>¶</w:t>
      </w:r>
      <w:proofErr w:type="gramEnd"/>
      <w:r w:rsidRPr="00BC4CCD">
        <w:rPr>
          <w:rFonts w:eastAsia="Calibri" w:cs="Calibri"/>
          <w:sz w:val="14"/>
        </w:rPr>
        <w:t xml:space="preserve"> We use bare plurals for two main purposes. Consider some </w:t>
      </w:r>
      <w:proofErr w:type="gramStart"/>
      <w:r w:rsidRPr="00BC4CCD">
        <w:rPr>
          <w:rFonts w:eastAsia="Calibri" w:cs="Calibri"/>
          <w:sz w:val="14"/>
        </w:rPr>
        <w:t>examples:</w:t>
      </w:r>
      <w:r w:rsidRPr="00BC4CCD">
        <w:rPr>
          <w:rFonts w:eastAsia="Calibri" w:cs="Calibri"/>
          <w:sz w:val="12"/>
        </w:rPr>
        <w:t>¶</w:t>
      </w:r>
      <w:proofErr w:type="gramEnd"/>
      <w:r w:rsidRPr="00BC4CCD">
        <w:rPr>
          <w:rFonts w:eastAsia="Calibri" w:cs="Calibri"/>
          <w:sz w:val="14"/>
        </w:rPr>
        <w:t xml:space="preserve"> Debaters are here.</w:t>
      </w:r>
      <w:r w:rsidRPr="00BC4CCD">
        <w:rPr>
          <w:rFonts w:eastAsia="Calibri" w:cs="Calibri"/>
          <w:sz w:val="12"/>
        </w:rPr>
        <w:t>¶</w:t>
      </w:r>
      <w:r w:rsidRPr="00BC4CCD">
        <w:rPr>
          <w:rFonts w:eastAsia="Calibri" w:cs="Calibri"/>
          <w:sz w:val="14"/>
        </w:rPr>
        <w:t xml:space="preserve"> Debaters are smart.</w:t>
      </w:r>
      <w:r w:rsidRPr="00BC4CCD">
        <w:rPr>
          <w:rFonts w:eastAsia="Calibri" w:cs="Calibri"/>
          <w:sz w:val="12"/>
        </w:rPr>
        <w:t>¶</w:t>
      </w:r>
      <w:r w:rsidRPr="00BC4CCD">
        <w:rPr>
          <w:rFonts w:eastAsia="Calibri" w:cs="Calibri"/>
          <w:sz w:val="14"/>
        </w:rPr>
        <w:t xml:space="preserve"> In (1), “debaters” seems equivalent to “some debaters.” It is true just in case there is more than one debater around. If I enter a restaurant and utter (1), I speak truly if there are a couple of debaters at a table. This is an existential use of the bare </w:t>
      </w:r>
      <w:proofErr w:type="gramStart"/>
      <w:r w:rsidRPr="00BC4CCD">
        <w:rPr>
          <w:rFonts w:eastAsia="Calibri" w:cs="Calibri"/>
          <w:sz w:val="14"/>
        </w:rPr>
        <w:t>plural, because</w:t>
      </w:r>
      <w:proofErr w:type="gramEnd"/>
      <w:r w:rsidRPr="00BC4CCD">
        <w:rPr>
          <w:rFonts w:eastAsia="Calibri" w:cs="Calibri"/>
          <w:sz w:val="14"/>
        </w:rPr>
        <w:t xml:space="preserve"> it just says that there exist things of the relevant class (debaters) that meet the relevant description (being here). In (2), though, “debaters” seems to refer to debaters in general. </w:t>
      </w:r>
      <w:r w:rsidRPr="00B63979">
        <w:rPr>
          <w:rFonts w:eastAsia="Calibri" w:cs="Calibri"/>
          <w:b/>
          <w:sz w:val="26"/>
          <w:highlight w:val="green"/>
          <w:u w:val="single"/>
        </w:rPr>
        <w:t>This use of the bare plural is generic</w:t>
      </w:r>
      <w:r w:rsidRPr="00695CE2">
        <w:rPr>
          <w:rFonts w:eastAsia="Calibri" w:cs="Calibri"/>
          <w:b/>
          <w:sz w:val="26"/>
          <w:u w:val="single"/>
        </w:rPr>
        <w:t>. Some say</w:t>
      </w:r>
      <w:r w:rsidRPr="00BC4CCD">
        <w:rPr>
          <w:rFonts w:eastAsia="Calibri" w:cs="Calibri"/>
          <w:b/>
          <w:sz w:val="26"/>
          <w:u w:val="single"/>
        </w:rPr>
        <w:t xml:space="preserve"> that </w:t>
      </w:r>
      <w:r w:rsidRPr="00B63979">
        <w:rPr>
          <w:rFonts w:eastAsia="Calibri" w:cs="Calibri"/>
          <w:b/>
          <w:sz w:val="26"/>
          <w:highlight w:val="green"/>
          <w:u w:val="single"/>
        </w:rPr>
        <w:t xml:space="preserve">generics refer to </w:t>
      </w:r>
      <w:r w:rsidRPr="003C32CD">
        <w:rPr>
          <w:rFonts w:eastAsia="Calibri" w:cs="Calibri"/>
          <w:b/>
          <w:sz w:val="26"/>
          <w:u w:val="single"/>
        </w:rPr>
        <w:t xml:space="preserve">kinds of </w:t>
      </w:r>
      <w:r w:rsidRPr="00B63979">
        <w:rPr>
          <w:rFonts w:eastAsia="Calibri" w:cs="Calibri"/>
          <w:b/>
          <w:sz w:val="26"/>
          <w:highlight w:val="green"/>
          <w:u w:val="single"/>
        </w:rPr>
        <w:t>things, rather than particular members</w:t>
      </w:r>
      <w:r w:rsidRPr="00BC4CCD">
        <w:rPr>
          <w:rFonts w:eastAsia="Calibri" w:cs="Calibri"/>
          <w:b/>
          <w:sz w:val="26"/>
          <w:u w:val="single"/>
        </w:rPr>
        <w:t xml:space="preserve"> of their kinds, or that they refer to typical cases. There is a large literature on understanding generics.</w:t>
      </w:r>
      <w:r w:rsidRPr="00BC4CCD">
        <w:rPr>
          <w:rFonts w:eastAsia="Calibri" w:cs="Calibri"/>
          <w:sz w:val="14"/>
        </w:rPr>
        <w:t xml:space="preserve"> Here my aim is not to figure out the truth conditions for the generic reading of the resolution; I shall simply work with our pre-theoretical grip on the contrast between sentences like (1) and (2</w:t>
      </w:r>
      <w:proofErr w:type="gramStart"/>
      <w:r w:rsidRPr="00BC4CCD">
        <w:rPr>
          <w:rFonts w:eastAsia="Calibri" w:cs="Calibri"/>
          <w:sz w:val="14"/>
        </w:rPr>
        <w:t>).</w:t>
      </w:r>
      <w:r w:rsidRPr="00BC4CCD">
        <w:rPr>
          <w:rFonts w:eastAsia="Calibri" w:cs="Calibri"/>
          <w:sz w:val="12"/>
        </w:rPr>
        <w:t>¶</w:t>
      </w:r>
      <w:proofErr w:type="gramEnd"/>
      <w:r w:rsidRPr="00BC4CCD">
        <w:rPr>
          <w:rFonts w:eastAsia="Calibri" w:cs="Calibri"/>
          <w:sz w:val="14"/>
        </w:rPr>
        <w:t xml:space="preserve"> This distinction bears importantly on the resolution. If “just governments” is a generic bare plural, then the debate is about whether just governments in general ought to require that employers pay a living wage. If it is an existential bare plural, then the debate is about whether some just governments—i.e., more than one—ought to require that employers pay a living wage. Only the second interpretation allows one to affirm by specifying a few governments.</w:t>
      </w:r>
    </w:p>
    <w:p w14:paraId="1ABBF816" w14:textId="77777777" w:rsidR="00374E5A" w:rsidRDefault="00374E5A" w:rsidP="00374E5A">
      <w:pPr>
        <w:pStyle w:val="Heading4"/>
      </w:pPr>
      <w:r>
        <w:t xml:space="preserve">B] Violation: You only defend – </w:t>
      </w:r>
    </w:p>
    <w:p w14:paraId="3829221C" w14:textId="77777777" w:rsidR="00374E5A" w:rsidRDefault="00374E5A" w:rsidP="00374E5A">
      <w:pPr>
        <w:pStyle w:val="Heading4"/>
      </w:pPr>
      <w:r>
        <w:t xml:space="preserve">C] Standards – </w:t>
      </w:r>
    </w:p>
    <w:p w14:paraId="1D0E55E7" w14:textId="3D0F2C19" w:rsidR="00374E5A" w:rsidRDefault="00374E5A" w:rsidP="00374E5A">
      <w:pPr>
        <w:pStyle w:val="Heading4"/>
      </w:pPr>
      <w:r>
        <w:t xml:space="preserve">1] </w:t>
      </w:r>
      <w:r w:rsidRPr="006451C6">
        <w:t>Semantics</w:t>
      </w:r>
      <w:r>
        <w:t xml:space="preserve"> –</w:t>
      </w:r>
      <w:r w:rsidRPr="006451C6">
        <w:t xml:space="preserve"> </w:t>
      </w:r>
    </w:p>
    <w:p w14:paraId="4A024E91" w14:textId="0A1B942D" w:rsidR="00374E5A" w:rsidRDefault="00374E5A" w:rsidP="00374E5A">
      <w:pPr>
        <w:pStyle w:val="Heading4"/>
      </w:pPr>
      <w:r>
        <w:t xml:space="preserve">2] Predictability – </w:t>
      </w:r>
    </w:p>
    <w:p w14:paraId="558CEDBC" w14:textId="5F1034B3" w:rsidR="00374E5A" w:rsidRPr="00741134" w:rsidRDefault="00374E5A" w:rsidP="00374E5A">
      <w:pPr>
        <w:pStyle w:val="Heading4"/>
      </w:pPr>
      <w:r>
        <w:t xml:space="preserve">3] TVA – </w:t>
      </w:r>
    </w:p>
    <w:p w14:paraId="1A893611" w14:textId="77777777" w:rsidR="00374E5A" w:rsidRPr="00772C2C" w:rsidRDefault="00374E5A" w:rsidP="00374E5A">
      <w:pPr>
        <w:pStyle w:val="Heading4"/>
        <w:rPr>
          <w:rFonts w:cs="Calibri"/>
        </w:rPr>
      </w:pPr>
      <w:r>
        <w:rPr>
          <w:rFonts w:cs="Calibri"/>
        </w:rPr>
        <w:t xml:space="preserve">D] </w:t>
      </w:r>
      <w:r w:rsidRPr="00772C2C">
        <w:rPr>
          <w:rFonts w:cs="Calibri"/>
        </w:rPr>
        <w:t>Voter</w:t>
      </w:r>
      <w:r>
        <w:rPr>
          <w:rFonts w:cs="Calibri"/>
        </w:rPr>
        <w:t xml:space="preserve">s – </w:t>
      </w:r>
      <w:r w:rsidRPr="00772C2C">
        <w:rPr>
          <w:rFonts w:cs="Calibri"/>
        </w:rPr>
        <w:t xml:space="preserve"> </w:t>
      </w:r>
    </w:p>
    <w:p w14:paraId="5C8031ED" w14:textId="77777777" w:rsidR="00374E5A" w:rsidRDefault="00374E5A" w:rsidP="00374E5A">
      <w:pPr>
        <w:pStyle w:val="Heading2"/>
      </w:pPr>
      <w:r>
        <w:t>2</w:t>
      </w:r>
    </w:p>
    <w:p w14:paraId="3D083ABF" w14:textId="77777777" w:rsidR="00374E5A" w:rsidRPr="00653DEB" w:rsidRDefault="00374E5A" w:rsidP="00374E5A">
      <w:pPr>
        <w:pStyle w:val="Heading4"/>
        <w:rPr>
          <w:i/>
          <w:iCs w:val="0"/>
        </w:rPr>
      </w:pPr>
      <w:r>
        <w:t xml:space="preserve">A. Interpretation: </w:t>
      </w:r>
      <w:r w:rsidRPr="00653DEB">
        <w:t xml:space="preserve">If the affirmative defends anything other than </w:t>
      </w:r>
      <w:r>
        <w:t>“</w:t>
      </w:r>
      <w:r w:rsidRPr="002B5B0E">
        <w:t>Resolved: A just government ought to recognize an unconditional right of workers to strike</w:t>
      </w:r>
      <w:r w:rsidRPr="00EC6808">
        <w:t>.</w:t>
      </w:r>
      <w:r>
        <w:t>,”</w:t>
      </w:r>
      <w:r w:rsidRPr="00653DEB">
        <w:t xml:space="preserve"> </w:t>
      </w:r>
      <w:r>
        <w:t xml:space="preserve">then </w:t>
      </w:r>
      <w:r w:rsidRPr="00653DEB">
        <w:t xml:space="preserve">they must provide a counter-solvency advocate for their specific advocacy.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7FC28F91" w14:textId="77777777" w:rsidR="00374E5A" w:rsidRDefault="00374E5A" w:rsidP="00374E5A">
      <w:pPr>
        <w:pStyle w:val="Heading4"/>
      </w:pPr>
      <w:r>
        <w:t>B. Violation:</w:t>
      </w:r>
    </w:p>
    <w:p w14:paraId="660ABA3D" w14:textId="77777777" w:rsidR="00374E5A" w:rsidRDefault="00374E5A" w:rsidP="00374E5A">
      <w:pPr>
        <w:pStyle w:val="Heading4"/>
      </w:pPr>
      <w:r>
        <w:t>C. Standards:</w:t>
      </w:r>
    </w:p>
    <w:p w14:paraId="4497AD12" w14:textId="77777777" w:rsidR="00374E5A" w:rsidRDefault="00374E5A" w:rsidP="00374E5A">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09D76F7F" w14:textId="0BC29345" w:rsidR="00374E5A" w:rsidRDefault="00374E5A" w:rsidP="00374E5A">
      <w:pPr>
        <w:pStyle w:val="Heading4"/>
      </w:pPr>
      <w:r w:rsidRPr="00653DEB">
        <w:t xml:space="preserve">a) Ground – </w:t>
      </w:r>
    </w:p>
    <w:p w14:paraId="28DD1A74" w14:textId="4298622F" w:rsidR="00374E5A" w:rsidRPr="00653DEB" w:rsidRDefault="00374E5A" w:rsidP="00374E5A">
      <w:pPr>
        <w:pStyle w:val="Heading4"/>
      </w:pPr>
      <w:r w:rsidRPr="00653DEB">
        <w:t xml:space="preserve">b) Limits – </w:t>
      </w:r>
    </w:p>
    <w:p w14:paraId="454C9A46" w14:textId="6AFB6DAD" w:rsidR="00374E5A" w:rsidRDefault="00374E5A" w:rsidP="00374E5A">
      <w:pPr>
        <w:pStyle w:val="Heading4"/>
      </w:pPr>
      <w:bookmarkStart w:id="0" w:name="_Hlk85201266"/>
      <w:r>
        <w:t xml:space="preserve">2. </w:t>
      </w:r>
      <w:r w:rsidRPr="00653DEB">
        <w:rPr>
          <w:u w:val="single"/>
        </w:rPr>
        <w:t>Research</w:t>
      </w:r>
      <w:r w:rsidRPr="00653DEB">
        <w:t xml:space="preserve"> – </w:t>
      </w:r>
    </w:p>
    <w:bookmarkEnd w:id="0"/>
    <w:p w14:paraId="26C749DF" w14:textId="77777777" w:rsidR="00374E5A" w:rsidRDefault="00374E5A" w:rsidP="00374E5A"/>
    <w:p w14:paraId="4669ACB4" w14:textId="77777777" w:rsidR="00374E5A" w:rsidRDefault="00374E5A" w:rsidP="00374E5A">
      <w:pPr>
        <w:pStyle w:val="Heading2"/>
      </w:pPr>
      <w:r>
        <w:t>3</w:t>
      </w:r>
    </w:p>
    <w:p w14:paraId="5F13542C" w14:textId="2304830F" w:rsidR="00374E5A" w:rsidRDefault="00374E5A" w:rsidP="00374E5A">
      <w:pPr>
        <w:pStyle w:val="Heading4"/>
      </w:pPr>
      <w:r w:rsidRPr="00872630">
        <w:t>Use a truth testing paradigm</w:t>
      </w:r>
      <w:r w:rsidR="00247FB5">
        <w:t xml:space="preserve"> – </w:t>
      </w:r>
    </w:p>
    <w:p w14:paraId="03911393" w14:textId="77777777" w:rsidR="00374E5A" w:rsidRDefault="00374E5A" w:rsidP="00374E5A"/>
    <w:p w14:paraId="6FA89DFB" w14:textId="77777777" w:rsidR="00374E5A" w:rsidRDefault="00374E5A" w:rsidP="00374E5A">
      <w:pPr>
        <w:pStyle w:val="Heading2"/>
      </w:pPr>
      <w:r>
        <w:t>4</w:t>
      </w:r>
    </w:p>
    <w:p w14:paraId="32C18D23" w14:textId="7F2497C8" w:rsidR="00374E5A" w:rsidRDefault="00374E5A" w:rsidP="00374E5A">
      <w:pPr>
        <w:pStyle w:val="Heading4"/>
      </w:pPr>
      <w:r>
        <w:t xml:space="preserve">Presumption and permissibility </w:t>
      </w:r>
      <w:proofErr w:type="gramStart"/>
      <w:r>
        <w:t>negates</w:t>
      </w:r>
      <w:proofErr w:type="gramEnd"/>
      <w:r>
        <w:t xml:space="preserve"> – </w:t>
      </w:r>
    </w:p>
    <w:p w14:paraId="4650415F" w14:textId="77777777" w:rsidR="00374E5A" w:rsidRDefault="00374E5A" w:rsidP="00374E5A">
      <w:pPr>
        <w:pStyle w:val="Heading4"/>
      </w:pPr>
      <w:r>
        <w:t xml:space="preserve">Every reason is equally as violent in its creation. </w:t>
      </w:r>
    </w:p>
    <w:p w14:paraId="0FE8A232" w14:textId="77777777" w:rsidR="00374E5A" w:rsidRDefault="00374E5A" w:rsidP="00374E5A">
      <w:pPr>
        <w:pStyle w:val="FootnoteText"/>
        <w:rPr>
          <w:b/>
          <w:sz w:val="26"/>
          <w:szCs w:val="26"/>
          <w:u w:val="single"/>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w:t>
      </w:r>
      <w:proofErr w:type="gramStart"/>
      <w:r>
        <w:rPr>
          <w:sz w:val="16"/>
          <w:szCs w:val="16"/>
        </w:rPr>
        <w:t xml:space="preserve">Massa </w:t>
      </w:r>
      <w:r w:rsidRPr="000C791C">
        <w:rPr>
          <w:sz w:val="16"/>
          <w:szCs w:val="16"/>
        </w:rPr>
        <w:t xml:space="preserve"> But</w:t>
      </w:r>
      <w:proofErr w:type="gramEnd"/>
      <w:r w:rsidRPr="000C791C">
        <w:rPr>
          <w:sz w:val="16"/>
          <w:szCs w:val="16"/>
        </w:rPr>
        <w:t xml:space="preserve"> </w:t>
      </w:r>
      <w:r w:rsidRPr="00A2298D">
        <w:rPr>
          <w:b/>
          <w:sz w:val="26"/>
          <w:szCs w:val="26"/>
          <w:highlight w:val="green"/>
          <w:u w:val="single"/>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A2298D">
        <w:rPr>
          <w:b/>
          <w:sz w:val="26"/>
          <w:szCs w:val="26"/>
          <w:highlight w:val="gree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A2298D">
        <w:rPr>
          <w:b/>
          <w:sz w:val="26"/>
          <w:szCs w:val="26"/>
          <w:highlight w:val="green"/>
          <w:u w:val="single"/>
        </w:rPr>
        <w:t>a</w:t>
      </w:r>
      <w:r w:rsidRPr="00120097">
        <w:rPr>
          <w:b/>
          <w:sz w:val="26"/>
          <w:szCs w:val="26"/>
          <w:u w:val="single"/>
        </w:rPr>
        <w:t xml:space="preserve"> just </w:t>
      </w:r>
      <w:r w:rsidRPr="00A2298D">
        <w:rPr>
          <w:b/>
          <w:sz w:val="26"/>
          <w:szCs w:val="26"/>
          <w:highlight w:val="green"/>
          <w:u w:val="single"/>
        </w:rPr>
        <w:t>decision is</w:t>
      </w:r>
      <w:r w:rsidRPr="00120097">
        <w:rPr>
          <w:b/>
          <w:sz w:val="26"/>
          <w:szCs w:val="26"/>
          <w:u w:val="single"/>
        </w:rPr>
        <w:t xml:space="preserve"> always </w:t>
      </w:r>
      <w:r w:rsidRPr="00A2298D">
        <w:rPr>
          <w:b/>
          <w:sz w:val="26"/>
          <w:szCs w:val="26"/>
          <w:highlight w:val="green"/>
          <w:u w:val="single"/>
        </w:rPr>
        <w:t>required immediately</w:t>
      </w:r>
      <w:r w:rsidRPr="00120097">
        <w:rPr>
          <w:b/>
          <w:sz w:val="12"/>
          <w:szCs w:val="26"/>
        </w:rPr>
        <w:t xml:space="preserve">, "right away." </w:t>
      </w:r>
      <w:r w:rsidRPr="00A2298D">
        <w:rPr>
          <w:b/>
          <w:sz w:val="26"/>
          <w:szCs w:val="26"/>
          <w:highlight w:val="green"/>
          <w:u w:val="single"/>
        </w:rPr>
        <w:t>It cannot furnish itself with</w:t>
      </w:r>
      <w:r w:rsidRPr="00120097">
        <w:rPr>
          <w:b/>
          <w:sz w:val="26"/>
          <w:szCs w:val="26"/>
          <w:u w:val="single"/>
        </w:rPr>
        <w:t xml:space="preserve"> </w:t>
      </w:r>
      <w:r w:rsidRPr="000C791C">
        <w:rPr>
          <w:sz w:val="16"/>
          <w:szCs w:val="16"/>
        </w:rPr>
        <w:t xml:space="preserve">infinite information and the </w:t>
      </w:r>
      <w:r w:rsidRPr="00A2298D">
        <w:rPr>
          <w:b/>
          <w:sz w:val="26"/>
          <w:szCs w:val="26"/>
          <w:highlight w:val="gree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A2298D">
        <w:rPr>
          <w:b/>
          <w:sz w:val="26"/>
          <w:szCs w:val="26"/>
          <w:highlight w:val="gree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A2298D">
        <w:rPr>
          <w:b/>
          <w:sz w:val="26"/>
          <w:szCs w:val="26"/>
          <w:highlight w:val="gree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A2298D">
        <w:rPr>
          <w:b/>
          <w:sz w:val="26"/>
          <w:szCs w:val="26"/>
          <w:highlight w:val="green"/>
          <w:u w:val="single"/>
        </w:rPr>
        <w:t>remains a</w:t>
      </w:r>
      <w:r w:rsidRPr="00120097">
        <w:rPr>
          <w:b/>
          <w:sz w:val="26"/>
          <w:szCs w:val="26"/>
          <w:u w:val="single"/>
        </w:rPr>
        <w:t xml:space="preserve"> finite </w:t>
      </w:r>
      <w:r w:rsidRPr="00A2298D">
        <w:rPr>
          <w:b/>
          <w:sz w:val="26"/>
          <w:szCs w:val="26"/>
          <w:highlight w:val="gree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A2298D">
        <w:rPr>
          <w:b/>
          <w:sz w:val="26"/>
          <w:szCs w:val="26"/>
          <w:highlight w:val="green"/>
          <w:u w:val="single"/>
        </w:rPr>
        <w:t>since it</w:t>
      </w:r>
      <w:r w:rsidRPr="00120097">
        <w:rPr>
          <w:b/>
          <w:sz w:val="26"/>
          <w:szCs w:val="26"/>
          <w:u w:val="single"/>
        </w:rPr>
        <w:t xml:space="preserve"> always </w:t>
      </w:r>
      <w:r w:rsidRPr="00A2298D">
        <w:rPr>
          <w:b/>
          <w:sz w:val="26"/>
          <w:szCs w:val="26"/>
          <w:highlight w:val="green"/>
          <w:u w:val="single"/>
        </w:rPr>
        <w:t>marks</w:t>
      </w:r>
      <w:r w:rsidRPr="00120097">
        <w:rPr>
          <w:b/>
          <w:sz w:val="26"/>
          <w:szCs w:val="26"/>
          <w:u w:val="single"/>
        </w:rPr>
        <w:t xml:space="preserve"> the </w:t>
      </w:r>
      <w:r w:rsidRPr="00A2298D">
        <w:rPr>
          <w:b/>
          <w:sz w:val="26"/>
          <w:szCs w:val="26"/>
          <w:highlight w:val="gree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A2298D">
        <w:rPr>
          <w:b/>
          <w:sz w:val="26"/>
          <w:szCs w:val="26"/>
          <w:highlight w:val="gree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6AA312FB" w14:textId="77777777" w:rsidR="00374E5A" w:rsidRDefault="00374E5A" w:rsidP="00374E5A">
      <w:pPr>
        <w:pStyle w:val="Heading4"/>
      </w:pPr>
      <w:r>
        <w:t>External world skep is true.</w:t>
      </w:r>
    </w:p>
    <w:p w14:paraId="0D1C1794" w14:textId="77777777" w:rsidR="00374E5A" w:rsidRPr="009E037C" w:rsidRDefault="00374E5A" w:rsidP="00374E5A">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p>
    <w:p w14:paraId="09C14DEE" w14:textId="77777777" w:rsidR="00374E5A" w:rsidRDefault="00374E5A" w:rsidP="00374E5A">
      <w:pPr>
        <w:rPr>
          <w:b/>
          <w:bCs/>
          <w:sz w:val="26"/>
          <w:szCs w:val="26"/>
          <w:u w:val="single"/>
        </w:rPr>
      </w:pPr>
      <w:r w:rsidRPr="009E037C">
        <w:rPr>
          <w:sz w:val="16"/>
        </w:rPr>
        <w:t xml:space="preserve">You take yourself to know that you have hands. But notice that, </w:t>
      </w:r>
      <w:r w:rsidRPr="00A2298D">
        <w:rPr>
          <w:b/>
          <w:bCs/>
          <w:sz w:val="26"/>
          <w:szCs w:val="26"/>
          <w:highlight w:val="green"/>
          <w:u w:val="single"/>
        </w:rPr>
        <w:t>if you</w:t>
      </w:r>
      <w:r w:rsidRPr="009E037C">
        <w:rPr>
          <w:b/>
          <w:bCs/>
          <w:sz w:val="26"/>
          <w:szCs w:val="26"/>
          <w:u w:val="single"/>
        </w:rPr>
        <w:t xml:space="preserve"> do </w:t>
      </w:r>
      <w:r w:rsidRPr="00A2298D">
        <w:rPr>
          <w:b/>
          <w:bCs/>
          <w:sz w:val="26"/>
          <w:szCs w:val="26"/>
          <w:highlight w:val="green"/>
          <w:u w:val="single"/>
        </w:rPr>
        <w:t>have hands, then you are not</w:t>
      </w:r>
      <w:r w:rsidRPr="009E037C">
        <w:rPr>
          <w:b/>
          <w:bCs/>
          <w:sz w:val="26"/>
          <w:szCs w:val="26"/>
          <w:u w:val="single"/>
        </w:rPr>
        <w:t xml:space="preserve"> merely </w:t>
      </w:r>
      <w:r w:rsidRPr="00A2298D">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A2298D">
        <w:rPr>
          <w:b/>
          <w:bCs/>
          <w:sz w:val="26"/>
          <w:szCs w:val="26"/>
          <w:highlight w:val="green"/>
          <w:u w:val="single"/>
        </w:rPr>
        <w:t>But how could you know</w:t>
      </w:r>
      <w:r w:rsidRPr="009E037C">
        <w:rPr>
          <w:b/>
          <w:bCs/>
          <w:sz w:val="26"/>
          <w:szCs w:val="26"/>
          <w:u w:val="single"/>
        </w:rPr>
        <w:t xml:space="preserve"> that </w:t>
      </w:r>
      <w:r w:rsidRPr="00A2298D">
        <w:rPr>
          <w:b/>
          <w:bCs/>
          <w:sz w:val="26"/>
          <w:szCs w:val="26"/>
          <w:highlight w:val="green"/>
          <w:u w:val="single"/>
        </w:rPr>
        <w:t>you are not</w:t>
      </w:r>
      <w:r w:rsidRPr="009E037C">
        <w:rPr>
          <w:b/>
          <w:bCs/>
          <w:sz w:val="26"/>
          <w:szCs w:val="26"/>
          <w:u w:val="single"/>
        </w:rPr>
        <w:t xml:space="preserve"> such a brain? If you were such a brain, </w:t>
      </w:r>
      <w:r w:rsidRPr="00A2298D">
        <w:rPr>
          <w:b/>
          <w:bCs/>
          <w:sz w:val="26"/>
          <w:szCs w:val="26"/>
          <w:highlight w:val="green"/>
          <w:u w:val="single"/>
        </w:rPr>
        <w:t>everything would seem exactly as it does now</w:t>
      </w:r>
      <w:r w:rsidRPr="009E037C">
        <w:rPr>
          <w:sz w:val="16"/>
        </w:rPr>
        <w:t xml:space="preserve">; </w:t>
      </w:r>
      <w:r w:rsidRPr="00A2298D">
        <w:rPr>
          <w:b/>
          <w:bCs/>
          <w:sz w:val="26"/>
          <w:szCs w:val="26"/>
          <w:highlight w:val="green"/>
          <w:u w:val="single"/>
        </w:rPr>
        <w:t>you would</w:t>
      </w:r>
      <w:r w:rsidRPr="009E037C">
        <w:rPr>
          <w:sz w:val="16"/>
        </w:rPr>
        <w:t xml:space="preserve"> (by hypothesis) </w:t>
      </w:r>
      <w:r w:rsidRPr="00A2298D">
        <w:rPr>
          <w:b/>
          <w:bCs/>
          <w:sz w:val="26"/>
          <w:szCs w:val="26"/>
          <w:highlight w:val="green"/>
          <w:u w:val="single"/>
        </w:rPr>
        <w:t>have</w:t>
      </w:r>
      <w:r w:rsidRPr="009E037C">
        <w:rPr>
          <w:b/>
          <w:bCs/>
          <w:sz w:val="26"/>
          <w:szCs w:val="26"/>
          <w:u w:val="single"/>
        </w:rPr>
        <w:t xml:space="preserve"> all </w:t>
      </w:r>
      <w:r w:rsidRPr="00A2298D">
        <w:rPr>
          <w:b/>
          <w:bCs/>
          <w:sz w:val="26"/>
          <w:szCs w:val="26"/>
          <w:highlight w:val="green"/>
          <w:u w:val="single"/>
        </w:rPr>
        <w:t>the same sensory experiences that you’re having</w:t>
      </w:r>
      <w:r w:rsidRPr="009E037C">
        <w:rPr>
          <w:b/>
          <w:bCs/>
          <w:sz w:val="26"/>
          <w:szCs w:val="26"/>
          <w:u w:val="single"/>
        </w:rPr>
        <w:t xml:space="preserve"> right </w:t>
      </w:r>
      <w:r w:rsidRPr="00A2298D">
        <w:rPr>
          <w:b/>
          <w:bCs/>
          <w:sz w:val="26"/>
          <w:szCs w:val="26"/>
          <w:highlight w:val="green"/>
          <w:u w:val="single"/>
        </w:rPr>
        <w:t>now.</w:t>
      </w:r>
      <w:r w:rsidRPr="009E037C">
        <w:rPr>
          <w:sz w:val="16"/>
        </w:rPr>
        <w:t xml:space="preserve"> Since your </w:t>
      </w:r>
      <w:r w:rsidRPr="00A2298D">
        <w:rPr>
          <w:b/>
          <w:bCs/>
          <w:sz w:val="26"/>
          <w:szCs w:val="26"/>
          <w:highlight w:val="green"/>
          <w:u w:val="single"/>
        </w:rPr>
        <w:t>empirical knowledge of the world</w:t>
      </w:r>
      <w:r w:rsidRPr="009E037C">
        <w:rPr>
          <w:sz w:val="16"/>
        </w:rPr>
        <w:t xml:space="preserve"> around you </w:t>
      </w:r>
      <w:r w:rsidRPr="00A2298D">
        <w:rPr>
          <w:b/>
          <w:bCs/>
          <w:sz w:val="26"/>
          <w:szCs w:val="26"/>
          <w:highlight w:val="green"/>
          <w:u w:val="single"/>
        </w:rPr>
        <w:t>must</w:t>
      </w:r>
      <w:r w:rsidRPr="009E037C">
        <w:rPr>
          <w:b/>
          <w:bCs/>
          <w:sz w:val="26"/>
          <w:szCs w:val="26"/>
          <w:u w:val="single"/>
        </w:rPr>
        <w:t xml:space="preserve"> somehow </w:t>
      </w:r>
      <w:r w:rsidRPr="00A2298D">
        <w:rPr>
          <w:b/>
          <w:bCs/>
          <w:sz w:val="26"/>
          <w:szCs w:val="26"/>
          <w:highlight w:val="green"/>
          <w:u w:val="single"/>
        </w:rPr>
        <w:t>be based upon</w:t>
      </w:r>
      <w:r w:rsidRPr="009E037C">
        <w:rPr>
          <w:b/>
          <w:bCs/>
          <w:sz w:val="26"/>
          <w:szCs w:val="26"/>
          <w:u w:val="single"/>
        </w:rPr>
        <w:t xml:space="preserve"> your </w:t>
      </w:r>
      <w:r w:rsidRPr="00A2298D">
        <w:rPr>
          <w:b/>
          <w:bCs/>
          <w:sz w:val="26"/>
          <w:szCs w:val="26"/>
          <w:highlight w:val="green"/>
          <w:u w:val="single"/>
        </w:rPr>
        <w:t>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57D749AC" w14:textId="77777777" w:rsidR="00374E5A" w:rsidRPr="009E037C" w:rsidRDefault="00374E5A" w:rsidP="00374E5A">
      <w:pPr>
        <w:pStyle w:val="Heading4"/>
      </w:pPr>
      <w:proofErr w:type="spellStart"/>
      <w:r>
        <w:t>Abductivism</w:t>
      </w:r>
      <w:proofErr w:type="spellEnd"/>
      <w:r>
        <w:t xml:space="preserve"> disproves the best guess. </w:t>
      </w:r>
    </w:p>
    <w:p w14:paraId="79323DBF" w14:textId="77777777" w:rsidR="00374E5A" w:rsidRPr="009E037C" w:rsidRDefault="00374E5A" w:rsidP="00374E5A">
      <w:pPr>
        <w:rPr>
          <w:sz w:val="16"/>
          <w:szCs w:val="16"/>
        </w:rPr>
      </w:pPr>
      <w:proofErr w:type="spellStart"/>
      <w:r w:rsidRPr="009E037C">
        <w:rPr>
          <w:b/>
          <w:bCs/>
          <w:sz w:val="26"/>
          <w:szCs w:val="26"/>
          <w:u w:val="single"/>
        </w:rPr>
        <w:t>Douven</w:t>
      </w:r>
      <w:proofErr w:type="spellEnd"/>
      <w:r w:rsidRPr="009E037C">
        <w:rPr>
          <w:sz w:val="16"/>
          <w:szCs w:val="16"/>
        </w:rPr>
        <w:t xml:space="preserve">, Igor, "Abduction", The Stanford Encyclopedia of Philosophy (Summer </w:t>
      </w:r>
      <w:r w:rsidRPr="009E037C">
        <w:rPr>
          <w:b/>
          <w:bCs/>
          <w:sz w:val="26"/>
          <w:szCs w:val="26"/>
          <w:u w:val="single"/>
        </w:rPr>
        <w:t>2017</w:t>
      </w:r>
      <w:r w:rsidRPr="009E037C">
        <w:rPr>
          <w:sz w:val="16"/>
          <w:szCs w:val="16"/>
        </w:rPr>
        <w:t xml:space="preserve"> Edition), Edward N. </w:t>
      </w:r>
      <w:proofErr w:type="spellStart"/>
      <w:r w:rsidRPr="009E037C">
        <w:rPr>
          <w:sz w:val="16"/>
          <w:szCs w:val="16"/>
        </w:rPr>
        <w:t>Zalta</w:t>
      </w:r>
      <w:proofErr w:type="spellEnd"/>
      <w:r w:rsidRPr="009E037C">
        <w:rPr>
          <w:sz w:val="16"/>
          <w:szCs w:val="16"/>
        </w:rPr>
        <w:t> (ed.), URL = &lt;https://plato.stanford.edu/archives/sum2017/entries/abduction/&gt;. //Massa</w:t>
      </w:r>
    </w:p>
    <w:p w14:paraId="6959FA65" w14:textId="39DFE2D8" w:rsidR="00374E5A" w:rsidRPr="00247FB5" w:rsidRDefault="00374E5A" w:rsidP="00374E5A">
      <w:pPr>
        <w:rPr>
          <w:sz w:val="16"/>
        </w:rPr>
      </w:pPr>
      <w:r w:rsidRPr="00A2298D">
        <w:rPr>
          <w:b/>
          <w:bCs/>
          <w:sz w:val="26"/>
          <w:szCs w:val="26"/>
          <w:highlight w:val="green"/>
          <w:u w:val="single"/>
        </w:rPr>
        <w:t>You</w:t>
      </w:r>
      <w:r w:rsidRPr="009E037C">
        <w:rPr>
          <w:b/>
          <w:bCs/>
          <w:sz w:val="26"/>
          <w:szCs w:val="26"/>
          <w:u w:val="single"/>
        </w:rPr>
        <w:t xml:space="preserve"> </w:t>
      </w:r>
      <w:r w:rsidRPr="009E037C">
        <w:rPr>
          <w:sz w:val="16"/>
        </w:rPr>
        <w:t xml:space="preserve">happen to </w:t>
      </w:r>
      <w:r w:rsidRPr="00A2298D">
        <w:rPr>
          <w:b/>
          <w:bCs/>
          <w:sz w:val="26"/>
          <w:szCs w:val="26"/>
          <w:highlight w:val="green"/>
          <w:u w:val="single"/>
        </w:rPr>
        <w:t>know</w:t>
      </w:r>
      <w:r w:rsidRPr="009E037C">
        <w:rPr>
          <w:b/>
          <w:bCs/>
          <w:sz w:val="26"/>
          <w:szCs w:val="26"/>
          <w:u w:val="single"/>
        </w:rPr>
        <w:t xml:space="preserve"> that </w:t>
      </w:r>
      <w:r w:rsidRPr="00A2298D">
        <w:rPr>
          <w:b/>
          <w:bCs/>
          <w:sz w:val="26"/>
          <w:szCs w:val="26"/>
          <w:highlight w:val="green"/>
          <w:u w:val="single"/>
        </w:rPr>
        <w:t>Tim and Harry</w:t>
      </w:r>
      <w:r w:rsidRPr="009E037C">
        <w:rPr>
          <w:b/>
          <w:bCs/>
          <w:sz w:val="26"/>
          <w:szCs w:val="26"/>
          <w:u w:val="single"/>
        </w:rPr>
        <w:t xml:space="preserve"> have recently </w:t>
      </w:r>
      <w:r w:rsidRPr="00A2298D">
        <w:rPr>
          <w:b/>
          <w:bCs/>
          <w:sz w:val="26"/>
          <w:szCs w:val="26"/>
          <w:highlight w:val="green"/>
          <w:u w:val="single"/>
        </w:rPr>
        <w:t>had a</w:t>
      </w:r>
      <w:r w:rsidRPr="009E037C">
        <w:rPr>
          <w:b/>
          <w:bCs/>
          <w:sz w:val="26"/>
          <w:szCs w:val="26"/>
          <w:u w:val="single"/>
        </w:rPr>
        <w:t xml:space="preserve"> terrible </w:t>
      </w:r>
      <w:r w:rsidRPr="00A2298D">
        <w:rPr>
          <w:b/>
          <w:bCs/>
          <w:sz w:val="26"/>
          <w:szCs w:val="26"/>
          <w:highlight w:val="green"/>
          <w:u w:val="single"/>
        </w:rPr>
        <w:t>row that ended their friendship.</w:t>
      </w:r>
      <w:r w:rsidRPr="009E037C">
        <w:rPr>
          <w:sz w:val="16"/>
        </w:rPr>
        <w:t xml:space="preserve"> Now </w:t>
      </w:r>
      <w:r w:rsidRPr="00A2298D">
        <w:rPr>
          <w:b/>
          <w:bCs/>
          <w:sz w:val="26"/>
          <w:szCs w:val="26"/>
          <w:highlight w:val="green"/>
          <w:u w:val="single"/>
        </w:rPr>
        <w:t>someone tells you that she just saw Tim and Harry jogging together. The best explanation</w:t>
      </w:r>
      <w:r w:rsidRPr="009E037C">
        <w:rPr>
          <w:b/>
          <w:bCs/>
          <w:sz w:val="26"/>
          <w:szCs w:val="26"/>
          <w:u w:val="single"/>
        </w:rPr>
        <w:t xml:space="preserve"> for this that </w:t>
      </w:r>
      <w:r w:rsidRPr="00A2298D">
        <w:rPr>
          <w:b/>
          <w:bCs/>
          <w:sz w:val="26"/>
          <w:szCs w:val="26"/>
          <w:highlight w:val="green"/>
          <w:u w:val="single"/>
        </w:rPr>
        <w:t>you can think of is that they made up. You conclude that they are friends again.</w:t>
      </w:r>
      <w:r w:rsidRPr="009E037C">
        <w:rPr>
          <w:b/>
          <w:bCs/>
          <w:sz w:val="26"/>
          <w:szCs w:val="26"/>
          <w:u w:val="single"/>
        </w:rPr>
        <w:t xml:space="preserve"> </w:t>
      </w:r>
      <w:r w:rsidRPr="009E037C">
        <w:rPr>
          <w:sz w:val="16"/>
        </w:rPr>
        <w:t xml:space="preserve">One morning </w:t>
      </w:r>
      <w:r w:rsidRPr="00A2298D">
        <w:rPr>
          <w:b/>
          <w:bCs/>
          <w:sz w:val="26"/>
          <w:szCs w:val="26"/>
          <w:highlight w:val="green"/>
          <w:u w:val="single"/>
        </w:rPr>
        <w:t>you enter the kitchen to find a plate</w:t>
      </w:r>
      <w:r w:rsidRPr="009E037C">
        <w:rPr>
          <w:b/>
          <w:bCs/>
          <w:sz w:val="26"/>
          <w:szCs w:val="26"/>
          <w:u w:val="single"/>
        </w:rPr>
        <w:t xml:space="preserve"> and cup on the table</w:t>
      </w:r>
      <w:r w:rsidRPr="009E037C">
        <w:rPr>
          <w:sz w:val="16"/>
        </w:rPr>
        <w:t xml:space="preserve">, with breadcrumbs and a pat of butter on it, and surrounded by a jar of jam, a pack of sugar, and an empty carton of milk. </w:t>
      </w:r>
      <w:r w:rsidRPr="00A2298D">
        <w:rPr>
          <w:b/>
          <w:bCs/>
          <w:sz w:val="26"/>
          <w:szCs w:val="26"/>
          <w:highlight w:val="green"/>
          <w:u w:val="single"/>
        </w:rPr>
        <w:t>You conclude</w:t>
      </w:r>
      <w:r w:rsidRPr="009E037C">
        <w:rPr>
          <w:b/>
          <w:bCs/>
          <w:sz w:val="26"/>
          <w:szCs w:val="26"/>
          <w:u w:val="single"/>
        </w:rPr>
        <w:t xml:space="preserve"> that </w:t>
      </w:r>
      <w:r w:rsidRPr="00A2298D">
        <w:rPr>
          <w:b/>
          <w:bCs/>
          <w:sz w:val="26"/>
          <w:szCs w:val="26"/>
          <w:highlight w:val="green"/>
          <w:u w:val="single"/>
        </w:rPr>
        <w:t xml:space="preserve">one of your </w:t>
      </w:r>
      <w:proofErr w:type="gramStart"/>
      <w:r w:rsidRPr="00A2298D">
        <w:rPr>
          <w:b/>
          <w:bCs/>
          <w:sz w:val="26"/>
          <w:szCs w:val="26"/>
          <w:highlight w:val="green"/>
          <w:u w:val="single"/>
        </w:rPr>
        <w:t>house-mates</w:t>
      </w:r>
      <w:proofErr w:type="gramEnd"/>
      <w:r w:rsidRPr="00A2298D">
        <w:rPr>
          <w:b/>
          <w:bCs/>
          <w:sz w:val="26"/>
          <w:szCs w:val="26"/>
          <w:highlight w:val="green"/>
          <w:u w:val="single"/>
        </w:rPr>
        <w:t xml:space="preserve"> got up at night</w:t>
      </w:r>
      <w:r w:rsidRPr="009E037C">
        <w:rPr>
          <w:sz w:val="16"/>
        </w:rPr>
        <w:t xml:space="preserve"> to make him- or herself a midnight snack and was too tired to clear the table. </w:t>
      </w:r>
      <w:r w:rsidRPr="009E037C">
        <w:rPr>
          <w:b/>
          <w:bCs/>
          <w:sz w:val="26"/>
          <w:szCs w:val="26"/>
          <w:u w:val="single"/>
        </w:rPr>
        <w:t xml:space="preserve">This, </w:t>
      </w:r>
      <w:r w:rsidRPr="00A2298D">
        <w:rPr>
          <w:b/>
          <w:bCs/>
          <w:sz w:val="26"/>
          <w:szCs w:val="26"/>
          <w:highlight w:val="green"/>
          <w:u w:val="single"/>
        </w:rPr>
        <w:t>you think, best explains</w:t>
      </w:r>
      <w:r w:rsidRPr="009E037C">
        <w:rPr>
          <w:b/>
          <w:bCs/>
          <w:sz w:val="26"/>
          <w:szCs w:val="26"/>
          <w:u w:val="single"/>
        </w:rPr>
        <w:t xml:space="preserve"> the scene you are facing. To be sure, </w:t>
      </w:r>
      <w:r w:rsidRPr="00A2298D">
        <w:rPr>
          <w:b/>
          <w:bCs/>
          <w:sz w:val="26"/>
          <w:szCs w:val="26"/>
          <w:highlight w:val="green"/>
          <w:u w:val="single"/>
        </w:rPr>
        <w:t>it might be that someone burgled the house</w:t>
      </w:r>
      <w:r w:rsidRPr="009E037C">
        <w:rPr>
          <w:b/>
          <w:bCs/>
          <w:sz w:val="26"/>
          <w:szCs w:val="26"/>
          <w:u w:val="single"/>
        </w:rPr>
        <w:t xml:space="preserve"> </w:t>
      </w:r>
      <w:r w:rsidRPr="00A2298D">
        <w:rPr>
          <w:b/>
          <w:bCs/>
          <w:sz w:val="26"/>
          <w:szCs w:val="26"/>
          <w:highlight w:val="green"/>
          <w:u w:val="single"/>
        </w:rPr>
        <w:t>and took</w:t>
      </w:r>
      <w:r w:rsidRPr="009E037C">
        <w:rPr>
          <w:b/>
          <w:bCs/>
          <w:sz w:val="26"/>
          <w:szCs w:val="26"/>
          <w:u w:val="single"/>
        </w:rPr>
        <w:t xml:space="preserve"> the time to have </w:t>
      </w:r>
      <w:r w:rsidRPr="00A2298D">
        <w:rPr>
          <w:b/>
          <w:bCs/>
          <w:sz w:val="26"/>
          <w:szCs w:val="26"/>
          <w:highlight w:val="green"/>
          <w:u w:val="single"/>
        </w:rPr>
        <w:t>a bite</w:t>
      </w:r>
      <w:r w:rsidRPr="009E037C">
        <w:rPr>
          <w:b/>
          <w:bCs/>
          <w:sz w:val="26"/>
          <w:szCs w:val="26"/>
          <w:u w:val="single"/>
        </w:rPr>
        <w:t xml:space="preserve"> while on the job</w:t>
      </w:r>
      <w:r w:rsidRPr="009E037C">
        <w:rPr>
          <w:sz w:val="16"/>
        </w:rPr>
        <w:t xml:space="preserve">, or a </w:t>
      </w:r>
      <w:proofErr w:type="gramStart"/>
      <w:r w:rsidRPr="009E037C">
        <w:rPr>
          <w:sz w:val="16"/>
        </w:rPr>
        <w:t>house-mate</w:t>
      </w:r>
      <w:proofErr w:type="gramEnd"/>
      <w:r w:rsidRPr="009E037C">
        <w:rPr>
          <w:sz w:val="16"/>
        </w:rPr>
        <w:t xml:space="preserve"> might have arranged the things on the table without having a midnight snack but just to make you believe that someone had a midnight snack. But these hypotheses strike you as providing much more contrived explanations of the data than the one you infer to. Walking along the beach, you see what looks like a picture of Winston Churchill in the sand. It could be that, as in the opening pages of Hilary Putnam’s (1981), what you see is actually the trace of an ant crawling on the beach. The much simpler, and therefore (you think) much better, explanation is that someone intentionally drew a picture of Churchill in the sand. That, in any case, is what you come away believing. </w:t>
      </w:r>
      <w:r w:rsidRPr="00A2298D">
        <w:rPr>
          <w:b/>
          <w:bCs/>
          <w:sz w:val="26"/>
          <w:szCs w:val="26"/>
          <w:highlight w:val="green"/>
          <w:u w:val="single"/>
        </w:rPr>
        <w:t>In these examples, the conclusions do not follow logically from the premises.</w:t>
      </w:r>
      <w:r w:rsidRPr="009E037C">
        <w:rPr>
          <w:sz w:val="16"/>
        </w:rPr>
        <w:t xml:space="preserve"> For instance</w:t>
      </w:r>
      <w:r w:rsidRPr="009E037C">
        <w:rPr>
          <w:b/>
          <w:bCs/>
          <w:sz w:val="26"/>
          <w:szCs w:val="26"/>
          <w:u w:val="single"/>
        </w:rPr>
        <w:t xml:space="preserve">, </w:t>
      </w:r>
      <w:r w:rsidRPr="00A2298D">
        <w:rPr>
          <w:b/>
          <w:bCs/>
          <w:sz w:val="26"/>
          <w:szCs w:val="26"/>
          <w:highlight w:val="green"/>
          <w:u w:val="single"/>
        </w:rPr>
        <w:t>it does not follow</w:t>
      </w:r>
      <w:r w:rsidRPr="009E037C">
        <w:rPr>
          <w:b/>
          <w:bCs/>
          <w:sz w:val="26"/>
          <w:szCs w:val="26"/>
          <w:u w:val="single"/>
        </w:rPr>
        <w:t xml:space="preserve"> logically </w:t>
      </w:r>
      <w:r w:rsidRPr="00A2298D">
        <w:rPr>
          <w:b/>
          <w:bCs/>
          <w:sz w:val="26"/>
          <w:szCs w:val="26"/>
          <w:highlight w:val="green"/>
          <w:u w:val="single"/>
        </w:rPr>
        <w:t>that Tim and Harry are friends again from the premises that they had a terrible row</w:t>
      </w:r>
      <w:r w:rsidRPr="009E037C">
        <w:rPr>
          <w:sz w:val="16"/>
        </w:rPr>
        <w:t xml:space="preserve"> which ended their friendship and that they have just been seen jogging together; it does not even follow, we may suppose, from all the information you have about Tim and Harry. Nor do you have any useful statistical data about friendships, terrible rows, and joggers that might warrant an inference from the information that you have about Tim and Harry to the conclusion that they are friends again, or even to the conclusion that, probably (or with a certain probability), they are friends again. What leads you to the conclusion, and what according to a considerable number of philosophers may also warrant this conclusion, is precisely the fact that Tim and Harry’s being friends again would, if true, best explain the fact that they have just been seen jogging together. (The proviso that a hypothesis be true if it is to explain anything is taken as read from here on.) Similar remarks apply to the other two examples. The type of inference exhibited here is called abduction or, somewhat more commonly nowadays, Inference to the Best Explanation.</w:t>
      </w:r>
    </w:p>
    <w:p w14:paraId="08C7AA57" w14:textId="63DF05DB" w:rsidR="00A95652" w:rsidRPr="00B55AD5" w:rsidRDefault="00374E5A" w:rsidP="00247FB5">
      <w:pPr>
        <w:pStyle w:val="Heading2"/>
      </w:pPr>
      <w:r>
        <w:t>On Case</w:t>
      </w:r>
    </w:p>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E2025" w14:textId="77777777" w:rsidR="00F37757" w:rsidRDefault="00F37757" w:rsidP="00374E5A">
      <w:pPr>
        <w:spacing w:after="0" w:line="240" w:lineRule="auto"/>
      </w:pPr>
      <w:r>
        <w:separator/>
      </w:r>
    </w:p>
  </w:endnote>
  <w:endnote w:type="continuationSeparator" w:id="0">
    <w:p w14:paraId="40C99C6C" w14:textId="77777777" w:rsidR="00F37757" w:rsidRDefault="00F37757" w:rsidP="00374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F794E" w14:textId="77777777" w:rsidR="00F37757" w:rsidRDefault="00F37757" w:rsidP="00374E5A">
      <w:pPr>
        <w:spacing w:after="0" w:line="240" w:lineRule="auto"/>
      </w:pPr>
      <w:r>
        <w:separator/>
      </w:r>
    </w:p>
  </w:footnote>
  <w:footnote w:type="continuationSeparator" w:id="0">
    <w:p w14:paraId="1B97843D" w14:textId="77777777" w:rsidR="00F37757" w:rsidRDefault="00F37757" w:rsidP="00374E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74E5A"/>
    <w:rsid w:val="000139A3"/>
    <w:rsid w:val="000E0007"/>
    <w:rsid w:val="00100833"/>
    <w:rsid w:val="00104529"/>
    <w:rsid w:val="00105942"/>
    <w:rsid w:val="00107396"/>
    <w:rsid w:val="00144A4C"/>
    <w:rsid w:val="00176AB0"/>
    <w:rsid w:val="00177B7D"/>
    <w:rsid w:val="0018322D"/>
    <w:rsid w:val="001B5776"/>
    <w:rsid w:val="001E527A"/>
    <w:rsid w:val="001F78CE"/>
    <w:rsid w:val="00247FB5"/>
    <w:rsid w:val="00251FC7"/>
    <w:rsid w:val="002855A7"/>
    <w:rsid w:val="002B146A"/>
    <w:rsid w:val="002B5E17"/>
    <w:rsid w:val="00315690"/>
    <w:rsid w:val="00316B75"/>
    <w:rsid w:val="00325646"/>
    <w:rsid w:val="003460F2"/>
    <w:rsid w:val="00374E5A"/>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6921"/>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29F3"/>
    <w:rsid w:val="00DA1C92"/>
    <w:rsid w:val="00DA25D4"/>
    <w:rsid w:val="00DA6538"/>
    <w:rsid w:val="00E15E75"/>
    <w:rsid w:val="00E5262C"/>
    <w:rsid w:val="00EC7DC4"/>
    <w:rsid w:val="00ED30CF"/>
    <w:rsid w:val="00F176EF"/>
    <w:rsid w:val="00F37757"/>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92DF5"/>
  <w15:chartTrackingRefBased/>
  <w15:docId w15:val="{3E55B808-29FB-4F19-84D7-580D7459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47FB5"/>
    <w:rPr>
      <w:rFonts w:ascii="Calibri" w:hAnsi="Calibri"/>
    </w:rPr>
  </w:style>
  <w:style w:type="paragraph" w:styleId="Heading1">
    <w:name w:val="heading 1"/>
    <w:aliases w:val="Pocket"/>
    <w:basedOn w:val="Normal"/>
    <w:next w:val="Normal"/>
    <w:link w:val="Heading1Char"/>
    <w:qFormat/>
    <w:rsid w:val="00247F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47F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47F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247F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47F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7FB5"/>
  </w:style>
  <w:style w:type="character" w:customStyle="1" w:styleId="Heading1Char">
    <w:name w:val="Heading 1 Char"/>
    <w:aliases w:val="Pocket Char"/>
    <w:basedOn w:val="DefaultParagraphFont"/>
    <w:link w:val="Heading1"/>
    <w:rsid w:val="00247F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47FB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47FB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247FB5"/>
    <w:rPr>
      <w:rFonts w:ascii="Calibri" w:eastAsiaTheme="majorEastAsia" w:hAnsi="Calibri" w:cstheme="majorBidi"/>
      <w:b/>
      <w:iCs/>
      <w:sz w:val="26"/>
    </w:rPr>
  </w:style>
  <w:style w:type="character" w:styleId="Emphasis">
    <w:name w:val="Emphasis"/>
    <w:aliases w:val="Evidence,minimized,Highlighted,tag2,Size 10,emphasis in card,CD Card,ED - Tag,Underlined,emphasis,Bold Underline,Emphasis!!,small,Qualifications,bold underline,normal card text,Shrunk,qualifications in card,qualifications,Style1,Box,Minimized,B"/>
    <w:basedOn w:val="DefaultParagraphFont"/>
    <w:link w:val="textbold"/>
    <w:uiPriority w:val="7"/>
    <w:qFormat/>
    <w:rsid w:val="00247FB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247FB5"/>
    <w:rPr>
      <w:b/>
      <w:bCs/>
      <w:sz w:val="26"/>
      <w:u w:val="none"/>
    </w:rPr>
  </w:style>
  <w:style w:type="character" w:customStyle="1" w:styleId="StyleUnderline">
    <w:name w:val="Style Underline"/>
    <w:aliases w:val="Underline"/>
    <w:basedOn w:val="DefaultParagraphFont"/>
    <w:uiPriority w:val="6"/>
    <w:qFormat/>
    <w:rsid w:val="00247FB5"/>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247FB5"/>
    <w:rPr>
      <w:color w:val="auto"/>
      <w:u w:val="none"/>
    </w:rPr>
  </w:style>
  <w:style w:type="character" w:styleId="FollowedHyperlink">
    <w:name w:val="FollowedHyperlink"/>
    <w:basedOn w:val="DefaultParagraphFont"/>
    <w:uiPriority w:val="99"/>
    <w:semiHidden/>
    <w:unhideWhenUsed/>
    <w:rsid w:val="00247FB5"/>
    <w:rPr>
      <w:color w:val="auto"/>
      <w:u w:val="none"/>
    </w:rPr>
  </w:style>
  <w:style w:type="character" w:styleId="FootnoteReference">
    <w:name w:val="footnote reference"/>
    <w:aliases w:val="FN Ref,footnote reference,fr,o,FR,(NECG) Footnote Reference"/>
    <w:basedOn w:val="DefaultParagraphFont"/>
    <w:uiPriority w:val="99"/>
    <w:unhideWhenUsed/>
    <w:qFormat/>
    <w:rsid w:val="00374E5A"/>
    <w:rPr>
      <w:vertAlign w:val="superscript"/>
    </w:rPr>
  </w:style>
  <w:style w:type="paragraph" w:styleId="FootnoteText">
    <w:name w:val="footnote text"/>
    <w:basedOn w:val="Normal"/>
    <w:link w:val="FootnoteTextChar"/>
    <w:uiPriority w:val="99"/>
    <w:unhideWhenUsed/>
    <w:qFormat/>
    <w:rsid w:val="00374E5A"/>
    <w:pPr>
      <w:spacing w:after="0" w:line="240" w:lineRule="auto"/>
    </w:pPr>
    <w:rPr>
      <w:sz w:val="20"/>
      <w:szCs w:val="20"/>
    </w:rPr>
  </w:style>
  <w:style w:type="character" w:customStyle="1" w:styleId="FootnoteTextChar">
    <w:name w:val="Footnote Text Char"/>
    <w:basedOn w:val="DefaultParagraphFont"/>
    <w:link w:val="FootnoteText"/>
    <w:uiPriority w:val="99"/>
    <w:rsid w:val="00374E5A"/>
    <w:rPr>
      <w:rFonts w:ascii="Calibri" w:hAnsi="Calibri"/>
      <w:sz w:val="20"/>
      <w:szCs w:val="20"/>
    </w:rPr>
  </w:style>
  <w:style w:type="paragraph" w:customStyle="1" w:styleId="textbold">
    <w:name w:val="text bold"/>
    <w:basedOn w:val="Normal"/>
    <w:link w:val="Emphasis"/>
    <w:uiPriority w:val="7"/>
    <w:qFormat/>
    <w:rsid w:val="00374E5A"/>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uiPriority w:val="1"/>
    <w:qFormat/>
    <w:rsid w:val="00374E5A"/>
    <w:pPr>
      <w:spacing w:after="0" w:line="240" w:lineRule="auto"/>
    </w:pPr>
    <w:rPr>
      <w:rFonts w:ascii="Calibri" w:eastAsiaTheme="minorEastAsia"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1354</Words>
  <Characters>7724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3</cp:revision>
  <dcterms:created xsi:type="dcterms:W3CDTF">2021-10-30T15:58:00Z</dcterms:created>
  <dcterms:modified xsi:type="dcterms:W3CDTF">2022-01-28T04:55:00Z</dcterms:modified>
</cp:coreProperties>
</file>