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6CD35" w14:textId="2F90B4FA" w:rsidR="00075E6F" w:rsidRDefault="00075E6F" w:rsidP="00075E6F">
      <w:pPr>
        <w:pStyle w:val="Heading1"/>
      </w:pPr>
      <w:r>
        <w:t>1AC vs Mountain View EN</w:t>
      </w:r>
    </w:p>
    <w:p w14:paraId="37FD4284" w14:textId="09ED8C49" w:rsidR="00EA4825" w:rsidRDefault="00075E6F" w:rsidP="00075E6F">
      <w:pPr>
        <w:pStyle w:val="Heading3"/>
      </w:pPr>
      <w:r>
        <w:t>Framing</w:t>
      </w:r>
    </w:p>
    <w:p w14:paraId="6BF13E3F" w14:textId="77777777" w:rsidR="00EA4825" w:rsidRDefault="00EA4825" w:rsidP="00EA4825">
      <w:pPr>
        <w:pStyle w:val="Heading4"/>
      </w:pPr>
      <w:r w:rsidRPr="004F7019">
        <w:t>The meta-ethic is procedural moral realism</w:t>
      </w:r>
      <w:r>
        <w:t>.</w:t>
      </w:r>
    </w:p>
    <w:p w14:paraId="20EDE9FB" w14:textId="77777777" w:rsidR="00EA4825" w:rsidRDefault="00EA4825" w:rsidP="00EA4825">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235F5A8" w14:textId="77777777" w:rsidR="00EA4825" w:rsidRDefault="00EA4825" w:rsidP="00EA4825">
      <w:pPr>
        <w:pStyle w:val="Heading4"/>
      </w:pPr>
      <w:r>
        <w:t>Next is regress -</w:t>
      </w:r>
    </w:p>
    <w:p w14:paraId="4B1E2611" w14:textId="77777777" w:rsidR="00EA4825" w:rsidRDefault="00EA4825" w:rsidP="00EA4825">
      <w:pPr>
        <w:pStyle w:val="Heading4"/>
      </w:pPr>
      <w:r>
        <w:t xml:space="preserve">That justifies universalizability – </w:t>
      </w:r>
    </w:p>
    <w:p w14:paraId="5EA73390" w14:textId="77777777" w:rsidR="00EA4825" w:rsidRDefault="00EA4825" w:rsidP="00EA4825">
      <w:pPr>
        <w:pStyle w:val="Heading4"/>
      </w:pPr>
      <w:r>
        <w:t xml:space="preserve">Thus, the standard is </w:t>
      </w:r>
      <w:r w:rsidRPr="005A1399">
        <w:rPr>
          <w:u w:val="single"/>
        </w:rPr>
        <w:t>Consistency with the Categorical Imperative</w:t>
      </w:r>
      <w:r>
        <w:t>. Prefer:</w:t>
      </w:r>
    </w:p>
    <w:p w14:paraId="4F720FE6" w14:textId="77777777" w:rsidR="00EA4825" w:rsidRDefault="00EA4825" w:rsidP="00EA4825">
      <w:pPr>
        <w:pStyle w:val="Heading4"/>
      </w:pPr>
      <w:r>
        <w:t xml:space="preserve">[1] </w:t>
      </w:r>
      <w:r w:rsidRPr="000A5608">
        <w:t>Performativity</w:t>
      </w:r>
      <w:r>
        <w:t xml:space="preserve"> – </w:t>
      </w:r>
    </w:p>
    <w:p w14:paraId="65D8DCAB" w14:textId="77777777" w:rsidR="00EA4825" w:rsidRDefault="00EA4825" w:rsidP="00EA4825">
      <w:pPr>
        <w:pStyle w:val="Heading4"/>
      </w:pPr>
      <w:r>
        <w:t xml:space="preserve">[2] Humanity – </w:t>
      </w:r>
    </w:p>
    <w:p w14:paraId="4B967E76" w14:textId="77777777" w:rsidR="00EA4825" w:rsidRDefault="00EA4825" w:rsidP="00EA4825">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677E55BF" w14:textId="77777777" w:rsidR="00EA4825" w:rsidRDefault="00EA4825" w:rsidP="00EA4825">
      <w:pPr>
        <w:pStyle w:val="Heading4"/>
      </w:pPr>
      <w:r>
        <w:t>[4] F</w:t>
      </w:r>
      <w:r w:rsidRPr="006C3A52">
        <w:t xml:space="preserve">rameworks all share equal value. </w:t>
      </w:r>
    </w:p>
    <w:p w14:paraId="74AC7B44" w14:textId="77777777" w:rsidR="00EA4825" w:rsidRPr="004718DD" w:rsidRDefault="00EA4825" w:rsidP="00EA4825">
      <w:pPr>
        <w:pStyle w:val="Heading4"/>
      </w:pPr>
      <w:r>
        <w:t>[</w:t>
      </w:r>
      <w:proofErr w:type="gramStart"/>
      <w:r>
        <w:t>5]</w:t>
      </w:r>
      <w:r w:rsidRPr="0050549B">
        <w:t>The</w:t>
      </w:r>
      <w:proofErr w:type="gramEnd"/>
      <w:r w:rsidRPr="0050549B">
        <w:t xml:space="preserve"> neg may not read consequentialism </w:t>
      </w:r>
      <w:r>
        <w:t xml:space="preserve">– </w:t>
      </w:r>
    </w:p>
    <w:p w14:paraId="792B872F" w14:textId="77777777" w:rsidR="00EA4825" w:rsidRPr="00EA4825" w:rsidRDefault="00EA4825" w:rsidP="00EA4825"/>
    <w:p w14:paraId="77679536" w14:textId="5D704B15" w:rsidR="00075E6F" w:rsidRDefault="00075E6F" w:rsidP="00075E6F">
      <w:pPr>
        <w:pStyle w:val="Heading3"/>
      </w:pPr>
      <w:r>
        <w:t>Offense</w:t>
      </w:r>
    </w:p>
    <w:p w14:paraId="5BD43A04" w14:textId="626CA1BA" w:rsidR="00075E6F" w:rsidRPr="00285D07" w:rsidRDefault="00075E6F" w:rsidP="00075E6F">
      <w:pPr>
        <w:pStyle w:val="Heading4"/>
        <w:tabs>
          <w:tab w:val="left" w:pos="8355"/>
          <w:tab w:val="left" w:pos="16614"/>
        </w:tabs>
        <w:rPr>
          <w:rFonts w:asciiTheme="minorHAnsi" w:hAnsiTheme="minorHAnsi" w:cstheme="minorHAnsi"/>
          <w:bCs/>
          <w:szCs w:val="26"/>
        </w:rPr>
      </w:pPr>
      <w:r>
        <w:t xml:space="preserve">I affirm: Resolved: </w:t>
      </w:r>
      <w:r w:rsidRPr="00285D07">
        <w:t>The member nations of the World Trade Organization ought to reduce intellectual property protections for medicines.</w:t>
      </w:r>
      <w:r>
        <w:t xml:space="preserve"> Presumption &amp; Permissibility affirms </w:t>
      </w:r>
    </w:p>
    <w:p w14:paraId="77C29FF7" w14:textId="77777777" w:rsidR="00075E6F" w:rsidRPr="008D79F2" w:rsidRDefault="00075E6F" w:rsidP="00075E6F">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007FB1E2" w14:textId="77777777" w:rsidR="00075E6F" w:rsidRPr="008D79F2" w:rsidRDefault="00075E6F" w:rsidP="00075E6F">
      <w:pPr>
        <w:rPr>
          <w:rStyle w:val="Style13ptBold"/>
          <w:b w:val="0"/>
          <w:bCs w:val="0"/>
        </w:rPr>
      </w:pPr>
      <w:r w:rsidRPr="008D79F2">
        <w:rPr>
          <w:rStyle w:val="Style13ptBold"/>
        </w:rPr>
        <w:t xml:space="preserve">Long 95 </w:t>
      </w:r>
      <w:r w:rsidRPr="005C18C0">
        <w:rPr>
          <w:rStyle w:val="Style13ptBold"/>
          <w:b w:val="0"/>
          <w:bCs w:val="0"/>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val="0"/>
          <w:sz w:val="16"/>
          <w:szCs w:val="16"/>
        </w:rPr>
        <w:t>“</w:t>
      </w:r>
      <w:r w:rsidRPr="005C18C0">
        <w:rPr>
          <w:sz w:val="16"/>
          <w:szCs w:val="16"/>
        </w:rPr>
        <w:t>The Libertarian Case Against Intellectual Property Rights,” Free Nation Foundation, 1995] JL recut Lex VM</w:t>
      </w:r>
    </w:p>
    <w:p w14:paraId="3DD7D4FD" w14:textId="77777777" w:rsidR="00075E6F" w:rsidRPr="009F3A5C" w:rsidRDefault="00075E6F" w:rsidP="00075E6F">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1C12B5FF" w14:textId="77777777" w:rsidR="00075E6F" w:rsidRPr="009F3A5C" w:rsidRDefault="00075E6F" w:rsidP="00075E6F">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14DCAC8A" w14:textId="77777777" w:rsidR="00075E6F" w:rsidRPr="009F3A5C" w:rsidRDefault="00075E6F" w:rsidP="00075E6F">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0D3E6BF" w14:textId="77777777" w:rsidR="00075E6F" w:rsidRPr="009F3A5C" w:rsidRDefault="00075E6F" w:rsidP="00075E6F">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0C482B92" w14:textId="77777777" w:rsidR="00075E6F" w:rsidRPr="009F3A5C" w:rsidRDefault="00075E6F" w:rsidP="00075E6F">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47BC2F05" w14:textId="77777777" w:rsidR="00075E6F" w:rsidRPr="00285D07" w:rsidRDefault="00075E6F" w:rsidP="00075E6F">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1964A863" w14:textId="77777777" w:rsidR="00075E6F" w:rsidRPr="008D79F2" w:rsidRDefault="00075E6F" w:rsidP="00075E6F">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459CA213" w14:textId="77777777" w:rsidR="00075E6F" w:rsidRPr="008D79F2" w:rsidRDefault="00075E6F" w:rsidP="00075E6F">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“Justifying Intellectual Property,” Harvard University Press, 2011] JL recut Lex VM</w:t>
      </w:r>
    </w:p>
    <w:p w14:paraId="25029104" w14:textId="77777777" w:rsidR="00075E6F" w:rsidRPr="008D79F2" w:rsidRDefault="00075E6F" w:rsidP="00075E6F">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6E81FF52" w14:textId="77777777" w:rsidR="00075E6F" w:rsidRPr="004B3BEF" w:rsidRDefault="00075E6F" w:rsidP="00075E6F">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0C2CE7D3" w14:textId="77777777" w:rsidR="00075E6F" w:rsidRPr="00057388" w:rsidRDefault="00075E6F" w:rsidP="00075E6F">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with regard to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65D6F6F4" w14:textId="7C854CA9" w:rsidR="00EC07A2" w:rsidRPr="00BB2ED4" w:rsidRDefault="00BB2ED4" w:rsidP="00BB2ED4">
      <w:pPr>
        <w:pStyle w:val="Heading4"/>
        <w:rPr>
          <w:rStyle w:val="StyleUnderline"/>
          <w:sz w:val="26"/>
          <w:u w:val="none"/>
        </w:rPr>
      </w:pPr>
      <w:r>
        <w:t>T</w:t>
      </w:r>
      <w:r w:rsidR="00EC07A2">
        <w:t xml:space="preserve">he neg must not contest the </w:t>
      </w:r>
      <w:proofErr w:type="spellStart"/>
      <w:r w:rsidR="00EC07A2">
        <w:t>aff</w:t>
      </w:r>
      <w:proofErr w:type="spellEnd"/>
      <w:r w:rsidR="00EC07A2">
        <w:t xml:space="preserve"> framework </w:t>
      </w:r>
    </w:p>
    <w:p w14:paraId="1E9F5B97" w14:textId="77777777" w:rsidR="00075E6F" w:rsidRDefault="00075E6F" w:rsidP="00075E6F">
      <w:pPr>
        <w:pStyle w:val="Heading3"/>
      </w:pPr>
      <w:proofErr w:type="spellStart"/>
      <w:r>
        <w:t>Underview</w:t>
      </w:r>
      <w:proofErr w:type="spellEnd"/>
    </w:p>
    <w:p w14:paraId="0289BD94" w14:textId="77777777" w:rsidR="00EA4825" w:rsidRDefault="00EA4825" w:rsidP="00EA4825">
      <w:pPr>
        <w:pStyle w:val="Heading4"/>
      </w:pPr>
      <w:r>
        <w:t xml:space="preserve">[1] </w:t>
      </w:r>
      <w:proofErr w:type="spellStart"/>
      <w:r>
        <w:t>Aff</w:t>
      </w:r>
      <w:proofErr w:type="spellEnd"/>
      <w:r>
        <w:t xml:space="preserve"> gets 1AR theory otherwise the neg can be infinitely abusive and I can’t check back. It’s DTD, competing </w:t>
      </w:r>
      <w:proofErr w:type="spellStart"/>
      <w:r>
        <w:t>interps</w:t>
      </w:r>
      <w:proofErr w:type="spellEnd"/>
      <w:r>
        <w:t xml:space="preserve">, and highest layer </w:t>
      </w:r>
      <w:proofErr w:type="spellStart"/>
      <w:r>
        <w:t>bc</w:t>
      </w:r>
      <w:proofErr w:type="spellEnd"/>
      <w:r>
        <w:t xml:space="preserve"> the 1AR is too short to win both theory and substance. No 2NR theory or paradigm issues </w:t>
      </w:r>
      <w:proofErr w:type="spellStart"/>
      <w:r>
        <w:t>cuz</w:t>
      </w:r>
      <w:proofErr w:type="spellEnd"/>
      <w:r>
        <w:t xml:space="preserve"> they can dump on it for 6 minutes and my 3-minute 2AR is screwed.</w:t>
      </w:r>
    </w:p>
    <w:p w14:paraId="793A9421" w14:textId="77777777" w:rsidR="00EA4825" w:rsidRDefault="00EA4825" w:rsidP="00EA4825">
      <w:pPr>
        <w:pStyle w:val="Heading4"/>
      </w:pPr>
      <w:r>
        <w:t xml:space="preserve">[2] </w:t>
      </w: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 as to who is winning offense</w:t>
      </w:r>
      <w:r>
        <w:t xml:space="preserve">– d) Inclusion </w:t>
      </w:r>
    </w:p>
    <w:p w14:paraId="5751AD20" w14:textId="77777777" w:rsidR="00EA4825" w:rsidRDefault="00EA4825" w:rsidP="00EA4825">
      <w:pPr>
        <w:pStyle w:val="Heading4"/>
      </w:pPr>
      <w:bookmarkStart w:id="0" w:name="_Hlk81662335"/>
      <w:r>
        <w:t>[3] Practices are assumed to exist for the purposes of discussion. However, denying the assumptions behind statements just proves them valid. The only time the statement is invalid is when the consequent is false.</w:t>
      </w:r>
    </w:p>
    <w:p w14:paraId="736B8E32" w14:textId="77777777" w:rsidR="00EA4825" w:rsidRPr="00DB378E" w:rsidRDefault="00EA4825" w:rsidP="00EA4825">
      <w:pPr>
        <w:rPr>
          <w:rFonts w:cs="Calibri"/>
          <w:sz w:val="16"/>
          <w:szCs w:val="16"/>
        </w:rPr>
      </w:pPr>
      <w:r w:rsidRPr="001E288D">
        <w:rPr>
          <w:rStyle w:val="Style13ptBold"/>
        </w:rPr>
        <w:t>Stanford</w:t>
      </w:r>
      <w:r w:rsidRPr="00DB378E">
        <w:rPr>
          <w:rFonts w:cs="Calibri"/>
        </w:rPr>
        <w:t xml:space="preserve"> </w:t>
      </w:r>
      <w:hyperlink r:id="rId8" w:history="1">
        <w:r w:rsidRPr="00DB378E">
          <w:rPr>
            <w:rStyle w:val="Hyperlink"/>
            <w:rFonts w:eastAsiaTheme="majorEastAsia" w:cs="Calibri"/>
            <w:sz w:val="16"/>
            <w:szCs w:val="16"/>
          </w:rPr>
          <w:t>https://web.stanford.edu/~bobonich/dictionary/dictionary.html</w:t>
        </w:r>
      </w:hyperlink>
      <w:r>
        <w:rPr>
          <w:rFonts w:cs="Calibri"/>
          <w:sz w:val="16"/>
          <w:szCs w:val="16"/>
        </w:rPr>
        <w:t xml:space="preserve"> </w:t>
      </w:r>
      <w:r w:rsidRPr="00DB378E">
        <w:rPr>
          <w:rFonts w:cs="Calibri"/>
          <w:sz w:val="16"/>
          <w:szCs w:val="16"/>
        </w:rPr>
        <w:t>Abbreviated Dictionary of Philosophical Terminology An introduction to philosophy Stanford University</w:t>
      </w:r>
      <w:r>
        <w:rPr>
          <w:rFonts w:cs="Calibri"/>
          <w:sz w:val="16"/>
          <w:szCs w:val="16"/>
        </w:rPr>
        <w:t xml:space="preserve"> //ACCS JM</w:t>
      </w:r>
    </w:p>
    <w:p w14:paraId="003B11C0" w14:textId="77777777" w:rsidR="00EA4825" w:rsidRPr="00DB378E" w:rsidRDefault="00EA4825" w:rsidP="00EA4825">
      <w:pPr>
        <w:rPr>
          <w:rFonts w:cs="Calibri"/>
          <w:b/>
          <w:bCs/>
          <w:szCs w:val="26"/>
          <w:u w:val="single"/>
        </w:rPr>
      </w:pPr>
      <w:r w:rsidRPr="00DB378E">
        <w:rPr>
          <w:rFonts w:cs="Calibri"/>
          <w:sz w:val="16"/>
          <w:szCs w:val="16"/>
        </w:rPr>
        <w:t xml:space="preserve">[In a] </w:t>
      </w:r>
      <w:r w:rsidRPr="001E288D">
        <w:rPr>
          <w:rStyle w:val="StyleUnderline"/>
        </w:rPr>
        <w:t>Conditional statement: an “if p, then q”</w:t>
      </w:r>
      <w:r w:rsidRPr="00DB378E">
        <w:rPr>
          <w:rFonts w:cs="Calibri"/>
          <w:sz w:val="16"/>
          <w:szCs w:val="16"/>
        </w:rPr>
        <w:t xml:space="preserve"> compound statement (ex. If I throw this ball </w:t>
      </w:r>
      <w:r w:rsidRPr="00115BC2">
        <w:rPr>
          <w:rStyle w:val="Emphasis"/>
          <w:highlight w:val="green"/>
        </w:rPr>
        <w:t>in</w:t>
      </w:r>
      <w:r w:rsidRPr="00DB378E">
        <w:rPr>
          <w:rFonts w:cs="Calibri"/>
          <w:sz w:val="16"/>
          <w:szCs w:val="16"/>
        </w:rPr>
        <w:t xml:space="preserve">to the air, it will come down); </w:t>
      </w:r>
      <w:r w:rsidRPr="00A1057D">
        <w:rPr>
          <w:rStyle w:val="Emphasis"/>
        </w:rPr>
        <w:t>p is</w:t>
      </w:r>
      <w:r w:rsidRPr="001E288D">
        <w:rPr>
          <w:rStyle w:val="StyleUnderline"/>
        </w:rPr>
        <w:t xml:space="preserve"> called the </w:t>
      </w:r>
      <w:r w:rsidRPr="00A1057D">
        <w:rPr>
          <w:rStyle w:val="Emphasis"/>
        </w:rPr>
        <w:t>antecedent</w:t>
      </w:r>
      <w:r w:rsidRPr="00DB378E">
        <w:rPr>
          <w:rFonts w:cs="Calibri"/>
          <w:sz w:val="16"/>
          <w:szCs w:val="16"/>
        </w:rPr>
        <w:t xml:space="preserve">, and </w:t>
      </w:r>
      <w:r w:rsidRPr="00A1057D">
        <w:rPr>
          <w:rStyle w:val="Emphasis"/>
        </w:rPr>
        <w:t>q is</w:t>
      </w:r>
      <w:r w:rsidRPr="001E288D">
        <w:rPr>
          <w:rStyle w:val="StyleUnderline"/>
        </w:rPr>
        <w:t xml:space="preserve"> the </w:t>
      </w:r>
      <w:r w:rsidRPr="00A1057D">
        <w:rPr>
          <w:rStyle w:val="Emphasis"/>
        </w:rPr>
        <w:t>consequent</w:t>
      </w:r>
      <w:r w:rsidRPr="00DB378E">
        <w:rPr>
          <w:rFonts w:cs="Calibri"/>
          <w:sz w:val="16"/>
          <w:szCs w:val="16"/>
        </w:rPr>
        <w:t xml:space="preserve">. </w:t>
      </w:r>
      <w:r w:rsidRPr="00115BC2">
        <w:rPr>
          <w:rStyle w:val="Emphasis"/>
          <w:highlight w:val="green"/>
        </w:rPr>
        <w:t xml:space="preserve">A </w:t>
      </w:r>
      <w:proofErr w:type="gramStart"/>
      <w:r w:rsidRPr="00115BC2">
        <w:rPr>
          <w:rStyle w:val="Emphasis"/>
          <w:highlight w:val="green"/>
        </w:rPr>
        <w:t>conditional</w:t>
      </w:r>
      <w:r w:rsidRPr="003E7A6A">
        <w:rPr>
          <w:rStyle w:val="Emphasis"/>
        </w:rPr>
        <w:t xml:space="preserve"> asserts</w:t>
      </w:r>
      <w:proofErr w:type="gramEnd"/>
      <w:r w:rsidRPr="003E7A6A">
        <w:rPr>
          <w:rStyle w:val="Emphasis"/>
        </w:rPr>
        <w:t xml:space="preserve"> that </w:t>
      </w:r>
      <w:r w:rsidRPr="00512C99">
        <w:rPr>
          <w:rStyle w:val="Emphasis"/>
          <w:highlight w:val="green"/>
        </w:rPr>
        <w:t>if its antecedent is true, its consequent is also true</w:t>
      </w:r>
      <w:r w:rsidRPr="00DB378E">
        <w:rPr>
          <w:rFonts w:cs="Calibri"/>
          <w:sz w:val="16"/>
          <w:szCs w:val="16"/>
        </w:rPr>
        <w:t xml:space="preserve">; </w:t>
      </w:r>
      <w:r w:rsidRPr="00512C99">
        <w:rPr>
          <w:rStyle w:val="Emphasis"/>
          <w:highlight w:val="green"/>
        </w:rPr>
        <w:t>any conditional with a tru</w:t>
      </w:r>
      <w:r>
        <w:rPr>
          <w:rStyle w:val="Emphasis"/>
          <w:highlight w:val="green"/>
        </w:rPr>
        <w:t xml:space="preserve">e </w:t>
      </w:r>
      <w:r w:rsidRPr="003E7A6A">
        <w:rPr>
          <w:rStyle w:val="Emphasis"/>
          <w:highlight w:val="green"/>
        </w:rPr>
        <w:t>antecedent and a false consequent must be false. For any</w:t>
      </w:r>
      <w:r w:rsidRPr="001E288D">
        <w:rPr>
          <w:rStyle w:val="StyleUnderline"/>
        </w:rPr>
        <w:t xml:space="preserve"> other combination of true and </w:t>
      </w:r>
      <w:r w:rsidRPr="001E288D">
        <w:rPr>
          <w:rStyle w:val="Emphasis"/>
          <w:highlight w:val="green"/>
        </w:rPr>
        <w:t>false antecedents</w:t>
      </w:r>
      <w:r w:rsidRPr="001E288D">
        <w:rPr>
          <w:rStyle w:val="StyleUnderline"/>
        </w:rPr>
        <w:t xml:space="preserve"> and consequents, </w:t>
      </w:r>
      <w:r w:rsidRPr="003E7A6A">
        <w:rPr>
          <w:rStyle w:val="Emphasis"/>
          <w:highlight w:val="green"/>
        </w:rPr>
        <w:t>the</w:t>
      </w:r>
      <w:r w:rsidRPr="00DB378E">
        <w:rPr>
          <w:rFonts w:cs="Calibri"/>
          <w:sz w:val="16"/>
          <w:szCs w:val="16"/>
        </w:rPr>
        <w:t xml:space="preserve"> conditional </w:t>
      </w:r>
      <w:r w:rsidRPr="003E7A6A">
        <w:rPr>
          <w:rStyle w:val="Emphasis"/>
          <w:highlight w:val="green"/>
        </w:rPr>
        <w:t>statement is true.</w:t>
      </w:r>
    </w:p>
    <w:bookmarkEnd w:id="0"/>
    <w:p w14:paraId="75249058" w14:textId="77777777" w:rsidR="00EA4825" w:rsidRDefault="00EA4825" w:rsidP="00EA4825">
      <w:pPr>
        <w:pStyle w:val="Heading4"/>
        <w:rPr>
          <w:rFonts w:cs="Calibri"/>
        </w:rPr>
      </w:pPr>
      <w:r>
        <w:rPr>
          <w:rFonts w:cs="Calibri"/>
        </w:rPr>
        <w:t xml:space="preserve">Implications- </w:t>
      </w:r>
    </w:p>
    <w:p w14:paraId="4E4CAA66" w14:textId="3AAC36B2" w:rsidR="00EC07A2" w:rsidRPr="00EC07A2" w:rsidRDefault="00075E6F" w:rsidP="00BB2ED4">
      <w:pPr>
        <w:pStyle w:val="Heading4"/>
      </w:pPr>
      <w:r>
        <w:t>[</w:t>
      </w:r>
      <w:r w:rsidR="00EC07A2">
        <w:t>4</w:t>
      </w:r>
      <w:r>
        <w:t xml:space="preserve">] </w:t>
      </w:r>
      <w:r w:rsidRPr="0050549B">
        <w:t xml:space="preserve">The neg may not read consequentialism </w:t>
      </w:r>
      <w:r>
        <w:t xml:space="preserve">– </w:t>
      </w:r>
    </w:p>
    <w:p w14:paraId="0D491E4B" w14:textId="7BBB1D4F" w:rsidR="00EC07A2" w:rsidRPr="00EC07A2" w:rsidRDefault="00075E6F" w:rsidP="00BB2ED4">
      <w:pPr>
        <w:pStyle w:val="Heading4"/>
      </w:pPr>
      <w:r>
        <w:t>[</w:t>
      </w:r>
      <w:r w:rsidR="00EC07A2">
        <w:t>5</w:t>
      </w:r>
      <w:r>
        <w:t xml:space="preserve">] Util justifies death good – </w:t>
      </w:r>
    </w:p>
    <w:p w14:paraId="7A30B13B" w14:textId="546046F3" w:rsidR="00EC07A2" w:rsidRPr="00EC07A2" w:rsidRDefault="00075E6F" w:rsidP="00BB2ED4">
      <w:pPr>
        <w:pStyle w:val="Heading4"/>
      </w:pPr>
      <w:r>
        <w:t>[</w:t>
      </w:r>
      <w:r w:rsidR="00EC07A2">
        <w:t>6</w:t>
      </w:r>
      <w:r>
        <w:t>]</w:t>
      </w:r>
      <w:r w:rsidRPr="005C1D6D">
        <w:t xml:space="preserve"> RVI on NC theory – </w:t>
      </w:r>
    </w:p>
    <w:p w14:paraId="6100CDEC" w14:textId="76E8CF84" w:rsidR="00EC07A2" w:rsidRDefault="00EC07A2" w:rsidP="00EC07A2"/>
    <w:p w14:paraId="5C6DF3A9" w14:textId="33C320AE" w:rsidR="00EC07A2" w:rsidRDefault="00EC07A2" w:rsidP="00EC07A2">
      <w:pPr>
        <w:pStyle w:val="Heading3"/>
      </w:pPr>
      <w:r>
        <w:t>Shell</w:t>
      </w:r>
    </w:p>
    <w:p w14:paraId="16F97900" w14:textId="6356EA0A" w:rsidR="00EC07A2" w:rsidRPr="00DF16F3" w:rsidRDefault="00BB2ED4" w:rsidP="00EC07A2">
      <w:pPr>
        <w:pStyle w:val="Heading4"/>
        <w:rPr>
          <w:rFonts w:cs="Calibri"/>
        </w:rPr>
      </w:pPr>
      <w:r>
        <w:t>1</w:t>
      </w:r>
      <w:r w:rsidR="00EC07A2">
        <w:t xml:space="preserve">] </w:t>
      </w:r>
      <w:r w:rsidR="00EC07A2" w:rsidRPr="009A0BAF">
        <w:rPr>
          <w:rFonts w:cs="Calibri"/>
        </w:rPr>
        <w:t>Interpretation: Debaters must disclose all constructive positions on open source</w:t>
      </w:r>
      <w:r w:rsidR="00EC07A2">
        <w:rPr>
          <w:rFonts w:cs="Calibri"/>
        </w:rPr>
        <w:t xml:space="preserve"> </w:t>
      </w:r>
      <w:r w:rsidR="00EC07A2">
        <w:t>in an accessible format</w:t>
      </w:r>
      <w:r w:rsidR="00EC07A2" w:rsidRPr="009A0BAF">
        <w:rPr>
          <w:rFonts w:cs="Calibri"/>
        </w:rPr>
        <w:t xml:space="preserve"> on the </w:t>
      </w:r>
      <w:r w:rsidR="00EC07A2">
        <w:rPr>
          <w:rFonts w:cs="Calibri"/>
        </w:rPr>
        <w:t>2020</w:t>
      </w:r>
      <w:r w:rsidR="00EC07A2" w:rsidRPr="009A0BAF">
        <w:rPr>
          <w:rFonts w:cs="Calibri"/>
        </w:rPr>
        <w:t>-</w:t>
      </w:r>
      <w:r w:rsidR="00EC07A2">
        <w:rPr>
          <w:rFonts w:cs="Calibri"/>
        </w:rPr>
        <w:t>2021</w:t>
      </w:r>
      <w:r w:rsidR="00EC07A2" w:rsidRPr="009A0BAF">
        <w:rPr>
          <w:rFonts w:cs="Calibri"/>
        </w:rPr>
        <w:t xml:space="preserve"> NDCA LD wiki after the round in which they read the</w:t>
      </w:r>
      <w:r w:rsidR="00EC07A2">
        <w:rPr>
          <w:rFonts w:cs="Calibri"/>
        </w:rPr>
        <w:t>m in conjunction with a highlighted version.</w:t>
      </w:r>
    </w:p>
    <w:p w14:paraId="7BA3AD28" w14:textId="35FC78D3" w:rsidR="00EC07A2" w:rsidRDefault="00BB2ED4" w:rsidP="00EC07A2">
      <w:pPr>
        <w:pStyle w:val="Heading4"/>
      </w:pPr>
      <w:r>
        <w:t>2</w:t>
      </w:r>
      <w:r w:rsidR="00EC07A2">
        <w:t>] Violation: They only disclose a copy of their documents with “cut” cards where they read the parts of evidence they have highlighted.</w:t>
      </w:r>
      <w:r>
        <w:t xml:space="preserve"> And they even said they would</w:t>
      </w:r>
    </w:p>
    <w:p w14:paraId="764E1FFA" w14:textId="77777777" w:rsidR="000902DC" w:rsidRDefault="00BB2ED4" w:rsidP="00BB2ED4">
      <w:r>
        <w:rPr>
          <w:noProof/>
        </w:rPr>
        <w:drawing>
          <wp:anchor distT="0" distB="0" distL="114300" distR="114300" simplePos="0" relativeHeight="251658240" behindDoc="0" locked="0" layoutInCell="1" allowOverlap="1" wp14:anchorId="175C9A46" wp14:editId="5D41C63B">
            <wp:simplePos x="0" y="0"/>
            <wp:positionH relativeFrom="column">
              <wp:align>left</wp:align>
            </wp:positionH>
            <wp:positionV relativeFrom="paragraph">
              <wp:align>top</wp:align>
            </wp:positionV>
            <wp:extent cx="5991225" cy="2228850"/>
            <wp:effectExtent l="0" t="0" r="9525" b="0"/>
            <wp:wrapSquare wrapText="bothSides"/>
            <wp:docPr id="1" name="Picture 1"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5991225" cy="2228850"/>
                    </a:xfrm>
                    <a:prstGeom prst="rect">
                      <a:avLst/>
                    </a:prstGeom>
                  </pic:spPr>
                </pic:pic>
              </a:graphicData>
            </a:graphic>
          </wp:anchor>
        </w:drawing>
      </w:r>
    </w:p>
    <w:p w14:paraId="283E2CD9" w14:textId="77777777" w:rsidR="000902DC" w:rsidRPr="000902DC" w:rsidRDefault="000902DC" w:rsidP="000902DC"/>
    <w:p w14:paraId="052260DD" w14:textId="77777777" w:rsidR="000902DC" w:rsidRPr="000902DC" w:rsidRDefault="000902DC" w:rsidP="000902DC"/>
    <w:p w14:paraId="532ABB0F" w14:textId="295715ED" w:rsidR="000902DC" w:rsidRDefault="000902DC" w:rsidP="000902DC">
      <w:pPr>
        <w:tabs>
          <w:tab w:val="left" w:pos="1020"/>
        </w:tabs>
      </w:pPr>
      <w:r>
        <w:tab/>
      </w:r>
    </w:p>
    <w:p w14:paraId="0EE00777" w14:textId="12EAC240" w:rsidR="00BB2ED4" w:rsidRPr="00BB2ED4" w:rsidRDefault="00BB2ED4" w:rsidP="00BB2ED4">
      <w:r>
        <w:br w:type="textWrapping" w:clear="all"/>
      </w:r>
    </w:p>
    <w:p w14:paraId="5136C9E9" w14:textId="77777777" w:rsidR="00EC07A2" w:rsidRPr="003B34AA" w:rsidRDefault="00EC07A2" w:rsidP="00EC07A2">
      <w:pPr>
        <w:pStyle w:val="Heading4"/>
      </w:pPr>
      <w:r>
        <w:t>Instructions are clearly given on my wiki as well as a demand for the formatting.</w:t>
      </w:r>
    </w:p>
    <w:p w14:paraId="3DECC0F1" w14:textId="77777777" w:rsidR="00EC07A2" w:rsidRDefault="00EC07A2" w:rsidP="00EC07A2">
      <w:pPr>
        <w:pStyle w:val="Heading4"/>
      </w:pPr>
      <w:r>
        <w:t>3</w:t>
      </w:r>
      <w:r w:rsidRPr="001D17C1">
        <w:t>] Standard: Accessibility</w:t>
      </w:r>
      <w:r>
        <w:t xml:space="preserve"> – </w:t>
      </w:r>
    </w:p>
    <w:p w14:paraId="3EB2BA76" w14:textId="77777777" w:rsidR="00EC07A2" w:rsidRDefault="00EC07A2" w:rsidP="00EC07A2">
      <w:pPr>
        <w:pStyle w:val="Heading4"/>
      </w:pPr>
      <w:r>
        <w:t xml:space="preserve">A] Digital magnification limits the amount of </w:t>
      </w:r>
      <w:proofErr w:type="gramStart"/>
      <w:r>
        <w:t>on screen</w:t>
      </w:r>
      <w:proofErr w:type="gramEnd"/>
      <w:r>
        <w:t xml:space="preserve"> text and requires copious amounts of horizontal and vertical scrolling making it difficult to track when not reading some text and simultaneously looking for the next highlighted section.</w:t>
      </w:r>
    </w:p>
    <w:p w14:paraId="69A823B2" w14:textId="77777777" w:rsidR="00EC07A2" w:rsidRDefault="00EC07A2" w:rsidP="00EC07A2">
      <w:pPr>
        <w:pStyle w:val="Heading4"/>
      </w:pPr>
      <w:r>
        <w:t xml:space="preserve">B] Screen reader users read documents audibly, but there is no way to read only the tags and highlighted parts due to their formatting.  </w:t>
      </w:r>
    </w:p>
    <w:p w14:paraId="726E53E7" w14:textId="77777777" w:rsidR="00EC07A2" w:rsidRDefault="00EC07A2" w:rsidP="00EC07A2">
      <w:pPr>
        <w:pStyle w:val="Heading4"/>
      </w:pPr>
      <w:r>
        <w:t xml:space="preserve">C] Their formatting is inaccessible for those with disabilities like me because the parts of evidence that are not being read distract them from the parts being read. </w:t>
      </w:r>
    </w:p>
    <w:p w14:paraId="0D95C8DF" w14:textId="77777777" w:rsidR="00EC07A2" w:rsidRDefault="00EC07A2" w:rsidP="00EC07A2">
      <w:pPr>
        <w:pStyle w:val="Heading4"/>
      </w:pPr>
      <w:r>
        <w:t>4] Paradigm issues:</w:t>
      </w:r>
    </w:p>
    <w:p w14:paraId="4647C18B" w14:textId="77777777" w:rsidR="00EC07A2" w:rsidRPr="00772C2C" w:rsidRDefault="00EC07A2" w:rsidP="00EC07A2">
      <w:pPr>
        <w:pStyle w:val="Heading4"/>
        <w:rPr>
          <w:rFonts w:cs="Calibri"/>
        </w:rPr>
      </w:pPr>
      <w:r w:rsidRPr="00772C2C">
        <w:rPr>
          <w:rFonts w:cs="Calibri"/>
        </w:rPr>
        <w:t xml:space="preserve">D] Voter: </w:t>
      </w:r>
    </w:p>
    <w:p w14:paraId="49D8C39E" w14:textId="77777777" w:rsidR="00EC07A2" w:rsidRDefault="00EC07A2" w:rsidP="00EC07A2">
      <w:pPr>
        <w:pStyle w:val="Heading4"/>
        <w:rPr>
          <w:rFonts w:cs="Calibri"/>
        </w:rPr>
      </w:pPr>
      <w:r>
        <w:rPr>
          <w:rFonts w:cs="Calibri"/>
        </w:rPr>
        <w:t>Inclusion is a voter – a) prior question - you have to be included to gain debates benefits b) impact multiplier – more the debaters who enter the space the more fair and educational rounds we can have.</w:t>
      </w:r>
    </w:p>
    <w:p w14:paraId="1BD5613D" w14:textId="77777777" w:rsidR="00EC07A2" w:rsidRPr="00772C2C" w:rsidRDefault="00EC07A2" w:rsidP="00EC07A2">
      <w:pPr>
        <w:pStyle w:val="Heading4"/>
        <w:rPr>
          <w:rFonts w:cs="Calibri"/>
        </w:rPr>
      </w:pPr>
      <w:r w:rsidRPr="00772C2C">
        <w:rPr>
          <w:rFonts w:cs="Calibri"/>
        </w:rPr>
        <w:t>Drop the debater – a)</w:t>
      </w:r>
      <w:r>
        <w:rPr>
          <w:rFonts w:cs="Calibri"/>
        </w:rPr>
        <w:t xml:space="preserve"> dropping the argument on formatting is incoherent because you are the norm</w:t>
      </w:r>
      <w:r w:rsidRPr="00772C2C">
        <w:rPr>
          <w:rFonts w:cs="Calibri"/>
        </w:rPr>
        <w:t xml:space="preserve"> b) it deters future abuse and sets a positive norm. </w:t>
      </w:r>
    </w:p>
    <w:p w14:paraId="640016A8" w14:textId="77777777" w:rsidR="00EC07A2" w:rsidRPr="00772C2C" w:rsidRDefault="00EC07A2" w:rsidP="00EC07A2">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w:t>
      </w:r>
      <w:r>
        <w:rPr>
          <w:rFonts w:cs="Calibri"/>
        </w:rPr>
        <w:t>allows able bodied</w:t>
      </w:r>
      <w:r w:rsidRPr="00772C2C">
        <w:rPr>
          <w:rFonts w:cs="Calibri"/>
        </w:rPr>
        <w:t xml:space="preserve"> judge</w:t>
      </w:r>
      <w:r>
        <w:rPr>
          <w:rFonts w:cs="Calibri"/>
        </w:rPr>
        <w:t>s</w:t>
      </w:r>
      <w:r w:rsidRPr="00772C2C">
        <w:rPr>
          <w:rFonts w:cs="Calibri"/>
        </w:rPr>
        <w:t xml:space="preserve"> </w:t>
      </w:r>
      <w:r>
        <w:rPr>
          <w:rFonts w:cs="Calibri"/>
        </w:rPr>
        <w:t>to intervene</w:t>
      </w:r>
      <w:r w:rsidRPr="00772C2C">
        <w:rPr>
          <w:rFonts w:cs="Calibri"/>
        </w:rPr>
        <w:t xml:space="preserve"> </w:t>
      </w:r>
      <w:r>
        <w:rPr>
          <w:rFonts w:cs="Calibri"/>
        </w:rPr>
        <w:t xml:space="preserve">to determine whether the </w:t>
      </w:r>
      <w:proofErr w:type="spellStart"/>
      <w:r>
        <w:rPr>
          <w:rFonts w:cs="Calibri"/>
        </w:rPr>
        <w:t>aff</w:t>
      </w:r>
      <w:proofErr w:type="spellEnd"/>
      <w:r>
        <w:rPr>
          <w:rFonts w:cs="Calibri"/>
        </w:rPr>
        <w:t xml:space="preserve"> was ableist or not</w:t>
      </w:r>
      <w:r w:rsidRPr="00772C2C">
        <w:rPr>
          <w:rFonts w:cs="Calibri"/>
        </w:rPr>
        <w:t xml:space="preserve"> </w:t>
      </w:r>
      <w:r>
        <w:rPr>
          <w:rFonts w:cs="Calibri"/>
        </w:rPr>
        <w:t>b) reasonability is incoherent – we posted a very reasonable step by step “how to” accessibly disclose which made it predictable. You don’t get to beat back the shell by making fake defensive excuses.</w:t>
      </w:r>
    </w:p>
    <w:p w14:paraId="72721F64" w14:textId="77777777" w:rsidR="00EC07A2" w:rsidRPr="00655DCA" w:rsidRDefault="00EC07A2" w:rsidP="00EC07A2">
      <w:pPr>
        <w:pStyle w:val="Heading4"/>
        <w:rPr>
          <w:rFonts w:cs="Calibri"/>
        </w:rPr>
      </w:pPr>
      <w:r w:rsidRPr="00772C2C">
        <w:rPr>
          <w:rFonts w:cs="Calibri"/>
        </w:rPr>
        <w:t>No RVIs</w:t>
      </w:r>
      <w:r>
        <w:rPr>
          <w:rFonts w:cs="Calibri"/>
        </w:rPr>
        <w:t xml:space="preserve"> against disabled debaters</w:t>
      </w:r>
      <w:r w:rsidRPr="00772C2C">
        <w:rPr>
          <w:rFonts w:cs="Calibri"/>
        </w:rPr>
        <w:t xml:space="preserve"> – a) </w:t>
      </w:r>
      <w:r w:rsidRPr="00F226C8">
        <w:t>RVIs</w:t>
      </w:r>
      <w:r>
        <w:t xml:space="preserve"> are</w:t>
      </w:r>
      <w:r w:rsidRPr="00F226C8">
        <w:t xml:space="preserve"> a form of </w:t>
      </w:r>
      <w:r>
        <w:t>abled shiftiness</w:t>
      </w:r>
      <w:r w:rsidRPr="00F226C8">
        <w:t xml:space="preserve">, you shouldn’t win because </w:t>
      </w:r>
      <w:r>
        <w:t>we made a mistake</w:t>
      </w:r>
      <w:r w:rsidRPr="00F226C8">
        <w:t xml:space="preserve"> which reproduces cancellation politics of harshly punishing </w:t>
      </w:r>
      <w:r>
        <w:t>disabled</w:t>
      </w:r>
      <w:r w:rsidRPr="00F226C8">
        <w:t xml:space="preserve"> </w:t>
      </w:r>
      <w:r>
        <w:t>folk for not meeting able bodied standards</w:t>
      </w:r>
      <w:r w:rsidRPr="00772C2C">
        <w:rPr>
          <w:rFonts w:cs="Calibri"/>
        </w:rPr>
        <w:t xml:space="preserve"> b) </w:t>
      </w:r>
      <w:r>
        <w:rPr>
          <w:rFonts w:cs="Calibri"/>
        </w:rPr>
        <w:t>accessibility</w:t>
      </w:r>
      <w:r w:rsidRPr="00772C2C">
        <w:rPr>
          <w:rFonts w:cs="Calibri"/>
        </w:rPr>
        <w:t xml:space="preserve"> – I can’t concede the </w:t>
      </w:r>
      <w:proofErr w:type="spellStart"/>
      <w:r w:rsidRPr="00772C2C">
        <w:rPr>
          <w:rFonts w:cs="Calibri"/>
        </w:rPr>
        <w:t>counterinterp</w:t>
      </w:r>
      <w:proofErr w:type="spellEnd"/>
      <w:r w:rsidRPr="00772C2C">
        <w:rPr>
          <w:rFonts w:cs="Calibri"/>
        </w:rPr>
        <w:t xml:space="preserve"> if I realize I’m wrong which forces me to argue for </w:t>
      </w:r>
      <w:r>
        <w:rPr>
          <w:rFonts w:cs="Calibri"/>
        </w:rPr>
        <w:t>ableist norms.</w:t>
      </w:r>
    </w:p>
    <w:p w14:paraId="31F4CA16" w14:textId="0C8EBDCF" w:rsidR="00EC07A2" w:rsidRDefault="00EC07A2" w:rsidP="00EC07A2"/>
    <w:p w14:paraId="5B146665" w14:textId="22F63AC6" w:rsidR="00EA4825" w:rsidRDefault="00EA4825" w:rsidP="00EA4825">
      <w:pPr>
        <w:pStyle w:val="Heading1"/>
      </w:pPr>
      <w:r>
        <w:t>Accessibility Formatting</w:t>
      </w:r>
    </w:p>
    <w:p w14:paraId="5B39948C" w14:textId="4B0497CD" w:rsidR="00EA4825" w:rsidRDefault="00EA4825" w:rsidP="00EA4825"/>
    <w:p w14:paraId="729F52F3" w14:textId="77777777" w:rsidR="00EA4825" w:rsidRPr="008D79F2" w:rsidRDefault="00EA4825" w:rsidP="00EA4825">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653E2DBC" w14:textId="77777777" w:rsidR="00EA4825" w:rsidRDefault="00EA4825" w:rsidP="00EA4825"/>
    <w:p w14:paraId="1D6D7012" w14:textId="77777777" w:rsidR="00EA4825" w:rsidRPr="00961E6A" w:rsidRDefault="00EA4825" w:rsidP="00EA4825">
      <w:r>
        <w:t xml:space="preserve">A patent a claim over a law of nature it is nature that copper in this configuration makes a battery suppose </w:t>
      </w:r>
      <w:proofErr w:type="spellStart"/>
      <w:r>
        <w:t>sabre</w:t>
      </w:r>
      <w:proofErr w:type="spellEnd"/>
      <w:r>
        <w:t xml:space="preserve">-tooth tigers are approaching you only hope is a device </w:t>
      </w:r>
      <w:proofErr w:type="spellStart"/>
      <w:r>
        <w:t>ive</w:t>
      </w:r>
      <w:proofErr w:type="spellEnd"/>
      <w:r>
        <w:t xml:space="preserve"> patented my device thus you </w:t>
      </w:r>
      <w:proofErr w:type="spellStart"/>
      <w:proofErr w:type="gramStart"/>
      <w:r>
        <w:t>cant</w:t>
      </w:r>
      <w:proofErr w:type="spellEnd"/>
      <w:proofErr w:type="gramEnd"/>
      <w:r>
        <w:t xml:space="preserve"> construct without my property you are not </w:t>
      </w:r>
      <w:r w:rsidRPr="00961E6A">
        <w:t>highlights the moral problem with the notion of intellectual property. By claiming a patent on my levitation device, I'm saying that you are not permitted to use your own knowledge to further your ends</w:t>
      </w:r>
    </w:p>
    <w:p w14:paraId="0A71362A" w14:textId="77777777" w:rsidR="00EA4825" w:rsidRDefault="00EA4825" w:rsidP="00EA4825"/>
    <w:p w14:paraId="343791A5" w14:textId="77777777" w:rsidR="00EA4825" w:rsidRPr="008D79F2" w:rsidRDefault="00EA4825" w:rsidP="00EA4825">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52DB3D1C" w14:textId="77777777" w:rsidR="00EA4825" w:rsidRDefault="00EA4825" w:rsidP="00EA4825">
      <w:r>
        <w:t xml:space="preserve">Property must not interfere with the freedom of fellow citizens death is the ultimate restraint on </w:t>
      </w:r>
      <w:proofErr w:type="spellStart"/>
      <w:r>
        <w:t>autnomoy</w:t>
      </w:r>
      <w:proofErr w:type="spellEnd"/>
      <w:r>
        <w:t xml:space="preserve">;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3FC430AA" w14:textId="77777777" w:rsidR="00EA4825" w:rsidRDefault="00EA4825" w:rsidP="00EA4825"/>
    <w:p w14:paraId="648BCD43" w14:textId="77777777" w:rsidR="00EA4825" w:rsidRDefault="00EA4825" w:rsidP="00EA4825">
      <w:pPr>
        <w:pStyle w:val="Heading4"/>
      </w:pPr>
      <w:r>
        <w:t>[3] Practices are assumed to exist for the purposes of discussion. However, denying the assumptions behind statements just proves them valid. The only time the statement is invalid is when the consequent is false.</w:t>
      </w:r>
    </w:p>
    <w:p w14:paraId="624E6592" w14:textId="77777777" w:rsidR="00EA4825" w:rsidRPr="00961E6A" w:rsidRDefault="00EA4825" w:rsidP="00EA4825"/>
    <w:p w14:paraId="749B70E5" w14:textId="77777777" w:rsidR="00EA4825" w:rsidRPr="00B55AD5" w:rsidRDefault="00EA4825" w:rsidP="00EA4825">
      <w:r>
        <w:t xml:space="preserve">In a conditional if </w:t>
      </w:r>
      <w:proofErr w:type="spellStart"/>
      <w:proofErr w:type="gramStart"/>
      <w:r>
        <w:t>it</w:t>
      </w:r>
      <w:proofErr w:type="gramEnd"/>
      <w:r>
        <w:t xml:space="preserve"> s</w:t>
      </w:r>
      <w:proofErr w:type="spellEnd"/>
      <w:r>
        <w:t xml:space="preserve"> antecedent is true its consequent is also true any conditional with a true antecedent and a false consequent must be false. For any false antecedents the statement is true</w:t>
      </w:r>
    </w:p>
    <w:p w14:paraId="0A405E41" w14:textId="77777777" w:rsidR="00EA4825" w:rsidRPr="00EA4825" w:rsidRDefault="00EA4825" w:rsidP="00EA4825"/>
    <w:p w14:paraId="7D0E7A59" w14:textId="77777777" w:rsidR="00EA4825" w:rsidRPr="00EA4825" w:rsidRDefault="00EA4825" w:rsidP="00EA4825"/>
    <w:p w14:paraId="3A964D0D" w14:textId="77777777" w:rsidR="00075E6F" w:rsidRPr="00075E6F" w:rsidRDefault="00075E6F" w:rsidP="00075E6F"/>
    <w:sectPr w:rsidR="00075E6F" w:rsidRPr="00075E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EDEF1" w14:textId="77777777" w:rsidR="00033341" w:rsidRDefault="00033341" w:rsidP="00075E6F">
      <w:pPr>
        <w:spacing w:after="0" w:line="240" w:lineRule="auto"/>
      </w:pPr>
      <w:r>
        <w:separator/>
      </w:r>
    </w:p>
  </w:endnote>
  <w:endnote w:type="continuationSeparator" w:id="0">
    <w:p w14:paraId="2D11DD27" w14:textId="77777777" w:rsidR="00033341" w:rsidRDefault="00033341" w:rsidP="00075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7A18E" w14:textId="77777777" w:rsidR="00033341" w:rsidRDefault="00033341" w:rsidP="00075E6F">
      <w:pPr>
        <w:spacing w:after="0" w:line="240" w:lineRule="auto"/>
      </w:pPr>
      <w:r>
        <w:separator/>
      </w:r>
    </w:p>
  </w:footnote>
  <w:footnote w:type="continuationSeparator" w:id="0">
    <w:p w14:paraId="03C11961" w14:textId="77777777" w:rsidR="00033341" w:rsidRDefault="00033341" w:rsidP="00075E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96698472"/>
    <w:docVar w:name="VerbatimVersion" w:val="5.1"/>
  </w:docVars>
  <w:rsids>
    <w:rsidRoot w:val="00142084"/>
    <w:rsid w:val="000139A3"/>
    <w:rsid w:val="00033341"/>
    <w:rsid w:val="00075E6F"/>
    <w:rsid w:val="000902DC"/>
    <w:rsid w:val="000E0007"/>
    <w:rsid w:val="00100833"/>
    <w:rsid w:val="00104529"/>
    <w:rsid w:val="00105942"/>
    <w:rsid w:val="00107396"/>
    <w:rsid w:val="0014208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33B9"/>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2ED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825"/>
    <w:rsid w:val="00EC07A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626A6"/>
  <w15:chartTrackingRefBased/>
  <w15:docId w15:val="{3577BBF1-6235-4EF3-B921-362EC4D2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4825"/>
    <w:rPr>
      <w:rFonts w:ascii="Calibri" w:hAnsi="Calibri"/>
    </w:rPr>
  </w:style>
  <w:style w:type="paragraph" w:styleId="Heading1">
    <w:name w:val="heading 1"/>
    <w:aliases w:val="Pocket"/>
    <w:basedOn w:val="Normal"/>
    <w:next w:val="Normal"/>
    <w:link w:val="Heading1Char"/>
    <w:qFormat/>
    <w:rsid w:val="00EA48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48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48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EA48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48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825"/>
  </w:style>
  <w:style w:type="character" w:customStyle="1" w:styleId="Heading1Char">
    <w:name w:val="Heading 1 Char"/>
    <w:aliases w:val="Pocket Char"/>
    <w:basedOn w:val="DefaultParagraphFont"/>
    <w:link w:val="Heading1"/>
    <w:rsid w:val="00EA48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48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482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EA482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EA482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482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A4825"/>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Card"/>
    <w:uiPriority w:val="99"/>
    <w:unhideWhenUsed/>
    <w:rsid w:val="00EA4825"/>
    <w:rPr>
      <w:color w:val="auto"/>
      <w:u w:val="none"/>
    </w:rPr>
  </w:style>
  <w:style w:type="character" w:styleId="FollowedHyperlink">
    <w:name w:val="FollowedHyperlink"/>
    <w:basedOn w:val="DefaultParagraphFont"/>
    <w:uiPriority w:val="99"/>
    <w:semiHidden/>
    <w:unhideWhenUsed/>
    <w:rsid w:val="00EA4825"/>
    <w:rPr>
      <w:color w:val="auto"/>
      <w:u w:val="none"/>
    </w:rPr>
  </w:style>
  <w:style w:type="paragraph" w:customStyle="1" w:styleId="textbold">
    <w:name w:val="text bold"/>
    <w:basedOn w:val="Normal"/>
    <w:link w:val="Emphasis"/>
    <w:uiPriority w:val="7"/>
    <w:qFormat/>
    <w:rsid w:val="00075E6F"/>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75E6F"/>
    <w:rPr>
      <w:vertAlign w:val="superscript"/>
    </w:rPr>
  </w:style>
  <w:style w:type="paragraph" w:styleId="FootnoteText">
    <w:name w:val="footnote text"/>
    <w:basedOn w:val="Normal"/>
    <w:link w:val="FootnoteTextChar"/>
    <w:uiPriority w:val="99"/>
    <w:unhideWhenUsed/>
    <w:qFormat/>
    <w:rsid w:val="00075E6F"/>
    <w:rPr>
      <w:szCs w:val="20"/>
    </w:rPr>
  </w:style>
  <w:style w:type="character" w:customStyle="1" w:styleId="FootnoteTextChar">
    <w:name w:val="Footnote Text Char"/>
    <w:basedOn w:val="DefaultParagraphFont"/>
    <w:link w:val="FootnoteText"/>
    <w:uiPriority w:val="99"/>
    <w:rsid w:val="00075E6F"/>
    <w:rPr>
      <w:rFonts w:ascii="Calibri" w:hAnsi="Calibri"/>
      <w:szCs w:val="20"/>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075E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115</TotalTime>
  <Pages>1</Pages>
  <Words>1877</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2021-09-18T17:08:00Z</dcterms:created>
  <dcterms:modified xsi:type="dcterms:W3CDTF">2021-10-13T02:04:00Z</dcterms:modified>
</cp:coreProperties>
</file>