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6D177" w14:textId="6BF7FEB3" w:rsidR="0096414A" w:rsidRDefault="0096414A" w:rsidP="0096414A">
      <w:pPr>
        <w:pStyle w:val="Heading1"/>
      </w:pPr>
      <w:r>
        <w:t xml:space="preserve">1AC vs Lake Highland </w:t>
      </w:r>
      <w:r w:rsidR="007F75AF">
        <w:t>AV</w:t>
      </w:r>
    </w:p>
    <w:p w14:paraId="291E76C2" w14:textId="76D2AC39" w:rsidR="0096414A" w:rsidRDefault="0096414A" w:rsidP="0096414A">
      <w:pPr>
        <w:pStyle w:val="Heading2"/>
      </w:pPr>
      <w:r>
        <w:t>R6</w:t>
      </w:r>
    </w:p>
    <w:p w14:paraId="10BEB09E" w14:textId="77777777" w:rsidR="0096414A" w:rsidRPr="00A251D5" w:rsidRDefault="0096414A" w:rsidP="0096414A">
      <w:pPr>
        <w:pStyle w:val="Heading3"/>
      </w:pPr>
      <w:r>
        <w:t>1AC</w:t>
      </w:r>
    </w:p>
    <w:p w14:paraId="7E8A6374" w14:textId="77777777" w:rsidR="0096414A" w:rsidRDefault="0096414A" w:rsidP="0096414A">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E1652FA" w14:textId="77777777" w:rsidR="0096414A" w:rsidRDefault="0096414A" w:rsidP="0096414A">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597A01C8" w14:textId="77777777" w:rsidR="0096414A" w:rsidRDefault="0096414A" w:rsidP="0096414A">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38A34201" w14:textId="77777777" w:rsidR="0096414A" w:rsidRDefault="0096414A" w:rsidP="0096414A">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6A27ECDD" w14:textId="77777777" w:rsidR="0096414A" w:rsidRDefault="0096414A" w:rsidP="0096414A">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18B6C596" w14:textId="77777777" w:rsidR="0096414A" w:rsidRDefault="0096414A" w:rsidP="0096414A">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36C6C32A" w14:textId="77777777" w:rsidR="0096414A" w:rsidRDefault="0096414A" w:rsidP="0096414A">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239FA87" w14:textId="77777777" w:rsidR="0096414A" w:rsidRDefault="0096414A" w:rsidP="0096414A">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054CBF79" w14:textId="77777777" w:rsidR="0096414A" w:rsidRDefault="0096414A" w:rsidP="0096414A">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6C5A41CC" w14:textId="77777777" w:rsidR="0096414A" w:rsidRDefault="0096414A" w:rsidP="0096414A">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5D9B32D3" w14:textId="77777777" w:rsidR="0096414A" w:rsidRDefault="0096414A" w:rsidP="0096414A">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25F99FCC" w14:textId="77777777" w:rsidR="0096414A" w:rsidRDefault="0096414A" w:rsidP="0096414A">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74741219" w14:textId="77777777" w:rsidR="0096414A" w:rsidRDefault="0096414A" w:rsidP="0096414A">
      <w:pPr>
        <w:pStyle w:val="Heading4"/>
      </w:pPr>
      <w:r>
        <w:t>Disability controls proximate cause to and explains all other violence – treating those as inferior is only justifiable through the guise of disability.</w:t>
      </w:r>
    </w:p>
    <w:p w14:paraId="23E743BE" w14:textId="77777777" w:rsidR="0096414A" w:rsidRDefault="0096414A" w:rsidP="0096414A">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A1E90D5" w14:textId="77777777" w:rsidR="0096414A" w:rsidRDefault="0096414A" w:rsidP="0096414A">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01A74028" w14:textId="77777777" w:rsidR="0096414A" w:rsidRDefault="0096414A" w:rsidP="0096414A">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0854ECEA" w14:textId="77777777" w:rsidR="0096414A" w:rsidRDefault="0096414A" w:rsidP="0096414A">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3D119132" w14:textId="77777777" w:rsidR="0096414A" w:rsidRDefault="0096414A" w:rsidP="0096414A">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65FBF561" w14:textId="77777777" w:rsidR="0096414A" w:rsidRDefault="0096414A" w:rsidP="0096414A">
      <w:pPr>
        <w:pStyle w:val="Heading4"/>
      </w:pPr>
      <w:r>
        <w:t>Exclusionary conceptions of topical correctness are violent.</w:t>
      </w:r>
    </w:p>
    <w:p w14:paraId="0E01740A" w14:textId="77777777" w:rsidR="0096414A" w:rsidRDefault="0096414A" w:rsidP="0096414A">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68CD6964" w14:textId="77777777" w:rsidR="0096414A" w:rsidRDefault="0096414A" w:rsidP="0096414A">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2B50FF4A" w14:textId="77777777" w:rsidR="0096414A" w:rsidRDefault="0096414A" w:rsidP="0096414A">
      <w:pPr>
        <w:pStyle w:val="Heading4"/>
      </w:pPr>
      <w:r>
        <w:t>Pluralism is good.</w:t>
      </w:r>
    </w:p>
    <w:p w14:paraId="5D5E8B2E" w14:textId="77777777" w:rsidR="0096414A" w:rsidRDefault="0096414A" w:rsidP="0096414A">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F0E40A0" w14:textId="77777777" w:rsidR="0096414A" w:rsidRPr="001879A6" w:rsidRDefault="0096414A" w:rsidP="0096414A">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30D1F698" w14:textId="77777777" w:rsidR="0096414A" w:rsidRDefault="0096414A" w:rsidP="0096414A">
      <w:pPr>
        <w:pStyle w:val="Heading4"/>
        <w:rPr>
          <w:sz w:val="8"/>
        </w:rPr>
      </w:pPr>
      <w:r>
        <w:t>Notions of competitive equity marginalize the out group and retrench power structures.</w:t>
      </w:r>
    </w:p>
    <w:p w14:paraId="01EDEF1A" w14:textId="77777777" w:rsidR="0096414A" w:rsidRDefault="0096414A" w:rsidP="0096414A">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1FFA6FAB" w14:textId="77777777" w:rsidR="0096414A" w:rsidRDefault="0096414A" w:rsidP="0096414A">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659AC7F1" w14:textId="77777777" w:rsidR="0096414A" w:rsidRDefault="0096414A" w:rsidP="0096414A">
      <w:pPr>
        <w:pStyle w:val="Heading4"/>
      </w:pPr>
      <w:r>
        <w:t>The 1AC method is compatible with a form of conspiratorial communism – it’s the only solution to neoliberalism.</w:t>
      </w:r>
    </w:p>
    <w:p w14:paraId="7DF54AB4" w14:textId="77777777" w:rsidR="0096414A" w:rsidRDefault="0096414A" w:rsidP="0096414A">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463FD9A5" w14:textId="77777777" w:rsidR="0096414A" w:rsidRPr="001879A6" w:rsidRDefault="0096414A" w:rsidP="0096414A">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1A8D6B55" w14:textId="77777777" w:rsidR="0096414A" w:rsidRDefault="0096414A" w:rsidP="0096414A">
      <w:pPr>
        <w:pStyle w:val="Heading4"/>
      </w:pPr>
      <w:r>
        <w:t>Theory forces people to jump through hoops than engage discussions of oppression</w:t>
      </w:r>
    </w:p>
    <w:p w14:paraId="3E5B4DEE" w14:textId="77777777" w:rsidR="0096414A" w:rsidRDefault="0096414A" w:rsidP="0096414A">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4FC98A30" w14:textId="77777777" w:rsidR="0096414A" w:rsidRDefault="0096414A" w:rsidP="0096414A">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01C72E68" w14:textId="77777777" w:rsidR="0096414A" w:rsidRDefault="0096414A" w:rsidP="0096414A">
      <w:pPr>
        <w:keepNext/>
        <w:keepLines/>
        <w:spacing w:before="40" w:after="0"/>
        <w:outlineLvl w:val="3"/>
        <w:rPr>
          <w:rFonts w:eastAsia="MS Gothic" w:cs="Times New Roman"/>
          <w:b/>
          <w:iCs/>
          <w:color w:val="000000"/>
          <w:sz w:val="26"/>
        </w:rPr>
      </w:pPr>
      <w:r>
        <w:rPr>
          <w:rFonts w:eastAsia="MS Gothic" w:cs="Times New Roman"/>
          <w:b/>
          <w:iCs/>
          <w:color w:val="000000"/>
          <w:sz w:val="26"/>
        </w:rPr>
        <w:t xml:space="preserve">Discussions of how we are not topical always privilege elitism in debate  </w:t>
      </w:r>
    </w:p>
    <w:p w14:paraId="514BEC86" w14:textId="77777777" w:rsidR="0096414A" w:rsidRDefault="0096414A" w:rsidP="0096414A">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68BDB8FB" w14:textId="77777777" w:rsidR="0096414A" w:rsidRDefault="0096414A" w:rsidP="0096414A">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516E6008" w14:textId="77777777" w:rsidR="0096414A" w:rsidRDefault="0096414A" w:rsidP="0096414A">
      <w:pPr>
        <w:pStyle w:val="Heading4"/>
      </w:pPr>
      <w:r>
        <w:t>Disability controls proximate cause to justification of class-based inequality – monstrosity through disgust and dehumanization explains justification for exploitation and enforcing superiority over the working class.</w:t>
      </w:r>
    </w:p>
    <w:p w14:paraId="1266ED7F" w14:textId="77777777" w:rsidR="0096414A" w:rsidRPr="00B15E97" w:rsidRDefault="0096414A" w:rsidP="0096414A">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11B1EBC5" w14:textId="77777777" w:rsidR="0096414A" w:rsidRPr="00EC1D45" w:rsidRDefault="0096414A" w:rsidP="0096414A">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71AE94BE" w14:textId="77777777" w:rsidR="0096414A" w:rsidRPr="006948C8" w:rsidRDefault="0096414A" w:rsidP="0096414A">
      <w:pPr>
        <w:pStyle w:val="Heading4"/>
        <w:rPr>
          <w:rFonts w:cs="Calibri"/>
        </w:rPr>
      </w:pPr>
      <w:bookmarkStart w:id="2" w:name="_Hlk92408398"/>
      <w:r w:rsidRPr="006948C8">
        <w:rPr>
          <w:rFonts w:cs="Calibri"/>
        </w:rPr>
        <w:t>Psychoanalysis is both falsifiable and accurate – studies prove.</w:t>
      </w:r>
    </w:p>
    <w:p w14:paraId="518D355C" w14:textId="77777777" w:rsidR="0096414A" w:rsidRPr="006948C8" w:rsidRDefault="0096414A" w:rsidP="0096414A">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076400FE" w14:textId="78B9F04C" w:rsidR="0096414A" w:rsidRDefault="0096414A" w:rsidP="0096414A">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p w14:paraId="10448FC5" w14:textId="601464EC" w:rsidR="00852104" w:rsidRDefault="00852104" w:rsidP="0096414A">
      <w:pPr>
        <w:rPr>
          <w:sz w:val="16"/>
        </w:rPr>
      </w:pPr>
    </w:p>
    <w:p w14:paraId="42C8AF93" w14:textId="77777777" w:rsidR="000F6218" w:rsidRPr="000F6218" w:rsidRDefault="000F6218" w:rsidP="000F6218"/>
    <w:sectPr w:rsidR="000F6218" w:rsidRPr="000F62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83548E"/>
    <w:multiLevelType w:val="hybridMultilevel"/>
    <w:tmpl w:val="F4B0B380"/>
    <w:lvl w:ilvl="0" w:tplc="C232772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1516472"/>
    <w:docVar w:name="VerbatimVersion" w:val="5.1"/>
  </w:docVars>
  <w:rsids>
    <w:rsidRoot w:val="0096414A"/>
    <w:rsid w:val="000139A3"/>
    <w:rsid w:val="000E0007"/>
    <w:rsid w:val="000F107A"/>
    <w:rsid w:val="000F6218"/>
    <w:rsid w:val="00100833"/>
    <w:rsid w:val="00104529"/>
    <w:rsid w:val="00105942"/>
    <w:rsid w:val="00107396"/>
    <w:rsid w:val="00144A4C"/>
    <w:rsid w:val="00176AB0"/>
    <w:rsid w:val="00177B7D"/>
    <w:rsid w:val="0018322D"/>
    <w:rsid w:val="001B5776"/>
    <w:rsid w:val="001E527A"/>
    <w:rsid w:val="001F78CE"/>
    <w:rsid w:val="002357CA"/>
    <w:rsid w:val="00251FC7"/>
    <w:rsid w:val="002855A7"/>
    <w:rsid w:val="002B146A"/>
    <w:rsid w:val="002B5E17"/>
    <w:rsid w:val="00315690"/>
    <w:rsid w:val="00316B75"/>
    <w:rsid w:val="00325646"/>
    <w:rsid w:val="003460F2"/>
    <w:rsid w:val="0038158C"/>
    <w:rsid w:val="003902BA"/>
    <w:rsid w:val="003A09E2"/>
    <w:rsid w:val="00407037"/>
    <w:rsid w:val="004605D6"/>
    <w:rsid w:val="0049271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2965"/>
    <w:rsid w:val="007A2226"/>
    <w:rsid w:val="007F5B66"/>
    <w:rsid w:val="007F75AF"/>
    <w:rsid w:val="00823A1C"/>
    <w:rsid w:val="00845B9D"/>
    <w:rsid w:val="00852104"/>
    <w:rsid w:val="00860984"/>
    <w:rsid w:val="008B3ECB"/>
    <w:rsid w:val="008B4E85"/>
    <w:rsid w:val="008C1B2E"/>
    <w:rsid w:val="0091627E"/>
    <w:rsid w:val="0096414A"/>
    <w:rsid w:val="0097032B"/>
    <w:rsid w:val="009D2EAD"/>
    <w:rsid w:val="009D4F8A"/>
    <w:rsid w:val="009D54B2"/>
    <w:rsid w:val="009E1922"/>
    <w:rsid w:val="009F7ED2"/>
    <w:rsid w:val="00A93661"/>
    <w:rsid w:val="00A95652"/>
    <w:rsid w:val="00AC0AB8"/>
    <w:rsid w:val="00B21BC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58FC"/>
    <w:rsid w:val="00E15E75"/>
    <w:rsid w:val="00E5262C"/>
    <w:rsid w:val="00E77CA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B00F"/>
  <w15:chartTrackingRefBased/>
  <w15:docId w15:val="{6C76A393-1D09-4EC3-BBC3-2C02438A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1BC5"/>
    <w:rPr>
      <w:rFonts w:ascii="Calibri" w:hAnsi="Calibri"/>
    </w:rPr>
  </w:style>
  <w:style w:type="paragraph" w:styleId="Heading1">
    <w:name w:val="heading 1"/>
    <w:aliases w:val="Pocket"/>
    <w:basedOn w:val="Normal"/>
    <w:next w:val="Normal"/>
    <w:link w:val="Heading1Char"/>
    <w:qFormat/>
    <w:rsid w:val="00B21B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1B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1B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21B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1B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BC5"/>
  </w:style>
  <w:style w:type="character" w:customStyle="1" w:styleId="Heading1Char">
    <w:name w:val="Heading 1 Char"/>
    <w:aliases w:val="Pocket Char"/>
    <w:basedOn w:val="DefaultParagraphFont"/>
    <w:link w:val="Heading1"/>
    <w:rsid w:val="00B21B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1B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1BC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21BC5"/>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B21BC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21BC5"/>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B21BC5"/>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link w:val="Card"/>
    <w:uiPriority w:val="99"/>
    <w:unhideWhenUsed/>
    <w:rsid w:val="00B21BC5"/>
    <w:rPr>
      <w:color w:val="auto"/>
      <w:u w:val="none"/>
    </w:rPr>
  </w:style>
  <w:style w:type="character" w:styleId="FollowedHyperlink">
    <w:name w:val="FollowedHyperlink"/>
    <w:basedOn w:val="DefaultParagraphFont"/>
    <w:uiPriority w:val="99"/>
    <w:semiHidden/>
    <w:unhideWhenUsed/>
    <w:rsid w:val="00B21BC5"/>
    <w:rPr>
      <w:color w:val="auto"/>
      <w:u w:val="none"/>
    </w:rPr>
  </w:style>
  <w:style w:type="paragraph" w:customStyle="1" w:styleId="textbold">
    <w:name w:val="text bold"/>
    <w:basedOn w:val="Normal"/>
    <w:link w:val="Emphasis"/>
    <w:uiPriority w:val="7"/>
    <w:qFormat/>
    <w:rsid w:val="0096414A"/>
    <w:pPr>
      <w:spacing w:after="0" w:line="240" w:lineRule="auto"/>
      <w:ind w:left="720"/>
      <w:jc w:val="both"/>
    </w:pPr>
    <w:rPr>
      <w:b/>
      <w:iCs/>
      <w:u w:val="single"/>
    </w:rPr>
  </w:style>
  <w:style w:type="character" w:customStyle="1" w:styleId="SmalltextChar">
    <w:name w:val="Small text Char"/>
    <w:aliases w:val="Quote Char,Quote1 Char1"/>
    <w:link w:val="Smalltext"/>
    <w:locked/>
    <w:rsid w:val="0096414A"/>
    <w:rPr>
      <w:rFonts w:ascii="Calibri" w:eastAsia="Calibri" w:hAnsi="Calibri" w:cs="Calibri"/>
      <w:sz w:val="14"/>
    </w:rPr>
  </w:style>
  <w:style w:type="paragraph" w:customStyle="1" w:styleId="Smalltext">
    <w:name w:val="Small text"/>
    <w:aliases w:val="Quote1,Quote11"/>
    <w:basedOn w:val="Normal"/>
    <w:link w:val="SmalltextChar"/>
    <w:qFormat/>
    <w:rsid w:val="0096414A"/>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96414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9D4F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Pages>
  <Words>8996</Words>
  <Characters>51279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2022-01-08T21:03:00Z</dcterms:created>
  <dcterms:modified xsi:type="dcterms:W3CDTF">2022-01-28T05:45:00Z</dcterms:modified>
</cp:coreProperties>
</file>