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8CBE4" w14:textId="2C6EB6CA" w:rsidR="00A95652" w:rsidRDefault="00AA61D6" w:rsidP="00AA61D6">
      <w:pPr>
        <w:pStyle w:val="Heading1"/>
      </w:pPr>
      <w:r>
        <w:t>1AC vs Strake Jesuit EP</w:t>
      </w:r>
    </w:p>
    <w:p w14:paraId="65F2EF23" w14:textId="33CD01E2" w:rsidR="00AA61D6" w:rsidRDefault="00AA61D6" w:rsidP="00AA61D6"/>
    <w:p w14:paraId="0316D06F" w14:textId="77777777" w:rsidR="00AA61D6" w:rsidRPr="009802CC" w:rsidRDefault="00AA61D6" w:rsidP="00AA61D6">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1D46D29F" w14:textId="77777777" w:rsidR="00AA61D6" w:rsidRDefault="00AA61D6" w:rsidP="00AA61D6">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410ADC41" w14:textId="77777777" w:rsidR="00AA61D6" w:rsidRPr="00BC404C" w:rsidRDefault="00AA61D6" w:rsidP="00AA61D6">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58B086D3" w14:textId="77777777" w:rsidR="00AA61D6" w:rsidRPr="0004302C" w:rsidRDefault="00AA61D6" w:rsidP="00AA61D6">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073124FF" w14:textId="77777777" w:rsidR="00AA61D6" w:rsidRPr="009802CC" w:rsidRDefault="00AA61D6" w:rsidP="00AA61D6">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03650409" w14:textId="77777777" w:rsidR="00AA61D6" w:rsidRPr="002E3A75" w:rsidRDefault="00AA61D6" w:rsidP="00AA61D6">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555885FD" w14:textId="77777777" w:rsidR="00AA61D6" w:rsidRPr="00CF49AE" w:rsidRDefault="00AA61D6" w:rsidP="00AA61D6">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40192802" w14:textId="77777777" w:rsidR="00AA61D6" w:rsidRPr="009802CC" w:rsidRDefault="00AA61D6" w:rsidP="00AA61D6">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20209A30" w14:textId="77777777" w:rsidR="00AA61D6" w:rsidRPr="009802CC" w:rsidRDefault="00AA61D6" w:rsidP="00AA61D6">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1DC7E587" w14:textId="77777777" w:rsidR="00AA61D6" w:rsidRDefault="00AA61D6" w:rsidP="00AA61D6">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18BD2777" w14:textId="77777777" w:rsidR="00AA61D6" w:rsidRPr="009802CC" w:rsidRDefault="00AA61D6" w:rsidP="00AA61D6">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2B9FB548" w14:textId="2E673C79" w:rsidR="00AA61D6" w:rsidRDefault="00AA61D6" w:rsidP="00AA61D6">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w:t>
      </w:r>
      <w:proofErr w:type="spellStart"/>
      <w:r w:rsidRPr="009802CC">
        <w:rPr>
          <w:color w:val="000000" w:themeColor="text1"/>
          <w:sz w:val="12"/>
          <w:szCs w:val="26"/>
        </w:rPr>
        <w:t>thinkin</w:t>
      </w:r>
      <w:proofErr w:type="spellEnd"/>
      <w:r>
        <w:rPr>
          <w:color w:val="000000" w:themeColor="text1"/>
          <w:sz w:val="12"/>
          <w:szCs w:val="26"/>
        </w:rPr>
        <w:t xml:space="preserve"> </w:t>
      </w:r>
      <w:r w:rsidRPr="009802CC">
        <w:rPr>
          <w:color w:val="000000" w:themeColor="text1"/>
          <w:sz w:val="12"/>
          <w:szCs w:val="26"/>
        </w:rPr>
        <w:t xml:space="preserve">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28FA55B6" w14:textId="77777777" w:rsidR="00AA61D6" w:rsidRPr="0004302C" w:rsidRDefault="00AA61D6" w:rsidP="00AA61D6">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26B6F6B1" w14:textId="77777777" w:rsidR="00AA61D6" w:rsidRPr="0004302C" w:rsidRDefault="00AA61D6" w:rsidP="00AA61D6">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5422BA64" w14:textId="77777777" w:rsidR="00AA61D6" w:rsidRDefault="00AA61D6" w:rsidP="00AA61D6">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53558337" w14:textId="77777777" w:rsidR="00AA61D6" w:rsidRPr="00D24FE5" w:rsidRDefault="00AA61D6" w:rsidP="00AA61D6">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1297BC9C" w14:textId="77777777" w:rsidR="00AA61D6" w:rsidRPr="00D24FE5" w:rsidRDefault="00AA61D6" w:rsidP="00AA61D6">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622B682A" w14:textId="51CD4386" w:rsidR="00AA61D6" w:rsidRDefault="00AA61D6" w:rsidP="00AA61D6">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1D8154AB" w14:textId="77777777" w:rsidR="00120A4A" w:rsidRPr="00BC324F" w:rsidRDefault="00120A4A" w:rsidP="00120A4A">
      <w:pPr>
        <w:pStyle w:val="Heading4"/>
        <w:spacing w:line="276" w:lineRule="auto"/>
        <w:rPr>
          <w:rFonts w:cs="Calibri"/>
          <w:color w:val="000000" w:themeColor="text1"/>
        </w:rPr>
      </w:pPr>
      <w:r>
        <w:rPr>
          <w:rFonts w:cs="Calibri"/>
          <w:color w:val="000000" w:themeColor="text1"/>
        </w:rPr>
        <w:t>Pluralism is good.</w:t>
      </w:r>
    </w:p>
    <w:p w14:paraId="0599E95C" w14:textId="77777777" w:rsidR="00120A4A" w:rsidRPr="00BC324F" w:rsidRDefault="00120A4A" w:rsidP="00120A4A">
      <w:pPr>
        <w:spacing w:line="276" w:lineRule="auto"/>
        <w:rPr>
          <w:color w:val="000000" w:themeColor="text1"/>
        </w:rPr>
      </w:pPr>
      <w:proofErr w:type="spellStart"/>
      <w:r w:rsidRPr="00BC324F">
        <w:rPr>
          <w:b/>
          <w:color w:val="000000" w:themeColor="text1"/>
          <w:szCs w:val="26"/>
        </w:rPr>
        <w:t>Bleiker</w:t>
      </w:r>
      <w:proofErr w:type="spellEnd"/>
      <w:r w:rsidRPr="00BC324F">
        <w:rPr>
          <w:b/>
          <w:color w:val="000000" w:themeColor="text1"/>
          <w:szCs w:val="26"/>
        </w:rPr>
        <w:t xml:space="preserve"> 14</w:t>
      </w:r>
      <w:r w:rsidRPr="00BC324F">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4AA455ED" w14:textId="1E50EB34" w:rsidR="00120A4A" w:rsidRDefault="00120A4A" w:rsidP="00120A4A">
      <w:pPr>
        <w:spacing w:line="276" w:lineRule="auto"/>
        <w:rPr>
          <w:color w:val="000000" w:themeColor="text1"/>
          <w:sz w:val="14"/>
        </w:rPr>
      </w:pPr>
      <w:r w:rsidRPr="00B04ECE">
        <w:rPr>
          <w:rStyle w:val="Emphasis"/>
          <w:color w:val="000000" w:themeColor="text1"/>
          <w:highlight w:val="green"/>
        </w:rPr>
        <w:t xml:space="preserve">Methodological pluralism lies at the heart of </w:t>
      </w:r>
      <w:r w:rsidRPr="00BC324F">
        <w:rPr>
          <w:rStyle w:val="Emphasis"/>
          <w:color w:val="000000" w:themeColor="text1"/>
        </w:rPr>
        <w:t xml:space="preserve">Levine's </w:t>
      </w:r>
      <w:r w:rsidRPr="00B04ECE">
        <w:rPr>
          <w:rStyle w:val="Emphasis"/>
          <w:color w:val="000000" w:themeColor="text1"/>
          <w:highlight w:val="green"/>
        </w:rPr>
        <w:t>sustainable critique</w:t>
      </w:r>
      <w:r w:rsidRPr="00BC324F">
        <w:rPr>
          <w:rStyle w:val="Emphasis"/>
          <w:color w:val="000000" w:themeColor="text1"/>
        </w:rPr>
        <w:t>.</w:t>
      </w:r>
      <w:r w:rsidRPr="00BC324F">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04ECE">
        <w:rPr>
          <w:rStyle w:val="Emphasis"/>
          <w:color w:val="000000" w:themeColor="text1"/>
          <w:highlight w:val="green"/>
        </w:rPr>
        <w:t xml:space="preserve"> No single method can ever adequately represent the event </w:t>
      </w:r>
      <w:r w:rsidRPr="00BC324F">
        <w:rPr>
          <w:color w:val="000000" w:themeColor="text1"/>
          <w:sz w:val="14"/>
        </w:rPr>
        <w:t>or should gain the upper hand. But</w:t>
      </w:r>
      <w:r w:rsidRPr="00BC324F">
        <w:rPr>
          <w:rStyle w:val="Emphasis"/>
          <w:color w:val="000000" w:themeColor="text1"/>
        </w:rPr>
        <w:t xml:space="preserve"> each should, in a way, recognize and capture details or perspectives that the others cannot (p. 102). In practical terms, </w:t>
      </w:r>
      <w:r w:rsidRPr="00B04ECE">
        <w:rPr>
          <w:rStyle w:val="Emphasis"/>
          <w:color w:val="000000" w:themeColor="text1"/>
          <w:highlight w:val="green"/>
        </w:rPr>
        <w:t>this means combining</w:t>
      </w:r>
      <w:r w:rsidRPr="00BC324F">
        <w:rPr>
          <w:rStyle w:val="Emphasis"/>
          <w:color w:val="000000" w:themeColor="text1"/>
        </w:rPr>
        <w:t xml:space="preserve"> a range of </w:t>
      </w:r>
      <w:r w:rsidRPr="00B04ECE">
        <w:rPr>
          <w:rStyle w:val="Emphasis"/>
          <w:color w:val="000000" w:themeColor="text1"/>
          <w:highlight w:val="green"/>
        </w:rPr>
        <w:t>methods</w:t>
      </w:r>
      <w:r w:rsidRPr="00BC324F">
        <w:rPr>
          <w:rStyle w:val="Emphasis"/>
          <w:color w:val="000000" w:themeColor="text1"/>
        </w:rPr>
        <w:t xml:space="preserve"> </w:t>
      </w:r>
      <w:r w:rsidRPr="00BC324F">
        <w:rPr>
          <w:color w:val="000000" w:themeColor="text1"/>
          <w:sz w:val="14"/>
        </w:rPr>
        <w:t>even when—or, rather,</w:t>
      </w:r>
      <w:r w:rsidRPr="00BC324F">
        <w:rPr>
          <w:rStyle w:val="Emphasis"/>
          <w:color w:val="000000" w:themeColor="text1"/>
        </w:rPr>
        <w:t xml:space="preserve"> </w:t>
      </w:r>
      <w:r w:rsidRPr="00B04ECE">
        <w:rPr>
          <w:rStyle w:val="Emphasis"/>
          <w:color w:val="000000" w:themeColor="text1"/>
          <w:highlight w:val="green"/>
        </w:rPr>
        <w:t>precisely when</w:t>
      </w:r>
      <w:r w:rsidRPr="00BC324F">
        <w:rPr>
          <w:rStyle w:val="Emphasis"/>
          <w:color w:val="000000" w:themeColor="text1"/>
        </w:rPr>
        <w:t xml:space="preserve">—they are </w:t>
      </w:r>
      <w:r w:rsidRPr="00B04ECE">
        <w:rPr>
          <w:rStyle w:val="Emphasis"/>
          <w:color w:val="000000" w:themeColor="text1"/>
          <w:highlight w:val="green"/>
        </w:rPr>
        <w:t xml:space="preserve">deemed incompatible. They can range from </w:t>
      </w:r>
      <w:proofErr w:type="spellStart"/>
      <w:r w:rsidRPr="00B04ECE">
        <w:rPr>
          <w:rStyle w:val="Emphasis"/>
          <w:color w:val="000000" w:themeColor="text1"/>
          <w:highlight w:val="green"/>
        </w:rPr>
        <w:t>poststructual</w:t>
      </w:r>
      <w:proofErr w:type="spellEnd"/>
      <w:r w:rsidRPr="00B04ECE">
        <w:rPr>
          <w:rStyle w:val="Emphasis"/>
          <w:color w:val="000000" w:themeColor="text1"/>
          <w:highlight w:val="green"/>
        </w:rPr>
        <w:t xml:space="preserve"> deconstruction to</w:t>
      </w:r>
      <w:r w:rsidRPr="00BC324F">
        <w:rPr>
          <w:rStyle w:val="Emphasis"/>
          <w:color w:val="000000" w:themeColor="text1"/>
        </w:rPr>
        <w:t xml:space="preserve"> the tools pioneered and championed by </w:t>
      </w:r>
      <w:r w:rsidRPr="00B04ECE">
        <w:rPr>
          <w:rStyle w:val="Emphasis"/>
          <w:color w:val="000000" w:themeColor="text1"/>
          <w:highlight w:val="green"/>
        </w:rPr>
        <w:t>positivist social sciences. The benefit</w:t>
      </w:r>
      <w:r w:rsidRPr="00BC324F">
        <w:rPr>
          <w:rStyle w:val="Emphasis"/>
          <w:color w:val="000000" w:themeColor="text1"/>
        </w:rPr>
        <w:t xml:space="preserve"> </w:t>
      </w:r>
      <w:r w:rsidRPr="00BC324F">
        <w:rPr>
          <w:color w:val="000000" w:themeColor="text1"/>
          <w:sz w:val="14"/>
        </w:rPr>
        <w:t>of such a methodological polyphony</w:t>
      </w:r>
      <w:r w:rsidRPr="00BC324F">
        <w:rPr>
          <w:rStyle w:val="Emphasis"/>
          <w:color w:val="000000" w:themeColor="text1"/>
        </w:rPr>
        <w:t xml:space="preserve"> </w:t>
      </w:r>
      <w:r w:rsidRPr="00B04ECE">
        <w:rPr>
          <w:rStyle w:val="Emphasis"/>
          <w:color w:val="000000" w:themeColor="text1"/>
          <w:highlight w:val="green"/>
        </w:rPr>
        <w:t xml:space="preserve">is </w:t>
      </w:r>
      <w:r w:rsidRPr="00BC324F">
        <w:rPr>
          <w:rStyle w:val="Emphasis"/>
          <w:color w:val="000000" w:themeColor="text1"/>
        </w:rPr>
        <w:t xml:space="preserve">not just the </w:t>
      </w:r>
      <w:r w:rsidRPr="00B04ECE">
        <w:rPr>
          <w:rStyle w:val="Emphasis"/>
          <w:color w:val="000000" w:themeColor="text1"/>
          <w:highlight w:val="green"/>
        </w:rPr>
        <w:t xml:space="preserve">opportunity to bring out nuances </w:t>
      </w:r>
      <w:r w:rsidRPr="00BC324F">
        <w:rPr>
          <w:color w:val="000000" w:themeColor="text1"/>
          <w:sz w:val="14"/>
        </w:rPr>
        <w:t>and new perspectives. Once the false hope of a smooth synthesis has been abandoned, the very incompatibility of the respective perspectives can then be used to</w:t>
      </w:r>
      <w:r w:rsidRPr="00BC324F">
        <w:rPr>
          <w:rStyle w:val="Emphasis"/>
          <w:color w:val="000000" w:themeColor="text1"/>
        </w:rPr>
        <w:t xml:space="preserve"> </w:t>
      </w:r>
      <w:r w:rsidRPr="00B04ECE">
        <w:rPr>
          <w:rStyle w:val="Emphasis"/>
          <w:color w:val="000000" w:themeColor="text1"/>
          <w:highlight w:val="green"/>
        </w:rPr>
        <w:t>identify the reifying tendencies</w:t>
      </w:r>
      <w:r w:rsidRPr="00BC324F">
        <w:rPr>
          <w:rStyle w:val="Emphasis"/>
          <w:color w:val="000000" w:themeColor="text1"/>
        </w:rPr>
        <w:t xml:space="preserve"> </w:t>
      </w:r>
      <w:r w:rsidRPr="00BC324F">
        <w:rPr>
          <w:color w:val="000000" w:themeColor="text1"/>
          <w:sz w:val="14"/>
        </w:rPr>
        <w:t>in each of them. For Levine, this is how reification may be “checked at the source”</w:t>
      </w:r>
      <w:r w:rsidRPr="00BC324F">
        <w:rPr>
          <w:rStyle w:val="Emphasis"/>
          <w:color w:val="000000" w:themeColor="text1"/>
        </w:rPr>
        <w:t xml:space="preserve"> </w:t>
      </w:r>
      <w:r w:rsidRPr="00B04ECE">
        <w:rPr>
          <w:rStyle w:val="Emphasis"/>
          <w:color w:val="000000" w:themeColor="text1"/>
          <w:highlight w:val="green"/>
        </w:rPr>
        <w:t>and</w:t>
      </w:r>
      <w:r w:rsidRPr="00BC324F">
        <w:rPr>
          <w:rStyle w:val="Emphasis"/>
          <w:color w:val="000000" w:themeColor="text1"/>
        </w:rPr>
        <w:t xml:space="preserve"> this is how </w:t>
      </w:r>
      <w:r w:rsidRPr="00B04ECE">
        <w:rPr>
          <w:rStyle w:val="Emphasis"/>
          <w:color w:val="000000" w:themeColor="text1"/>
          <w:highlight w:val="green"/>
        </w:rPr>
        <w:t>a “critically reflexive moment might thus be rendered sustainable</w:t>
      </w:r>
      <w:r w:rsidRPr="00BC324F">
        <w:rPr>
          <w:color w:val="000000" w:themeColor="text1"/>
          <w:sz w:val="14"/>
        </w:rPr>
        <w:t xml:space="preserve">” (p. 103). It is in this sense that Levine's approach is not really post-foundational but, rather, an attempt to “balance </w:t>
      </w:r>
      <w:proofErr w:type="spellStart"/>
      <w:r w:rsidRPr="00BC324F">
        <w:rPr>
          <w:color w:val="000000" w:themeColor="text1"/>
          <w:sz w:val="14"/>
        </w:rPr>
        <w:t>foundationalisms</w:t>
      </w:r>
      <w:proofErr w:type="spellEnd"/>
      <w:r w:rsidRPr="00BC324F">
        <w:rPr>
          <w:color w:val="000000" w:themeColor="text1"/>
          <w:sz w:val="14"/>
        </w:rPr>
        <w:t xml:space="preserve"> against one another” (p. 14). There are strong parallels here with arguments advanced by assemblage thinking and complexity theory—links that could have been explored in more detail.</w:t>
      </w:r>
    </w:p>
    <w:p w14:paraId="392381EC" w14:textId="77777777" w:rsidR="00AA61D6" w:rsidRPr="0005677F" w:rsidRDefault="00AA61D6" w:rsidP="00AA61D6">
      <w:pPr>
        <w:pStyle w:val="Heading4"/>
        <w:rPr>
          <w:rFonts w:cs="Calibri"/>
        </w:rPr>
      </w:pPr>
      <w:r>
        <w:rPr>
          <w:rFonts w:cs="Calibri"/>
        </w:rPr>
        <w:t>Exclusionary conceptions of topical correctness are violent.</w:t>
      </w:r>
    </w:p>
    <w:p w14:paraId="223C0B96" w14:textId="77777777" w:rsidR="00AA61D6" w:rsidRPr="003A2CE2" w:rsidRDefault="00AA61D6" w:rsidP="00AA61D6">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74952C97" w14:textId="77777777" w:rsidR="00AA61D6" w:rsidRPr="003A2CE2" w:rsidRDefault="00AA61D6" w:rsidP="00AA61D6">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19DC986A" w14:textId="77777777" w:rsidR="00AA61D6" w:rsidRPr="00B10F37" w:rsidRDefault="00AA61D6" w:rsidP="00AA61D6">
      <w:pPr>
        <w:pStyle w:val="Heading4"/>
        <w:rPr>
          <w:sz w:val="8"/>
        </w:rPr>
      </w:pPr>
      <w:r>
        <w:t xml:space="preserve">Notions of competitive equity </w:t>
      </w:r>
      <w:r w:rsidRPr="00B10F37">
        <w:t>marginalize the out group and retrench power structures</w:t>
      </w:r>
      <w:r>
        <w:t>.</w:t>
      </w:r>
    </w:p>
    <w:p w14:paraId="3ECFE237" w14:textId="77777777" w:rsidR="00AA61D6" w:rsidRPr="00B10F37" w:rsidRDefault="00AA61D6" w:rsidP="00AA61D6">
      <w:pPr>
        <w:pStyle w:val="Smalltext"/>
        <w:rPr>
          <w:color w:val="000000" w:themeColor="text1"/>
        </w:rPr>
      </w:pPr>
      <w:r w:rsidRPr="00B10F37">
        <w:rPr>
          <w:rStyle w:val="Style13ptBold"/>
          <w:color w:val="000000" w:themeColor="text1"/>
        </w:rPr>
        <w:t>Delgado 92</w:t>
      </w:r>
      <w:r w:rsidRPr="00B10F37">
        <w:rPr>
          <w:color w:val="000000" w:themeColor="text1"/>
        </w:rPr>
        <w:t xml:space="preserve">, Law Prof at U. of Colorado, 1992 [Richard, “Shadowboxing: An Essay </w:t>
      </w:r>
      <w:proofErr w:type="gramStart"/>
      <w:r w:rsidRPr="00B10F37">
        <w:rPr>
          <w:color w:val="000000" w:themeColor="text1"/>
        </w:rPr>
        <w:t>On</w:t>
      </w:r>
      <w:proofErr w:type="gramEnd"/>
      <w:r w:rsidRPr="00B10F37">
        <w:rPr>
          <w:color w:val="000000" w:themeColor="text1"/>
        </w:rPr>
        <w:t xml:space="preserve"> Power,” In Cornell Law Review, May]</w:t>
      </w:r>
    </w:p>
    <w:p w14:paraId="48262B4D" w14:textId="77777777" w:rsidR="00AA61D6" w:rsidRDefault="00AA61D6" w:rsidP="00AA61D6">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1" w:name="PAGE_821_8325"/>
      <w:bookmarkEnd w:id="1"/>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27B20C02" w14:textId="77777777" w:rsidR="00AA61D6" w:rsidRPr="00BC324F" w:rsidRDefault="00AA61D6" w:rsidP="00AA61D6">
      <w:pPr>
        <w:pStyle w:val="Heading4"/>
      </w:pPr>
      <w:r w:rsidRPr="00BC324F">
        <w:t xml:space="preserve">Discussions of how we are not topical always privilege elitism in debate  </w:t>
      </w:r>
    </w:p>
    <w:p w14:paraId="7483620B" w14:textId="77777777" w:rsidR="00AA61D6" w:rsidRPr="00BC324F" w:rsidRDefault="00AA61D6" w:rsidP="00AA61D6">
      <w:pPr>
        <w:rPr>
          <w:rFonts w:asciiTheme="majorHAnsi" w:hAnsiTheme="majorHAnsi"/>
          <w:color w:val="000000" w:themeColor="text1"/>
          <w:sz w:val="16"/>
          <w:szCs w:val="16"/>
        </w:rPr>
      </w:pPr>
      <w:r w:rsidRPr="00BC324F">
        <w:rPr>
          <w:rFonts w:asciiTheme="majorHAnsi" w:hAnsiTheme="majorHAnsi"/>
          <w:b/>
          <w:bCs/>
          <w:color w:val="000000" w:themeColor="text1"/>
          <w:szCs w:val="26"/>
        </w:rPr>
        <w:t>Reid-Brinkley 08</w:t>
      </w:r>
      <w:r w:rsidRPr="00BC324F">
        <w:rPr>
          <w:rFonts w:asciiTheme="majorHAnsi" w:hAnsiTheme="majorHAnsi"/>
          <w:color w:val="000000" w:themeColor="text1"/>
          <w:sz w:val="16"/>
          <w:szCs w:val="16"/>
        </w:rPr>
        <w:t xml:space="preserve"> [</w:t>
      </w:r>
      <w:proofErr w:type="spellStart"/>
      <w:r w:rsidRPr="00BC324F">
        <w:rPr>
          <w:rFonts w:asciiTheme="majorHAnsi" w:hAnsiTheme="majorHAnsi"/>
          <w:color w:val="000000" w:themeColor="text1"/>
          <w:sz w:val="16"/>
          <w:szCs w:val="16"/>
        </w:rPr>
        <w:t>Shanara</w:t>
      </w:r>
      <w:proofErr w:type="spellEnd"/>
      <w:r w:rsidRPr="00BC324F">
        <w:rPr>
          <w:rFonts w:asciiTheme="majorHAnsi" w:hAnsiTheme="majorHAnsi"/>
          <w:color w:val="000000" w:themeColor="text1"/>
          <w:sz w:val="16"/>
          <w:szCs w:val="16"/>
        </w:rPr>
        <w:t xml:space="preserve"> Rose </w:t>
      </w:r>
      <w:r w:rsidRPr="00BC324F">
        <w:rPr>
          <w:rFonts w:asciiTheme="majorHAnsi" w:hAnsiTheme="majorHAnsi"/>
          <w:bCs/>
          <w:color w:val="000000" w:themeColor="text1"/>
          <w:sz w:val="16"/>
          <w:szCs w:val="16"/>
        </w:rPr>
        <w:t>Reid-Brinkley 2008</w:t>
      </w:r>
      <w:r w:rsidRPr="00BC324F">
        <w:rPr>
          <w:rFonts w:asciiTheme="majorHAnsi" w:hAnsiTheme="majorHAnsi"/>
          <w:color w:val="000000" w:themeColor="text1"/>
          <w:sz w:val="16"/>
          <w:szCs w:val="16"/>
        </w:rPr>
        <w:t xml:space="preserve"> “the harsh realities of “acting black”: how African American policy debaters negotiate representation through racial performance and style”] // SJ AME</w:t>
      </w:r>
    </w:p>
    <w:p w14:paraId="6F553E79" w14:textId="344A992D" w:rsidR="00AA61D6" w:rsidRDefault="00AA61D6" w:rsidP="00AA61D6">
      <w:pPr>
        <w:rPr>
          <w:rFonts w:asciiTheme="majorHAnsi" w:eastAsia="Times New Roman" w:hAnsiTheme="majorHAnsi"/>
          <w:color w:val="000000" w:themeColor="text1"/>
          <w:sz w:val="14"/>
        </w:rPr>
      </w:pPr>
      <w:r w:rsidRPr="00B04ECE">
        <w:rPr>
          <w:rFonts w:asciiTheme="majorHAnsi" w:eastAsia="Times New Roman" w:hAnsiTheme="majorHAnsi"/>
          <w:b/>
          <w:color w:val="000000" w:themeColor="text1"/>
          <w:highlight w:val="green"/>
          <w:u w:val="single"/>
        </w:rPr>
        <w:t xml:space="preserve">The </w:t>
      </w:r>
      <w:r w:rsidRPr="00BC324F">
        <w:rPr>
          <w:rFonts w:asciiTheme="majorHAnsi" w:eastAsia="Times New Roman" w:hAnsiTheme="majorHAnsi"/>
          <w:b/>
          <w:color w:val="000000" w:themeColor="text1"/>
          <w:u w:val="single"/>
        </w:rPr>
        <w:t xml:space="preserve">stylistic </w:t>
      </w:r>
      <w:r w:rsidRPr="00B04ECE">
        <w:rPr>
          <w:rFonts w:asciiTheme="majorHAnsi" w:eastAsia="Times New Roman" w:hAnsiTheme="majorHAnsi"/>
          <w:b/>
          <w:color w:val="000000" w:themeColor="text1"/>
          <w:highlight w:val="green"/>
          <w:u w:val="single"/>
        </w:rPr>
        <w:t xml:space="preserve">norms of </w:t>
      </w:r>
      <w:proofErr w:type="gramStart"/>
      <w:r w:rsidRPr="00B04ECE">
        <w:rPr>
          <w:rFonts w:asciiTheme="majorHAnsi" w:eastAsia="Times New Roman" w:hAnsiTheme="majorHAnsi"/>
          <w:b/>
          <w:color w:val="000000" w:themeColor="text1"/>
          <w:highlight w:val="green"/>
          <w:u w:val="single"/>
        </w:rPr>
        <w:t xml:space="preserve">the </w:t>
      </w:r>
      <w:r w:rsidRPr="00BC324F">
        <w:rPr>
          <w:rFonts w:asciiTheme="majorHAnsi" w:eastAsia="Times New Roman" w:hAnsiTheme="majorHAnsi"/>
          <w:b/>
          <w:color w:val="000000" w:themeColor="text1"/>
          <w:u w:val="single"/>
        </w:rPr>
        <w:t xml:space="preserve"> </w:t>
      </w:r>
      <w:r w:rsidRPr="00BC324F">
        <w:rPr>
          <w:rFonts w:asciiTheme="majorHAnsi" w:eastAsia="Times New Roman" w:hAnsiTheme="majorHAnsi"/>
          <w:color w:val="000000" w:themeColor="text1"/>
          <w:sz w:val="14"/>
        </w:rPr>
        <w:t>policy</w:t>
      </w:r>
      <w:proofErr w:type="gramEnd"/>
      <w:r w:rsidRPr="00BC324F">
        <w:rPr>
          <w:rFonts w:asciiTheme="majorHAnsi" w:eastAsia="Times New Roman" w:hAnsiTheme="majorHAnsi"/>
          <w:color w:val="000000" w:themeColor="text1"/>
          <w:sz w:val="14"/>
        </w:rPr>
        <w:t xml:space="preserve"> </w:t>
      </w:r>
      <w:r w:rsidRPr="00B04ECE">
        <w:rPr>
          <w:rFonts w:asciiTheme="majorHAnsi" w:eastAsia="Times New Roman" w:hAnsiTheme="majorHAnsi"/>
          <w:b/>
          <w:color w:val="000000" w:themeColor="text1"/>
          <w:highlight w:val="green"/>
          <w:u w:val="single"/>
        </w:rPr>
        <w:t xml:space="preserve">debate </w:t>
      </w:r>
      <w:r w:rsidRPr="00BC324F">
        <w:rPr>
          <w:rFonts w:asciiTheme="majorHAnsi" w:eastAsia="Times New Roman" w:hAnsiTheme="majorHAnsi"/>
          <w:b/>
          <w:color w:val="000000" w:themeColor="text1"/>
          <w:u w:val="single"/>
        </w:rPr>
        <w:t xml:space="preserve">community </w:t>
      </w:r>
      <w:r w:rsidRPr="00B04ECE">
        <w:rPr>
          <w:rFonts w:asciiTheme="majorHAnsi" w:eastAsia="Times New Roman" w:hAnsiTheme="majorHAnsi"/>
          <w:b/>
          <w:color w:val="000000" w:themeColor="text1"/>
          <w:highlight w:val="green"/>
          <w:u w:val="single"/>
        </w:rPr>
        <w:t>are inextricably attached to the social performance of identity</w:t>
      </w:r>
      <w:r w:rsidRPr="00BC324F">
        <w:rPr>
          <w:rFonts w:asciiTheme="majorHAnsi" w:eastAsia="Times New Roman" w:hAnsiTheme="majorHAnsi"/>
          <w:color w:val="000000" w:themeColor="text1"/>
          <w:sz w:val="14"/>
        </w:rPr>
        <w:t xml:space="preserve">. In other </w:t>
      </w:r>
      <w:proofErr w:type="spellStart"/>
      <w:proofErr w:type="gramStart"/>
      <w:r w:rsidRPr="00BC324F">
        <w:rPr>
          <w:rFonts w:asciiTheme="majorHAnsi" w:eastAsia="Times New Roman" w:hAnsiTheme="majorHAnsi"/>
          <w:color w:val="000000" w:themeColor="text1"/>
          <w:sz w:val="14"/>
        </w:rPr>
        <w:t>words,if</w:t>
      </w:r>
      <w:proofErr w:type="spellEnd"/>
      <w:proofErr w:type="gramEnd"/>
      <w:r w:rsidRPr="00BC324F">
        <w:rPr>
          <w:rFonts w:asciiTheme="majorHAnsi" w:eastAsia="Times New Roman" w:hAnsiTheme="majorHAnsi"/>
          <w:b/>
          <w:color w:val="000000" w:themeColor="text1"/>
          <w:u w:val="single"/>
        </w:rPr>
        <w:t xml:space="preserve"> </w:t>
      </w:r>
      <w:r w:rsidRPr="00B04ECE">
        <w:rPr>
          <w:rFonts w:asciiTheme="majorHAnsi" w:eastAsia="Times New Roman" w:hAnsiTheme="majorHAnsi"/>
          <w:b/>
          <w:color w:val="000000" w:themeColor="text1"/>
          <w:highlight w:val="green"/>
          <w:u w:val="single"/>
        </w:rPr>
        <w:t xml:space="preserve">the </w:t>
      </w:r>
      <w:r w:rsidRPr="00BC324F">
        <w:rPr>
          <w:rFonts w:asciiTheme="majorHAnsi" w:eastAsia="Times New Roman" w:hAnsiTheme="majorHAnsi"/>
          <w:b/>
          <w:color w:val="000000" w:themeColor="text1"/>
          <w:u w:val="single"/>
        </w:rPr>
        <w:t xml:space="preserve">stylistic </w:t>
      </w:r>
      <w:r w:rsidRPr="00B04ECE">
        <w:rPr>
          <w:rFonts w:asciiTheme="majorHAnsi" w:eastAsia="Times New Roman" w:hAnsiTheme="majorHAnsi"/>
          <w:b/>
          <w:color w:val="000000" w:themeColor="text1"/>
          <w:highlight w:val="green"/>
          <w:u w:val="single"/>
        </w:rPr>
        <w:t xml:space="preserve">norms privilege the stylistic choices of white, straight, </w:t>
      </w:r>
      <w:r w:rsidRPr="00BC324F">
        <w:rPr>
          <w:rFonts w:asciiTheme="majorHAnsi" w:eastAsia="Times New Roman" w:hAnsiTheme="majorHAnsi"/>
          <w:b/>
          <w:color w:val="000000" w:themeColor="text1"/>
          <w:u w:val="single"/>
        </w:rPr>
        <w:t xml:space="preserve">economically </w:t>
      </w:r>
      <w:r w:rsidRPr="00B04ECE">
        <w:rPr>
          <w:rFonts w:asciiTheme="majorHAnsi" w:eastAsia="Times New Roman" w:hAnsiTheme="majorHAnsi"/>
          <w:b/>
          <w:color w:val="000000" w:themeColor="text1"/>
          <w:highlight w:val="green"/>
          <w:u w:val="single"/>
        </w:rPr>
        <w:t>privileged males,</w:t>
      </w:r>
      <w:r w:rsidRPr="00BC324F">
        <w:rPr>
          <w:rFonts w:asciiTheme="majorHAnsi" w:eastAsia="Times New Roman" w:hAnsiTheme="majorHAnsi"/>
          <w:b/>
          <w:color w:val="000000" w:themeColor="text1"/>
          <w:u w:val="single"/>
        </w:rPr>
        <w:t xml:space="preserve"> </w:t>
      </w:r>
      <w:r w:rsidRPr="00BC324F">
        <w:rPr>
          <w:rFonts w:asciiTheme="majorHAnsi" w:eastAsia="Times New Roman" w:hAnsiTheme="majorHAnsi"/>
          <w:color w:val="000000" w:themeColor="text1"/>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BC324F">
        <w:rPr>
          <w:rFonts w:asciiTheme="majorHAnsi" w:eastAsia="Times New Roman" w:hAnsiTheme="majorHAnsi"/>
          <w:b/>
          <w:color w:val="000000" w:themeColor="text1"/>
          <w:u w:val="single"/>
        </w:rPr>
        <w:t xml:space="preserve">For UDL students it can often mean changing one’s appearance, standardizing language practices, and eschewing cultural practices at least while participating in debate. In essence, </w:t>
      </w:r>
      <w:r w:rsidRPr="00B04ECE">
        <w:rPr>
          <w:rFonts w:asciiTheme="majorHAnsi" w:eastAsia="Times New Roman" w:hAnsiTheme="majorHAnsi"/>
          <w:b/>
          <w:color w:val="000000" w:themeColor="text1"/>
          <w:highlight w:val="green"/>
          <w:u w:val="single"/>
        </w:rPr>
        <w:t xml:space="preserve">students of color are performatively “whitened” in order to have an opportunity for achieving in debate competitions. </w:t>
      </w:r>
      <w:r w:rsidRPr="00BC324F">
        <w:rPr>
          <w:rFonts w:asciiTheme="majorHAnsi" w:eastAsia="Times New Roman" w:hAnsiTheme="majorHAnsi"/>
          <w:color w:val="000000" w:themeColor="text1"/>
          <w:sz w:val="14"/>
        </w:rPr>
        <w:t>“Acting black” or brown is problematic</w:t>
      </w:r>
      <w:r w:rsidRPr="00BC324F">
        <w:rPr>
          <w:rFonts w:asciiTheme="majorHAnsi" w:eastAsia="Times New Roman" w:hAnsiTheme="majorHAnsi"/>
          <w:b/>
          <w:color w:val="000000" w:themeColor="text1"/>
          <w:u w:val="single"/>
        </w:rPr>
        <w:t xml:space="preserve"> </w:t>
      </w:r>
      <w:r w:rsidRPr="00BC324F">
        <w:rPr>
          <w:rFonts w:asciiTheme="majorHAnsi" w:eastAsia="Times New Roman" w:hAnsiTheme="majorHAnsi"/>
          <w:color w:val="000000" w:themeColor="text1"/>
          <w:sz w:val="14"/>
        </w:rPr>
        <w:t xml:space="preserve">because those performative identities are not privileged in terms of successful participation. In fact, </w:t>
      </w:r>
      <w:r w:rsidRPr="00B04ECE">
        <w:rPr>
          <w:rFonts w:asciiTheme="majorHAnsi" w:eastAsia="Times New Roman" w:hAnsiTheme="majorHAnsi"/>
          <w:b/>
          <w:color w:val="000000" w:themeColor="text1"/>
          <w:highlight w:val="green"/>
          <w:u w:val="single"/>
        </w:rPr>
        <w:t>they signify a difference, an opposite, a negative differential</w:t>
      </w:r>
      <w:r w:rsidRPr="00B04ECE">
        <w:rPr>
          <w:rFonts w:asciiTheme="majorHAnsi" w:eastAsia="Times New Roman" w:hAnsiTheme="majorHAnsi"/>
          <w:color w:val="000000" w:themeColor="text1"/>
          <w:sz w:val="14"/>
          <w:highlight w:val="green"/>
        </w:rPr>
        <w:t>.</w:t>
      </w:r>
      <w:r w:rsidRPr="00BC324F">
        <w:rPr>
          <w:rFonts w:asciiTheme="majorHAnsi" w:eastAsia="Times New Roman" w:hAnsiTheme="majorHAnsi"/>
          <w:color w:val="000000" w:themeColor="text1"/>
          <w:sz w:val="14"/>
        </w:rPr>
        <w:t xml:space="preserve"> It is not that the debate community actively operates to exclude based on race, instead it is an exclusion based on racial performance, in other words, how the differentially colored body chooses to style itself.</w:t>
      </w:r>
    </w:p>
    <w:p w14:paraId="4ADC4DB3" w14:textId="77777777" w:rsidR="00AA61D6" w:rsidRDefault="00AA61D6" w:rsidP="00AA61D6">
      <w:pPr>
        <w:pStyle w:val="Heading4"/>
      </w:pPr>
      <w:r>
        <w:t xml:space="preserve">Kant’s criteria for personhood violently excludes the disabled. </w:t>
      </w:r>
    </w:p>
    <w:p w14:paraId="009DA99E" w14:textId="77777777" w:rsidR="00AA61D6" w:rsidRDefault="00AA61D6" w:rsidP="00AA61D6">
      <w:r>
        <w:t xml:space="preserve">Lucas G. </w:t>
      </w:r>
      <w:r w:rsidRPr="00705643">
        <w:rPr>
          <w:rStyle w:val="Style13ptBold"/>
        </w:rPr>
        <w:t>Pinheiro 17</w:t>
      </w:r>
      <w:r>
        <w:t xml:space="preserve"> [(Lucas G. Pinheiro</w:t>
      </w:r>
      <w:proofErr w:type="gramStart"/>
      <w:r>
        <w:t>, )</w:t>
      </w:r>
      <w:proofErr w:type="gramEnd"/>
      <w:r>
        <w:t xml:space="preserve"> </w:t>
      </w:r>
      <w:r w:rsidRPr="00705643">
        <w:t>The Ableist Contract Intellectual Disability and the Limits of Justice in Kant’s Political Thought</w:t>
      </w:r>
      <w:r>
        <w:t>, Cambridge Core Online publication date: March 2017, pp 43-78] AT</w:t>
      </w:r>
    </w:p>
    <w:p w14:paraId="3B80C0DB" w14:textId="77777777" w:rsidR="00AA61D6" w:rsidRDefault="00AA61D6" w:rsidP="00AA61D6">
      <w:pPr>
        <w:rPr>
          <w:sz w:val="14"/>
        </w:rPr>
      </w:pPr>
      <w:r w:rsidRPr="00535738">
        <w:rPr>
          <w:sz w:val="14"/>
        </w:rPr>
        <w:t xml:space="preserve">With these theoretical considerations in mind, </w:t>
      </w:r>
      <w:r w:rsidRPr="00A876E8">
        <w:rPr>
          <w:rStyle w:val="StyleUnderline"/>
        </w:rPr>
        <w:t>this chapter probes the political and moral spaces occupied by intellectually disabled subjects in the political, ethical, and moral thought of Immanuel Kant.</w:t>
      </w:r>
      <w:r w:rsidRPr="00535738">
        <w:rPr>
          <w:sz w:val="14"/>
        </w:rPr>
        <w:t xml:space="preserve"> To this end, I place particular emphasis on the ways in which </w:t>
      </w:r>
      <w:r w:rsidRPr="00E82807">
        <w:rPr>
          <w:rStyle w:val="Emphasis"/>
          <w:highlight w:val="green"/>
        </w:rPr>
        <w:t>Kant’s “empirical” observations on disability</w:t>
      </w:r>
      <w:r w:rsidRPr="00A876E8">
        <w:rPr>
          <w:rStyle w:val="StyleUnderline"/>
        </w:rPr>
        <w:t xml:space="preserve"> fundamentally </w:t>
      </w:r>
      <w:r w:rsidRPr="00E82807">
        <w:rPr>
          <w:rStyle w:val="Emphasis"/>
          <w:highlight w:val="green"/>
        </w:rPr>
        <w:t>impact his political formulations</w:t>
      </w:r>
      <w:r w:rsidRPr="00A876E8">
        <w:rPr>
          <w:rStyle w:val="StyleUnderline"/>
        </w:rPr>
        <w:t xml:space="preserve"> of justice, freedom, citizenship, personhood, and the human species.</w:t>
      </w:r>
      <w:r w:rsidRPr="00535738">
        <w:rPr>
          <w:sz w:val="14"/>
        </w:rPr>
        <w:t xml:space="preserve"> My approach to interpreting intellectual disability in Kant’s theory of justice begins with a close reading of his practical definitions of disability in lesser-known works on anthropology, physical geography, and natural history. I then deploy this reading as a source for contextualizing his political ideas and thus uncovering the meaning and political significance of his exclusionary terminology in the Metaphysics of Morals as it pertains to the treatment of intellectually disabled subjects in his theory of justice. It is important to note that, in the context of Kant’s political and moral philosophy, I use the term “contract” figuratively, since my argument applies broadly to contractarian ideas of rights, freedom, civil society, and justice in the history of modern political thought as a whole. So, with respect to Kant, “contract” operates as a placeholder for the totality of his political constituency which is composed by his moral laws, doctrines of rights and duties (private and public), theory of the state, scale of progress, and formulation of civil society. To be sure, Kant’s political ideas – including his definitions of justice, personhood, freedom, rights, duties, citizenship, and the state – are not limited to the Metaphysics of Morals, just as they are not exclusive to his writings on practical and transcendental philosophy. Much the contrary, in fact, Kant articulates his political theory through an expansive and eclectic array of sources, scattered across an impressively diverse range of fields and genres well beyond his strictly political writings and moral philosophy.8 Although perhaps unfamiliar to a contemporary political theory audience, Kant’s empirical works encompass a detailed, rich, and intricate sociopolitical system, whose relevance to his political ideas I attempt to recover by interpreting his onomasiology of intellectual disability. Indeed, as I will argue, </w:t>
      </w:r>
      <w:r w:rsidRPr="003061D3">
        <w:rPr>
          <w:rStyle w:val="StyleUnderline"/>
        </w:rPr>
        <w:t>Kant’s understanding of disability</w:t>
      </w:r>
      <w:r w:rsidRPr="00A876E8">
        <w:rPr>
          <w:rStyle w:val="StyleUnderline"/>
        </w:rPr>
        <w:t xml:space="preserve"> affects and informs his theory of justice in such constitutive ways that </w:t>
      </w:r>
      <w:r w:rsidRPr="00E82807">
        <w:rPr>
          <w:rStyle w:val="Emphasis"/>
          <w:highlight w:val="green"/>
        </w:rPr>
        <w:t>its continual neglect has resulted in an insufficiently critical and accurate interpretation of Kant’s political thought</w:t>
      </w:r>
      <w:r w:rsidRPr="00A876E8">
        <w:rPr>
          <w:rStyle w:val="StyleUnderline"/>
        </w:rPr>
        <w:t xml:space="preserve"> writ large.</w:t>
      </w:r>
      <w:r w:rsidRPr="00535738">
        <w:rPr>
          <w:sz w:val="14"/>
        </w:rPr>
        <w:t xml:space="preserve"> From a broader perspective, </w:t>
      </w:r>
      <w:r w:rsidRPr="00A876E8">
        <w:rPr>
          <w:rStyle w:val="StyleUnderline"/>
        </w:rPr>
        <w:t>my interpretation of disability in Kant seeks to recast the political thrust of Kant’s theory by rearticulating its relationship to other strains of the Kantian corpus that, while less accepted, less philosophical, and undoubtedly less agreeable, are, on my account, no less politically and philosophically significant to his thought than the “strictly” political and philosophical works.</w:t>
      </w:r>
      <w:r>
        <w:rPr>
          <w:rStyle w:val="StyleUnderline"/>
        </w:rPr>
        <w:t xml:space="preserve"> </w:t>
      </w:r>
      <w:r w:rsidRPr="00535738">
        <w:rPr>
          <w:sz w:val="14"/>
        </w:rPr>
        <w:t xml:space="preserve">As of late, </w:t>
      </w:r>
      <w:r w:rsidRPr="00A876E8">
        <w:rPr>
          <w:rStyle w:val="StyleUnderline"/>
        </w:rPr>
        <w:t xml:space="preserve">a host of </w:t>
      </w:r>
      <w:r w:rsidRPr="00E82807">
        <w:rPr>
          <w:rStyle w:val="Emphasis"/>
          <w:highlight w:val="green"/>
        </w:rPr>
        <w:t>scholars in</w:t>
      </w:r>
      <w:r w:rsidRPr="00E82807">
        <w:rPr>
          <w:rStyle w:val="Emphasis"/>
        </w:rPr>
        <w:t xml:space="preserve"> </w:t>
      </w:r>
      <w:r w:rsidRPr="00E82807">
        <w:rPr>
          <w:rStyle w:val="Emphasis"/>
          <w:highlight w:val="green"/>
        </w:rPr>
        <w:t>disability studies</w:t>
      </w:r>
      <w:r w:rsidRPr="00A876E8">
        <w:rPr>
          <w:rStyle w:val="StyleUnderline"/>
        </w:rPr>
        <w:t xml:space="preserve"> have vocally </w:t>
      </w:r>
      <w:r w:rsidRPr="00E82807">
        <w:rPr>
          <w:rStyle w:val="Emphasis"/>
          <w:highlight w:val="green"/>
        </w:rPr>
        <w:t>contest</w:t>
      </w:r>
      <w:r w:rsidRPr="00A876E8">
        <w:rPr>
          <w:rStyle w:val="StyleUnderline"/>
        </w:rPr>
        <w:t xml:space="preserve">ed </w:t>
      </w:r>
      <w:r w:rsidRPr="003061D3">
        <w:rPr>
          <w:rStyle w:val="Emphasis"/>
          <w:highlight w:val="green"/>
        </w:rPr>
        <w:t>Kant’s moral theory of personhood</w:t>
      </w:r>
      <w:r w:rsidRPr="00A876E8">
        <w:rPr>
          <w:rStyle w:val="StyleUnderline"/>
        </w:rPr>
        <w:t>.</w:t>
      </w:r>
      <w:r w:rsidRPr="00535738">
        <w:rPr>
          <w:sz w:val="14"/>
        </w:rPr>
        <w:t xml:space="preserve"> This burgeoning literature on Kant and disability is largely composed of critical responses to the works of Jeff McMahan (1995, 1996, 2002, 2005, 2009) and Peter Singer (1994, 2009), both of whom vindicate non-human moral standing by grounding the corporeal existence of animals within an ethically defensible, intra-species moral realm, akin to that of Kant’s person. In his work, McMahan (2009: 583–4) invokes cognitive disability as the premise of a reduction argument that figures the severely intellectually disabled as a rhetorical device tasked with exposing the logical contradiction of theories that grant moral status to the severely mentally disabled while denying it to non-human animals with commensurate cognitive capacities. Singer likewise argues that, since many non-human animals possess cognitive capacities that are often on a par with or superior to, those of severely intellectually disabled humans, it is altogether groundless and unjustifiable – that is, “</w:t>
      </w:r>
      <w:proofErr w:type="spellStart"/>
      <w:r w:rsidRPr="00535738">
        <w:rPr>
          <w:sz w:val="14"/>
        </w:rPr>
        <w:t>speciesist</w:t>
      </w:r>
      <w:proofErr w:type="spellEnd"/>
      <w:r w:rsidRPr="00535738">
        <w:rPr>
          <w:sz w:val="14"/>
        </w:rPr>
        <w:t xml:space="preserve">” – to deny the former group (animals) moral standing while extending it to the latter (the disabled) (1994, 2009: 567–8). In building their philosophical arguments for intra-species moral standing, both Singer (2009: 573–4) and McMahan (2002: 245–6, 252–5) rely prominently on Kant’s personhood–animality split as a means to support their formulations of extra-corporeal moral status, grounded on intellectual predispositions and cognitive capacities. Yet, both philosophers part ways with Kant insofar as they believe human animality and species membership should play no role as criteria for determining moral life (Singer 2009: 572–3; McMahan 2002: 148, 209–17).9 McMahan’s (2009: 604) idea that “differences of moral status are grounded in differences of psychological capacity” prefigures Singer’s (2009: 575) suggestion to “abandon the idea of the equal value of all humans” and replace it with a “graduated view in which moral status depends on some aspects of cognitive ability.” As a result, both Singer and McMahan advocate integrating non-human animals to a moral community of “persons” at the expense of denying personhood to humans who fall below a Kantian moral threshold rooted entirely in cognitive capacity as opposed to human animality. Unsurprisingly, Singer and McMahan have received ample criticism from scholars seeking to include or maintain the cognitively disabled within the bounds of our moral community of persons. As I see it, </w:t>
      </w:r>
      <w:r w:rsidRPr="00705643">
        <w:rPr>
          <w:rStyle w:val="StyleUnderline"/>
        </w:rPr>
        <w:t xml:space="preserve">the central and most politically salient aspect of these critiques resides in the Kantian discourse Singer and McMahan mobilize in support of their projects. Pushing back against rationalist conceptions of moral status, </w:t>
      </w:r>
      <w:r w:rsidRPr="00535738">
        <w:rPr>
          <w:sz w:val="14"/>
        </w:rPr>
        <w:t>philosopher Eva</w:t>
      </w:r>
      <w:r w:rsidRPr="00705643">
        <w:rPr>
          <w:rStyle w:val="StyleUnderline"/>
        </w:rPr>
        <w:t xml:space="preserve"> </w:t>
      </w:r>
      <w:proofErr w:type="spellStart"/>
      <w:r w:rsidRPr="00705643">
        <w:rPr>
          <w:rStyle w:val="StyleUnderline"/>
        </w:rPr>
        <w:t>Kittay</w:t>
      </w:r>
      <w:proofErr w:type="spellEnd"/>
      <w:r w:rsidRPr="00535738">
        <w:rPr>
          <w:sz w:val="14"/>
        </w:rPr>
        <w:t xml:space="preserve"> (2001, 2005a, 2005b, 2009a, 2009b) </w:t>
      </w:r>
      <w:r w:rsidRPr="00705643">
        <w:rPr>
          <w:rStyle w:val="StyleUnderline"/>
        </w:rPr>
        <w:t>has argued that species membership alone should suffice as a criterion for equal moral status among human beings.</w:t>
      </w:r>
      <w:r w:rsidRPr="00535738">
        <w:rPr>
          <w:sz w:val="14"/>
        </w:rPr>
        <w:t xml:space="preserve"> </w:t>
      </w:r>
      <w:proofErr w:type="spellStart"/>
      <w:r w:rsidRPr="00535738">
        <w:rPr>
          <w:sz w:val="14"/>
        </w:rPr>
        <w:t>Licia</w:t>
      </w:r>
      <w:proofErr w:type="spellEnd"/>
      <w:r w:rsidRPr="00535738">
        <w:rPr>
          <w:sz w:val="14"/>
        </w:rPr>
        <w:t xml:space="preserve"> Carlson (2009, 2010), who furthers </w:t>
      </w:r>
      <w:proofErr w:type="spellStart"/>
      <w:r w:rsidRPr="00535738">
        <w:rPr>
          <w:sz w:val="14"/>
        </w:rPr>
        <w:t>Kittay’s</w:t>
      </w:r>
      <w:proofErr w:type="spellEnd"/>
      <w:r w:rsidRPr="00535738">
        <w:rPr>
          <w:sz w:val="14"/>
        </w:rPr>
        <w:t xml:space="preserve"> critique of reason-centric moral theories, questions the political discourse through which these conceptions of personhood have been articulated. She recalls, for example, that viewing humans as animals “is precisely the basis on which the most horrific atrocities are justified” (2010: 160). Carlson also outlines important ways in which critiques of speciesism, such as Singer’s, “rely on ableist assumptions and arguments” (2010: 157). Although </w:t>
      </w:r>
      <w:proofErr w:type="spellStart"/>
      <w:r w:rsidRPr="00535738">
        <w:rPr>
          <w:sz w:val="14"/>
        </w:rPr>
        <w:t>Kittay</w:t>
      </w:r>
      <w:proofErr w:type="spellEnd"/>
      <w:r w:rsidRPr="00535738">
        <w:rPr>
          <w:sz w:val="14"/>
        </w:rPr>
        <w:t xml:space="preserve"> and Carlson do not comment directly on Kant’s specific formulation of moral personhood, they effectively highlight how and why </w:t>
      </w:r>
      <w:r w:rsidRPr="00705643">
        <w:rPr>
          <w:rStyle w:val="StyleUnderline"/>
        </w:rPr>
        <w:t>elevating cognitive capacity to the role of arbiter for moral life, as is the case with Kant’s theory of personhood, has deeply problematic repercussions for the intellectually disabled.</w:t>
      </w:r>
      <w:r w:rsidRPr="00535738">
        <w:rPr>
          <w:sz w:val="14"/>
        </w:rPr>
        <w:t xml:space="preserve">10 </w:t>
      </w:r>
      <w:r w:rsidRPr="00705643">
        <w:rPr>
          <w:rStyle w:val="StyleUnderline"/>
        </w:rPr>
        <w:t>Other scholars writing on disability and political theory have also expressed profound skepticism toward rationalist formulations of moral personhood rooted in Kant’s categorical imperative.</w:t>
      </w:r>
      <w:r w:rsidRPr="00535738">
        <w:rPr>
          <w:sz w:val="14"/>
        </w:rPr>
        <w:t xml:space="preserve">11 One notable critic of Kantian personhood from the standpoint of disability is Barbara </w:t>
      </w:r>
      <w:proofErr w:type="spellStart"/>
      <w:r w:rsidRPr="00535738">
        <w:rPr>
          <w:sz w:val="14"/>
        </w:rPr>
        <w:t>Arneil</w:t>
      </w:r>
      <w:proofErr w:type="spellEnd"/>
      <w:r w:rsidRPr="00535738">
        <w:rPr>
          <w:sz w:val="14"/>
        </w:rPr>
        <w:t xml:space="preserve"> (2009), whose </w:t>
      </w:r>
      <w:r w:rsidRPr="00705643">
        <w:rPr>
          <w:rStyle w:val="StyleUnderline"/>
        </w:rPr>
        <w:t>key charge against Kant’s moral theory is his crowning of rational autonomy as the foundation for human dignity</w:t>
      </w:r>
      <w:r w:rsidRPr="00535738">
        <w:rPr>
          <w:sz w:val="14"/>
        </w:rPr>
        <w:t xml:space="preserve"> (2009: 224). </w:t>
      </w:r>
      <w:r w:rsidRPr="00E82807">
        <w:rPr>
          <w:rStyle w:val="Emphasis"/>
          <w:highlight w:val="green"/>
        </w:rPr>
        <w:t>In its quest to “protect human dignity through</w:t>
      </w:r>
      <w:r w:rsidRPr="00705643">
        <w:rPr>
          <w:rStyle w:val="StyleUnderline"/>
        </w:rPr>
        <w:t xml:space="preserve"> the mutual </w:t>
      </w:r>
      <w:r w:rsidRPr="00E82807">
        <w:rPr>
          <w:rStyle w:val="Emphasis"/>
          <w:highlight w:val="green"/>
        </w:rPr>
        <w:t>recognition of others as rational</w:t>
      </w:r>
      <w:r w:rsidRPr="00705643">
        <w:rPr>
          <w:rStyle w:val="StyleUnderline"/>
        </w:rPr>
        <w:t xml:space="preserve"> self-legislating ‘</w:t>
      </w:r>
      <w:r w:rsidRPr="00E82807">
        <w:rPr>
          <w:rStyle w:val="Emphasis"/>
          <w:highlight w:val="green"/>
        </w:rPr>
        <w:t>persons</w:t>
      </w:r>
      <w:r w:rsidRPr="00705643">
        <w:rPr>
          <w:rStyle w:val="StyleUnderline"/>
        </w:rPr>
        <w:t xml:space="preserve">,’” </w:t>
      </w:r>
      <w:proofErr w:type="spellStart"/>
      <w:r w:rsidRPr="00705643">
        <w:rPr>
          <w:rStyle w:val="StyleUnderline"/>
        </w:rPr>
        <w:t>Arneil</w:t>
      </w:r>
      <w:proofErr w:type="spellEnd"/>
      <w:r w:rsidRPr="00705643">
        <w:rPr>
          <w:rStyle w:val="StyleUnderline"/>
        </w:rPr>
        <w:t xml:space="preserve"> remarks, </w:t>
      </w:r>
      <w:r w:rsidRPr="00E82807">
        <w:rPr>
          <w:rStyle w:val="Emphasis"/>
          <w:highlight w:val="green"/>
        </w:rPr>
        <w:t>Kant’s moral theory consequently figures the “irrational” as “not ‘autonomous</w:t>
      </w:r>
      <w:r w:rsidRPr="00E82807">
        <w:rPr>
          <w:rStyle w:val="Emphasis"/>
        </w:rPr>
        <w:t>’</w:t>
      </w:r>
      <w:r w:rsidRPr="00705643">
        <w:rPr>
          <w:rStyle w:val="StyleUnderline"/>
        </w:rPr>
        <w:t xml:space="preserve"> and strictly speaking not ‘persons’ </w:t>
      </w:r>
      <w:r w:rsidRPr="00E82807">
        <w:rPr>
          <w:rStyle w:val="Emphasis"/>
          <w:highlight w:val="green"/>
        </w:rPr>
        <w:t>and therefore not due the dignity accorded to ‘rational beings</w:t>
      </w:r>
      <w:r w:rsidRPr="00E82807">
        <w:rPr>
          <w:rStyle w:val="Emphasis"/>
        </w:rPr>
        <w:t>’</w:t>
      </w:r>
      <w:r w:rsidRPr="00705643">
        <w:rPr>
          <w:rStyle w:val="StyleUnderline"/>
        </w:rPr>
        <w:t>”</w:t>
      </w:r>
      <w:r w:rsidRPr="00535738">
        <w:rPr>
          <w:sz w:val="14"/>
        </w:rPr>
        <w:t xml:space="preserve"> (2009: 224–5).12 Moreover, </w:t>
      </w:r>
      <w:proofErr w:type="spellStart"/>
      <w:r w:rsidRPr="00535738">
        <w:rPr>
          <w:sz w:val="14"/>
        </w:rPr>
        <w:t>Arneil</w:t>
      </w:r>
      <w:proofErr w:type="spellEnd"/>
      <w:r w:rsidRPr="00535738">
        <w:rPr>
          <w:sz w:val="14"/>
        </w:rPr>
        <w:t xml:space="preserve"> exposes how Kant’s formulation of personhood has pervasively found its way to the backdrop of influential political theories of justice by the likes of John Rawls and Charles Taylor. Because Kant locates personhood in the human ability to reason, </w:t>
      </w:r>
      <w:proofErr w:type="spellStart"/>
      <w:r w:rsidRPr="00535738">
        <w:rPr>
          <w:sz w:val="14"/>
        </w:rPr>
        <w:t>Arneil</w:t>
      </w:r>
      <w:proofErr w:type="spellEnd"/>
      <w:r w:rsidRPr="00535738">
        <w:rPr>
          <w:sz w:val="14"/>
        </w:rPr>
        <w:t xml:space="preserve"> argues that </w:t>
      </w:r>
      <w:r w:rsidRPr="00705643">
        <w:rPr>
          <w:rStyle w:val="StyleUnderline"/>
        </w:rPr>
        <w:t>contemporary authors who draw on Kant</w:t>
      </w:r>
      <w:r w:rsidRPr="00535738">
        <w:rPr>
          <w:sz w:val="14"/>
        </w:rPr>
        <w:t xml:space="preserve"> (such as Taylor) </w:t>
      </w:r>
      <w:r w:rsidRPr="00705643">
        <w:rPr>
          <w:rStyle w:val="StyleUnderline"/>
        </w:rPr>
        <w:t xml:space="preserve">are consequently “forced to define those incapable of ‘rationality’ as outside the ‘normal’ meaning of personhood,” as possessing an </w:t>
      </w:r>
      <w:r w:rsidRPr="00F56F97">
        <w:rPr>
          <w:rStyle w:val="StyleUnderline"/>
        </w:rPr>
        <w:t>unrealizable potential to become human</w:t>
      </w:r>
      <w:r w:rsidRPr="00F56F97">
        <w:rPr>
          <w:sz w:val="14"/>
        </w:rPr>
        <w:t xml:space="preserve"> (2009: 225, 228). Together, these works by critical disability scholars illustrate how </w:t>
      </w:r>
      <w:r w:rsidRPr="00F56F97">
        <w:rPr>
          <w:rStyle w:val="Emphasis"/>
        </w:rPr>
        <w:t xml:space="preserve">Kant’s moral philosophy has sustained a political discourse that categorically exempts the disabled from the remits of justice. </w:t>
      </w:r>
      <w:r w:rsidRPr="00F56F97">
        <w:rPr>
          <w:sz w:val="14"/>
        </w:rPr>
        <w:t xml:space="preserve">Overall, three important conclusions can be drawn from the literature on Kant and disability. First, scholars working on intellectual disability and political theory have provided convincing arguments as to how </w:t>
      </w:r>
      <w:r w:rsidRPr="00F56F97">
        <w:rPr>
          <w:rStyle w:val="Emphasis"/>
        </w:rPr>
        <w:t>Kantian conceptions of personhood misrecognize the inherent humanity of the intellectually disabled</w:t>
      </w:r>
      <w:r w:rsidRPr="00F56F97">
        <w:rPr>
          <w:rStyle w:val="StyleUnderline"/>
        </w:rPr>
        <w:t>.</w:t>
      </w:r>
      <w:r w:rsidRPr="00F56F97">
        <w:rPr>
          <w:sz w:val="14"/>
        </w:rPr>
        <w:t xml:space="preserve"> Second, these scholars have compellingly identified why</w:t>
      </w:r>
      <w:r w:rsidRPr="00535738">
        <w:rPr>
          <w:sz w:val="14"/>
        </w:rPr>
        <w:t xml:space="preserve">, </w:t>
      </w:r>
      <w:r w:rsidRPr="00705643">
        <w:rPr>
          <w:rStyle w:val="StyleUnderline"/>
        </w:rPr>
        <w:t xml:space="preserve">from a political standpoint of justice, liberty, and equality, it is desirable to move away from such reason-centric formulations of moral status that privilege the able-minded over the intellectually disabled. </w:t>
      </w:r>
      <w:r w:rsidRPr="00535738">
        <w:rPr>
          <w:sz w:val="14"/>
        </w:rPr>
        <w:t xml:space="preserve">Third, many of these commentators have conclusively outlined how </w:t>
      </w:r>
      <w:r w:rsidRPr="00E82807">
        <w:rPr>
          <w:rStyle w:val="Emphasis"/>
          <w:highlight w:val="green"/>
        </w:rPr>
        <w:t>Kant’s moral philosophy is conceptually</w:t>
      </w:r>
      <w:r w:rsidRPr="00535738">
        <w:rPr>
          <w:sz w:val="14"/>
        </w:rPr>
        <w:t>, albeit indirectly,</w:t>
      </w:r>
      <w:r w:rsidRPr="00705643">
        <w:rPr>
          <w:rStyle w:val="StyleUnderline"/>
        </w:rPr>
        <w:t xml:space="preserve"> </w:t>
      </w:r>
      <w:r w:rsidRPr="00E82807">
        <w:rPr>
          <w:rStyle w:val="Emphasis"/>
          <w:highlight w:val="green"/>
        </w:rPr>
        <w:t>implicated in the political marginalization of the disabled persons.</w:t>
      </w:r>
      <w:r>
        <w:rPr>
          <w:rStyle w:val="StyleUnderline"/>
        </w:rPr>
        <w:t xml:space="preserve"> </w:t>
      </w:r>
      <w:r w:rsidRPr="00535738">
        <w:rPr>
          <w:sz w:val="14"/>
        </w:rPr>
        <w:t xml:space="preserve">Notwithstanding the merits of their projects, the authors in question have limited their critiques of Kant’s political thought to his moral and practical philosophies, or what is colloquially known as the “pure” segment of his work. Take Tobin </w:t>
      </w:r>
      <w:proofErr w:type="spellStart"/>
      <w:r w:rsidRPr="00535738">
        <w:rPr>
          <w:sz w:val="14"/>
        </w:rPr>
        <w:t>Siebers</w:t>
      </w:r>
      <w:proofErr w:type="spellEnd"/>
      <w:r w:rsidRPr="00535738">
        <w:rPr>
          <w:sz w:val="14"/>
        </w:rPr>
        <w:t xml:space="preserve">’ (2011: 89) following claim for instance: “Theories of rationality […] configure rationality itself in terms of the objective properties and identifying characteristics of those agents whom Kant called rational beings, and these characteristics do not allow for the inclusion of people with disabilities.” </w:t>
      </w:r>
      <w:proofErr w:type="spellStart"/>
      <w:r w:rsidRPr="00535738">
        <w:rPr>
          <w:sz w:val="14"/>
        </w:rPr>
        <w:t>Siebers</w:t>
      </w:r>
      <w:proofErr w:type="spellEnd"/>
      <w:r w:rsidRPr="00535738">
        <w:rPr>
          <w:sz w:val="14"/>
        </w:rPr>
        <w:t xml:space="preserve">’ point here illustrates a general trend in critiques of Kant’s moral philosophy from the perspective of disability in which Kant’s empirical views on the disabled are persistently overlooked. Because of this oversight, discussions of Kant and disability are limited to speculative arguments that hinge on the impenetrability of Kant’s moral theory by the intellectually disabled. As such, Kant’s extensive definitions of cognitive disability and lively figurations of disabled subjects have yet to be weighed against the political arguments of his moral and practical philosophy in an effort to assess how these views may effectively, rather than merely potentially, impact the meaning of his ideas about justice and thus sway their political and theoretical significance. As I argue throughout this chapter, Kant’s empirical writings on disability are critical to this scholarly debate for two reasons. First, it is in these texts that Kant entertains political questions concerning the civil and moral standing of intellectually disabled subjects. Second, Kant’s empirical works are essential to our understanding of his transcendental philosophy and political system, especially regarding the categorical imperative, because it is here – in his construction of the intellectually disabled – that Kant outlines the identity of those exceptional, irrational beings barred from the political concessions of justice. By turning my attention to how, where, and why </w:t>
      </w:r>
      <w:r w:rsidRPr="00E36EA9">
        <w:rPr>
          <w:rStyle w:val="Emphasis"/>
          <w:highlight w:val="green"/>
        </w:rPr>
        <w:t>Kant’s approach to justice fails with respect to the intellectually disabled</w:t>
      </w:r>
      <w:r w:rsidRPr="00535738">
        <w:rPr>
          <w:sz w:val="14"/>
        </w:rPr>
        <w:t xml:space="preserve">, I intend to cast light on what I consider to be the margins of his moral philosophy and, as a result, delineate the limits of his political theory of justice. </w:t>
      </w:r>
      <w:r w:rsidRPr="00705643">
        <w:rPr>
          <w:rStyle w:val="StyleUnderline"/>
        </w:rPr>
        <w:t>This marginal space wherein the intellectually disabled are enclosed exemplifies</w:t>
      </w:r>
      <w:r w:rsidRPr="00535738">
        <w:rPr>
          <w:sz w:val="14"/>
        </w:rPr>
        <w:t xml:space="preserve"> what Uday Mehta (1999) describes as </w:t>
      </w:r>
      <w:r w:rsidRPr="00705643">
        <w:rPr>
          <w:rStyle w:val="StyleUnderline"/>
        </w:rPr>
        <w:t>the explicit exclusion of the unfamiliar, along with the erasure of their “sentiments, feelings, sense of location, and forms of life</w:t>
      </w:r>
      <w:r w:rsidRPr="00535738">
        <w:rPr>
          <w:sz w:val="14"/>
        </w:rPr>
        <w:t xml:space="preserve">” (1999: 20–1). Such occult “spaces” of exception are, in Mehta’s words, “places that when identified by the grid of Enlightenment rationality [become] only spots on a map or past points on the scale of civilizational progress, but not dwellings in which peoples lived and had deeply invested identities” (1999: 21).13 To the extent that it moves toward recasting the meaning of his theory of justice, </w:t>
      </w:r>
      <w:r w:rsidRPr="00705643">
        <w:rPr>
          <w:rStyle w:val="StyleUnderline"/>
        </w:rPr>
        <w:t>my interpretation of disability in Kant endeavors to reaffirm the political and conceptual significance of disability to the history of political thought and contemporary politicized identity.</w:t>
      </w:r>
      <w:r w:rsidRPr="00535738">
        <w:rPr>
          <w:sz w:val="14"/>
        </w:rPr>
        <w:t xml:space="preserve"> Read as such, I intend for the reach of my argument to stretch beyond interpretations of Kant. By demonstrating just how problematic Kant’s conception of justice is with regards to intellectual disability, this chapter consequently interrogates contemporary political theories whose ambit of justice, in being bound by reason, effectively forecloses the intellectually disabled from freedom, citizenship, and personhood.</w:t>
      </w:r>
    </w:p>
    <w:p w14:paraId="2BF51C91" w14:textId="3FCC7857" w:rsidR="00120A4A" w:rsidRDefault="00120A4A" w:rsidP="00EA798A">
      <w:pPr>
        <w:pStyle w:val="Heading4"/>
      </w:pPr>
      <w:r>
        <w:t xml:space="preserve">[1] Surrender to disability, there were way more able-bodied debaters at TOC this past year evidencing the structural disadvantage of being disabled in debate, vote crip to compensate. Solves, [A] more disabled people win, round robins are just as important because it inspires and [B] hijacks the </w:t>
      </w:r>
      <w:proofErr w:type="spellStart"/>
      <w:r>
        <w:t>aff</w:t>
      </w:r>
      <w:proofErr w:type="spellEnd"/>
      <w:r>
        <w:t xml:space="preserve"> because if freedom or liberty is truly </w:t>
      </w:r>
      <w:proofErr w:type="gramStart"/>
      <w:r>
        <w:t>possible</w:t>
      </w:r>
      <w:proofErr w:type="gramEnd"/>
      <w:r>
        <w:t xml:space="preserve"> we should listen to those asking for it. [C] able-bodied people will always internalize ableism so you should be epistemically suspect of them and prefer disabled experiences to understand incoherence</w:t>
      </w:r>
    </w:p>
    <w:p w14:paraId="2CE31882" w14:textId="77777777" w:rsidR="00AA61D6" w:rsidRPr="00716F65" w:rsidRDefault="00AA61D6" w:rsidP="00AA61D6">
      <w:pPr>
        <w:rPr>
          <w:rFonts w:asciiTheme="majorHAnsi" w:eastAsia="Times New Roman" w:hAnsiTheme="majorHAnsi"/>
          <w:color w:val="000000" w:themeColor="text1"/>
          <w:sz w:val="14"/>
        </w:rPr>
      </w:pPr>
    </w:p>
    <w:p w14:paraId="3647F5A4" w14:textId="77777777" w:rsidR="00AA61D6" w:rsidRPr="00F601E6" w:rsidRDefault="00AA61D6" w:rsidP="00AA61D6"/>
    <w:p w14:paraId="5ACE11B8" w14:textId="77777777" w:rsidR="00AA61D6" w:rsidRPr="00AA61D6" w:rsidRDefault="00AA61D6" w:rsidP="00AA61D6"/>
    <w:sectPr w:rsidR="00AA61D6" w:rsidRPr="00AA61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A61D6"/>
    <w:rsid w:val="000139A3"/>
    <w:rsid w:val="000E0007"/>
    <w:rsid w:val="00100833"/>
    <w:rsid w:val="00104529"/>
    <w:rsid w:val="00105942"/>
    <w:rsid w:val="00107396"/>
    <w:rsid w:val="00120A4A"/>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A61D6"/>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53B3"/>
    <w:rsid w:val="00E15E75"/>
    <w:rsid w:val="00E5262C"/>
    <w:rsid w:val="00E52DE4"/>
    <w:rsid w:val="00EA798A"/>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3A5E8"/>
  <w15:chartTrackingRefBased/>
  <w15:docId w15:val="{15A841C0-199A-4D7B-AAA9-53179F066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A61D6"/>
    <w:rPr>
      <w:rFonts w:ascii="Calibri" w:hAnsi="Calibri"/>
    </w:rPr>
  </w:style>
  <w:style w:type="paragraph" w:styleId="Heading1">
    <w:name w:val="heading 1"/>
    <w:aliases w:val="Pocket"/>
    <w:basedOn w:val="Normal"/>
    <w:next w:val="Normal"/>
    <w:link w:val="Heading1Char"/>
    <w:qFormat/>
    <w:rsid w:val="00AA61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61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61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A61D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61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61D6"/>
  </w:style>
  <w:style w:type="character" w:customStyle="1" w:styleId="Heading1Char">
    <w:name w:val="Heading 1 Char"/>
    <w:aliases w:val="Pocket Char"/>
    <w:basedOn w:val="DefaultParagraphFont"/>
    <w:link w:val="Heading1"/>
    <w:rsid w:val="00AA61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61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A61D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3"/>
    <w:rsid w:val="00AA61D6"/>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AA61D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A61D6"/>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AA61D6"/>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AA61D6"/>
    <w:rPr>
      <w:color w:val="auto"/>
      <w:u w:val="none"/>
    </w:rPr>
  </w:style>
  <w:style w:type="character" w:styleId="FollowedHyperlink">
    <w:name w:val="FollowedHyperlink"/>
    <w:basedOn w:val="DefaultParagraphFont"/>
    <w:uiPriority w:val="99"/>
    <w:semiHidden/>
    <w:unhideWhenUsed/>
    <w:rsid w:val="00AA61D6"/>
    <w:rPr>
      <w:color w:val="auto"/>
      <w:u w:val="none"/>
    </w:rPr>
  </w:style>
  <w:style w:type="paragraph" w:customStyle="1" w:styleId="textbold">
    <w:name w:val="text bold"/>
    <w:basedOn w:val="Normal"/>
    <w:link w:val="Emphasis"/>
    <w:uiPriority w:val="7"/>
    <w:qFormat/>
    <w:rsid w:val="00AA61D6"/>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AA61D6"/>
    <w:rPr>
      <w:rFonts w:eastAsia="Calibri"/>
      <w:sz w:val="14"/>
    </w:rPr>
  </w:style>
  <w:style w:type="character" w:customStyle="1" w:styleId="SmalltextChar">
    <w:name w:val="Small text Char"/>
    <w:aliases w:val="Quote Char,Quote1 Char1"/>
    <w:link w:val="Smalltext"/>
    <w:rsid w:val="00AA61D6"/>
    <w:rPr>
      <w:rFonts w:ascii="Calibri" w:eastAsia="Calibri" w:hAnsi="Calibri"/>
      <w:sz w:val="14"/>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120A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9733</Words>
  <Characters>55481</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2021-10-30T20:10:00Z</dcterms:created>
  <dcterms:modified xsi:type="dcterms:W3CDTF">2021-10-30T20:39:00Z</dcterms:modified>
</cp:coreProperties>
</file>